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CD731E">
      <w:pPr>
        <w:keepNext w:val="0"/>
        <w:keepLines w:val="0"/>
        <w:widowControl w:val="0"/>
        <w:suppressLineNumbers w:val="0"/>
        <w:adjustRightInd w:val="0"/>
        <w:snapToGrid w:val="0"/>
        <w:spacing w:before="0" w:beforeAutospacing="0" w:after="0" w:afterAutospacing="0"/>
        <w:ind w:left="0" w:right="0"/>
        <w:jc w:val="center"/>
        <w:outlineLvl w:val="0"/>
        <w:rPr>
          <w:rFonts w:hint="default" w:ascii="Times New Roman" w:hAnsi="Times New Roman" w:eastAsia="方正小标宋_GBK" w:cs="Times New Roman"/>
          <w:bCs/>
          <w:color w:val="auto"/>
          <w:spacing w:val="0"/>
          <w:w w:val="100"/>
          <w:kern w:val="2"/>
          <w:sz w:val="72"/>
          <w:szCs w:val="72"/>
          <w:lang w:val="en-US" w:eastAsia="zh-CN" w:bidi="ar"/>
        </w:rPr>
      </w:pPr>
    </w:p>
    <w:p w14:paraId="6E94BFB5">
      <w:pPr>
        <w:keepNext w:val="0"/>
        <w:keepLines w:val="0"/>
        <w:widowControl w:val="0"/>
        <w:suppressLineNumbers w:val="0"/>
        <w:adjustRightInd w:val="0"/>
        <w:snapToGrid w:val="0"/>
        <w:spacing w:before="0" w:beforeAutospacing="0" w:after="0" w:afterAutospacing="0"/>
        <w:ind w:left="0" w:right="0"/>
        <w:jc w:val="center"/>
        <w:outlineLvl w:val="0"/>
        <w:rPr>
          <w:rFonts w:hint="default" w:ascii="Times New Roman" w:hAnsi="Times New Roman" w:eastAsia="方正小标宋_GBK" w:cs="Times New Roman"/>
          <w:bCs/>
          <w:color w:val="auto"/>
          <w:spacing w:val="0"/>
          <w:w w:val="100"/>
          <w:sz w:val="72"/>
          <w:szCs w:val="72"/>
          <w:lang w:val="en-US"/>
        </w:rPr>
      </w:pPr>
      <w:r>
        <w:rPr>
          <w:rFonts w:hint="default" w:ascii="Times New Roman" w:hAnsi="Times New Roman" w:eastAsia="方正小标宋_GBK" w:cs="Times New Roman"/>
          <w:bCs/>
          <w:color w:val="auto"/>
          <w:spacing w:val="0"/>
          <w:w w:val="100"/>
          <w:kern w:val="2"/>
          <w:sz w:val="72"/>
          <w:szCs w:val="72"/>
          <w:lang w:val="en-US" w:eastAsia="zh-CN" w:bidi="ar"/>
        </w:rPr>
        <w:t>建设项目环境影响报告表</w:t>
      </w:r>
    </w:p>
    <w:p w14:paraId="54BF7254">
      <w:pPr>
        <w:keepNext w:val="0"/>
        <w:keepLines w:val="0"/>
        <w:widowControl w:val="0"/>
        <w:suppressLineNumbers w:val="0"/>
        <w:adjustRightInd w:val="0"/>
        <w:snapToGrid w:val="0"/>
        <w:spacing w:before="192" w:beforeLines="80" w:beforeAutospacing="0" w:after="0" w:afterAutospacing="0"/>
        <w:ind w:left="0" w:right="0"/>
        <w:jc w:val="center"/>
        <w:rPr>
          <w:rFonts w:hint="default" w:ascii="Times New Roman" w:hAnsi="Times New Roman" w:eastAsia="楷体_GB2312" w:cs="Times New Roman"/>
          <w:bCs/>
          <w:color w:val="auto"/>
          <w:spacing w:val="0"/>
          <w:w w:val="100"/>
          <w:sz w:val="48"/>
          <w:szCs w:val="48"/>
          <w:lang w:val="en-US"/>
        </w:rPr>
      </w:pPr>
      <w:r>
        <w:rPr>
          <w:rFonts w:hint="default" w:ascii="Times New Roman" w:hAnsi="Times New Roman" w:eastAsia="楷体_GB2312" w:cs="Times New Roman"/>
          <w:bCs/>
          <w:color w:val="auto"/>
          <w:spacing w:val="0"/>
          <w:w w:val="100"/>
          <w:kern w:val="2"/>
          <w:sz w:val="48"/>
          <w:szCs w:val="48"/>
          <w:lang w:val="en-US" w:eastAsia="zh-CN" w:bidi="ar"/>
        </w:rPr>
        <w:t>（污染影响类）</w:t>
      </w:r>
    </w:p>
    <w:p w14:paraId="74353FCE">
      <w:pPr>
        <w:keepNext w:val="0"/>
        <w:keepLines w:val="0"/>
        <w:widowControl w:val="0"/>
        <w:suppressLineNumbers w:val="0"/>
        <w:adjustRightInd w:val="0"/>
        <w:snapToGrid w:val="0"/>
        <w:spacing w:before="0" w:beforeAutospacing="0" w:after="0" w:afterAutospacing="0" w:line="288" w:lineRule="auto"/>
        <w:ind w:left="0" w:right="0"/>
        <w:jc w:val="center"/>
        <w:outlineLvl w:val="0"/>
        <w:rPr>
          <w:rFonts w:hint="default" w:ascii="Times New Roman" w:hAnsi="Times New Roman" w:eastAsia="华文仿宋" w:cs="Times New Roman"/>
          <w:color w:val="auto"/>
          <w:spacing w:val="0"/>
          <w:w w:val="100"/>
          <w:kern w:val="44"/>
          <w:sz w:val="44"/>
          <w:szCs w:val="44"/>
          <w:lang w:val="en-US"/>
        </w:rPr>
      </w:pPr>
    </w:p>
    <w:p w14:paraId="43DEC928">
      <w:pPr>
        <w:keepNext w:val="0"/>
        <w:keepLines w:val="0"/>
        <w:widowControl w:val="0"/>
        <w:suppressLineNumbers w:val="0"/>
        <w:spacing w:before="0" w:beforeAutospacing="0" w:after="0" w:afterAutospacing="0"/>
        <w:ind w:left="0" w:right="0"/>
        <w:jc w:val="center"/>
        <w:rPr>
          <w:rFonts w:hint="default" w:ascii="Times New Roman" w:hAnsi="Times New Roman" w:eastAsia="仿宋" w:cs="Times New Roman"/>
          <w:color w:val="auto"/>
          <w:spacing w:val="0"/>
          <w:w w:val="100"/>
          <w:sz w:val="52"/>
          <w:szCs w:val="52"/>
          <w:lang w:val="en-US"/>
        </w:rPr>
      </w:pPr>
    </w:p>
    <w:p w14:paraId="6032F0B8">
      <w:pPr>
        <w:pStyle w:val="18"/>
        <w:rPr>
          <w:rFonts w:hint="default" w:ascii="Times New Roman" w:hAnsi="Times New Roman" w:eastAsia="仿宋" w:cs="Times New Roman"/>
          <w:color w:val="auto"/>
          <w:spacing w:val="0"/>
          <w:w w:val="100"/>
          <w:sz w:val="52"/>
          <w:szCs w:val="52"/>
          <w:lang w:val="en-US"/>
        </w:rPr>
      </w:pPr>
    </w:p>
    <w:p w14:paraId="08BB3AD6">
      <w:pPr>
        <w:rPr>
          <w:rFonts w:hint="default" w:ascii="Times New Roman" w:hAnsi="Times New Roman" w:eastAsia="仿宋" w:cs="Times New Roman"/>
          <w:color w:val="auto"/>
          <w:spacing w:val="0"/>
          <w:w w:val="100"/>
          <w:sz w:val="52"/>
          <w:szCs w:val="52"/>
          <w:lang w:val="en-US"/>
        </w:rPr>
      </w:pPr>
    </w:p>
    <w:p w14:paraId="593D5501">
      <w:pPr>
        <w:rPr>
          <w:rFonts w:hint="default" w:ascii="Times New Roman" w:hAnsi="Times New Roman" w:eastAsia="仿宋" w:cs="Times New Roman"/>
          <w:color w:val="auto"/>
          <w:spacing w:val="0"/>
          <w:w w:val="100"/>
          <w:sz w:val="52"/>
          <w:szCs w:val="52"/>
          <w:lang w:val="en-US"/>
        </w:rPr>
      </w:pPr>
    </w:p>
    <w:p w14:paraId="5636380E">
      <w:pPr>
        <w:pStyle w:val="12"/>
        <w:rPr>
          <w:rFonts w:hint="default" w:ascii="Times New Roman" w:hAnsi="Times New Roman" w:eastAsia="仿宋" w:cs="Times New Roman"/>
          <w:color w:val="auto"/>
          <w:spacing w:val="0"/>
          <w:w w:val="100"/>
          <w:sz w:val="44"/>
          <w:szCs w:val="44"/>
          <w:lang w:val="en-US"/>
        </w:rPr>
      </w:pPr>
    </w:p>
    <w:p w14:paraId="7B0453D2">
      <w:pPr>
        <w:pStyle w:val="12"/>
        <w:rPr>
          <w:rFonts w:hint="default" w:ascii="Times New Roman" w:hAnsi="Times New Roman" w:eastAsia="仿宋" w:cs="Times New Roman"/>
          <w:color w:val="auto"/>
          <w:spacing w:val="0"/>
          <w:w w:val="100"/>
          <w:sz w:val="44"/>
          <w:szCs w:val="44"/>
          <w:lang w:val="en-US"/>
        </w:rPr>
      </w:pPr>
    </w:p>
    <w:p w14:paraId="0CE28A79">
      <w:pPr>
        <w:pStyle w:val="12"/>
        <w:rPr>
          <w:rFonts w:hint="default" w:ascii="Times New Roman" w:hAnsi="Times New Roman" w:eastAsia="仿宋" w:cs="Times New Roman"/>
          <w:color w:val="auto"/>
          <w:spacing w:val="0"/>
          <w:w w:val="100"/>
          <w:sz w:val="44"/>
          <w:szCs w:val="44"/>
          <w:lang w:val="en-US"/>
        </w:rPr>
      </w:pPr>
    </w:p>
    <w:p w14:paraId="7C9BAB30">
      <w:pPr>
        <w:keepNext w:val="0"/>
        <w:keepLines w:val="0"/>
        <w:widowControl w:val="0"/>
        <w:suppressLineNumbers w:val="0"/>
        <w:spacing w:before="0" w:beforeAutospacing="0" w:after="0" w:afterAutospacing="0"/>
        <w:ind w:left="0" w:right="0" w:firstLine="1040"/>
        <w:jc w:val="both"/>
        <w:rPr>
          <w:rFonts w:hint="default" w:ascii="Times New Roman" w:hAnsi="Times New Roman" w:eastAsia="仿宋" w:cs="Times New Roman"/>
          <w:color w:val="auto"/>
          <w:spacing w:val="0"/>
          <w:w w:val="100"/>
          <w:sz w:val="44"/>
          <w:szCs w:val="44"/>
          <w:lang w:val="en-US"/>
        </w:rPr>
      </w:pPr>
    </w:p>
    <w:p w14:paraId="4DDCEF2B">
      <w:pPr>
        <w:keepNext w:val="0"/>
        <w:keepLines w:val="0"/>
        <w:widowControl w:val="0"/>
        <w:suppressLineNumbers w:val="0"/>
        <w:spacing w:before="0" w:beforeAutospacing="0" w:after="0" w:afterAutospacing="0"/>
        <w:ind w:left="0" w:right="0" w:firstLine="1040"/>
        <w:jc w:val="both"/>
        <w:rPr>
          <w:rFonts w:hint="default" w:ascii="Times New Roman" w:hAnsi="Times New Roman" w:eastAsia="仿宋" w:cs="Times New Roman"/>
          <w:color w:val="auto"/>
          <w:spacing w:val="0"/>
          <w:w w:val="100"/>
          <w:sz w:val="44"/>
          <w:szCs w:val="44"/>
          <w:lang w:val="en-US"/>
        </w:rPr>
      </w:pPr>
    </w:p>
    <w:p w14:paraId="472A2198">
      <w:pPr>
        <w:keepNext w:val="0"/>
        <w:keepLines w:val="0"/>
        <w:widowControl w:val="0"/>
        <w:suppressLineNumbers w:val="0"/>
        <w:adjustRightInd w:val="0"/>
        <w:snapToGrid w:val="0"/>
        <w:spacing w:before="0" w:beforeAutospacing="0" w:after="0" w:afterAutospacing="0" w:line="288" w:lineRule="auto"/>
        <w:ind w:left="2879" w:leftChars="171" w:right="0" w:hanging="2520" w:hangingChars="700"/>
        <w:jc w:val="center"/>
        <w:rPr>
          <w:rFonts w:hint="eastAsia" w:ascii="Times New Roman" w:hAnsi="Times New Roman" w:eastAsia="仿宋_GB2312" w:cs="Times New Roman"/>
          <w:color w:val="auto"/>
          <w:spacing w:val="0"/>
          <w:w w:val="100"/>
          <w:kern w:val="2"/>
          <w:sz w:val="36"/>
          <w:szCs w:val="36"/>
          <w:u w:val="single"/>
          <w:lang w:val="en-US" w:eastAsia="zh-CN" w:bidi="ar"/>
        </w:rPr>
      </w:pPr>
      <w:r>
        <w:rPr>
          <w:rFonts w:hint="default" w:ascii="Times New Roman" w:hAnsi="Times New Roman" w:eastAsia="仿宋_GB2312" w:cs="Times New Roman"/>
          <w:color w:val="auto"/>
          <w:spacing w:val="0"/>
          <w:w w:val="100"/>
          <w:kern w:val="2"/>
          <w:sz w:val="36"/>
          <w:szCs w:val="36"/>
          <w:lang w:val="en-US" w:eastAsia="zh-CN" w:bidi="ar"/>
        </w:rPr>
        <w:t>项目名称：</w:t>
      </w:r>
      <w:r>
        <w:rPr>
          <w:rFonts w:hint="eastAsia" w:ascii="Times New Roman" w:hAnsi="Times New Roman" w:eastAsia="仿宋_GB2312" w:cs="Times New Roman"/>
          <w:color w:val="auto"/>
          <w:spacing w:val="0"/>
          <w:w w:val="100"/>
          <w:kern w:val="2"/>
          <w:sz w:val="36"/>
          <w:szCs w:val="36"/>
          <w:u w:val="single"/>
          <w:lang w:val="en-US" w:eastAsia="zh-CN" w:bidi="ar"/>
        </w:rPr>
        <w:t>陇县经济技术开发区水污染综合治理及再生水资源节约利用项目</w:t>
      </w:r>
    </w:p>
    <w:p w14:paraId="315D999B">
      <w:pPr>
        <w:keepNext w:val="0"/>
        <w:keepLines w:val="0"/>
        <w:widowControl w:val="0"/>
        <w:suppressLineNumbers w:val="0"/>
        <w:adjustRightInd w:val="0"/>
        <w:snapToGrid w:val="0"/>
        <w:spacing w:before="0" w:beforeAutospacing="0" w:after="0" w:afterAutospacing="0" w:line="288" w:lineRule="auto"/>
        <w:ind w:right="0" w:firstLine="360" w:firstLineChars="100"/>
        <w:jc w:val="both"/>
        <w:rPr>
          <w:rFonts w:hint="default" w:ascii="Times New Roman" w:hAnsi="Times New Roman" w:eastAsia="仿宋_GB2312" w:cs="Times New Roman"/>
          <w:color w:val="auto"/>
          <w:spacing w:val="0"/>
          <w:w w:val="100"/>
          <w:sz w:val="36"/>
          <w:szCs w:val="36"/>
          <w:u w:val="single"/>
          <w:lang w:val="en-US"/>
        </w:rPr>
      </w:pPr>
      <w:r>
        <w:rPr>
          <w:rFonts w:hint="default" w:ascii="Times New Roman" w:hAnsi="Times New Roman" w:eastAsia="仿宋_GB2312" w:cs="Times New Roman"/>
          <w:color w:val="auto"/>
          <w:spacing w:val="0"/>
          <w:w w:val="100"/>
          <w:kern w:val="2"/>
          <w:sz w:val="36"/>
          <w:szCs w:val="36"/>
          <w:lang w:val="en-US" w:eastAsia="zh-CN" w:bidi="ar"/>
        </w:rPr>
        <w:t>建设单位：</w:t>
      </w:r>
      <w:r>
        <w:rPr>
          <w:rFonts w:hint="eastAsia" w:ascii="Times New Roman" w:hAnsi="Times New Roman" w:eastAsia="仿宋_GB2312" w:cs="Times New Roman"/>
          <w:color w:val="auto"/>
          <w:spacing w:val="0"/>
          <w:w w:val="100"/>
          <w:kern w:val="2"/>
          <w:sz w:val="36"/>
          <w:szCs w:val="36"/>
          <w:u w:val="single"/>
          <w:lang w:val="en-US" w:eastAsia="zh-CN" w:bidi="ar"/>
        </w:rPr>
        <w:t xml:space="preserve">       陇县工业园区管理委员会          </w:t>
      </w:r>
    </w:p>
    <w:p w14:paraId="3A756D0C">
      <w:pPr>
        <w:keepNext w:val="0"/>
        <w:keepLines w:val="0"/>
        <w:widowControl w:val="0"/>
        <w:suppressLineNumbers w:val="0"/>
        <w:adjustRightInd w:val="0"/>
        <w:snapToGrid w:val="0"/>
        <w:spacing w:before="0" w:beforeAutospacing="0" w:after="0" w:afterAutospacing="0" w:line="288" w:lineRule="auto"/>
        <w:ind w:right="0" w:firstLine="360" w:firstLineChars="100"/>
        <w:jc w:val="both"/>
        <w:rPr>
          <w:rFonts w:hint="default" w:ascii="Times New Roman" w:hAnsi="Times New Roman" w:eastAsia="仿宋_GB2312" w:cs="Times New Roman"/>
          <w:color w:val="auto"/>
          <w:spacing w:val="0"/>
          <w:w w:val="100"/>
          <w:sz w:val="36"/>
          <w:szCs w:val="36"/>
          <w:u w:val="single"/>
          <w:lang w:val="en-US"/>
        </w:rPr>
      </w:pPr>
      <w:r>
        <w:rPr>
          <w:rFonts w:hint="default" w:ascii="Times New Roman" w:hAnsi="Times New Roman" w:eastAsia="仿宋_GB2312" w:cs="Times New Roman"/>
          <w:color w:val="auto"/>
          <w:spacing w:val="0"/>
          <w:w w:val="100"/>
          <w:kern w:val="2"/>
          <w:sz w:val="36"/>
          <w:szCs w:val="36"/>
          <w:lang w:val="en-US" w:eastAsia="zh-CN" w:bidi="ar"/>
        </w:rPr>
        <w:t>编制日期：</w:t>
      </w:r>
      <w:r>
        <w:rPr>
          <w:rFonts w:hint="default" w:ascii="Times New Roman" w:hAnsi="Times New Roman" w:eastAsia="仿宋_GB2312" w:cs="Times New Roman"/>
          <w:color w:val="auto"/>
          <w:spacing w:val="0"/>
          <w:w w:val="100"/>
          <w:kern w:val="2"/>
          <w:sz w:val="36"/>
          <w:szCs w:val="36"/>
          <w:u w:val="single"/>
          <w:lang w:val="en-US" w:eastAsia="zh-CN" w:bidi="ar"/>
        </w:rPr>
        <w:t xml:space="preserve">      </w:t>
      </w:r>
      <w:r>
        <w:rPr>
          <w:rFonts w:hint="eastAsia" w:ascii="Times New Roman" w:hAnsi="Times New Roman" w:eastAsia="仿宋_GB2312" w:cs="Times New Roman"/>
          <w:color w:val="auto"/>
          <w:spacing w:val="0"/>
          <w:w w:val="100"/>
          <w:kern w:val="2"/>
          <w:sz w:val="36"/>
          <w:szCs w:val="36"/>
          <w:u w:val="single"/>
          <w:lang w:val="en-US" w:eastAsia="zh-CN" w:bidi="ar"/>
        </w:rPr>
        <w:t xml:space="preserve">   </w:t>
      </w:r>
      <w:r>
        <w:rPr>
          <w:rFonts w:hint="default" w:ascii="Times New Roman" w:hAnsi="Times New Roman" w:eastAsia="仿宋_GB2312" w:cs="Times New Roman"/>
          <w:color w:val="auto"/>
          <w:spacing w:val="0"/>
          <w:w w:val="100"/>
          <w:kern w:val="2"/>
          <w:sz w:val="36"/>
          <w:szCs w:val="36"/>
          <w:u w:val="single"/>
          <w:lang w:val="en-US" w:eastAsia="zh-CN" w:bidi="ar"/>
        </w:rPr>
        <w:t xml:space="preserve"> 二</w:t>
      </w:r>
      <w:r>
        <w:rPr>
          <w:rFonts w:hint="eastAsia" w:ascii="Times New Roman" w:hAnsi="Times New Roman" w:eastAsia="仿宋_GB2312" w:cs="Times New Roman"/>
          <w:color w:val="auto"/>
          <w:spacing w:val="0"/>
          <w:w w:val="100"/>
          <w:kern w:val="2"/>
          <w:sz w:val="36"/>
          <w:szCs w:val="36"/>
          <w:u w:val="single"/>
          <w:lang w:val="en-US" w:eastAsia="zh-CN" w:bidi="ar"/>
        </w:rPr>
        <w:t>〇</w:t>
      </w:r>
      <w:r>
        <w:rPr>
          <w:rFonts w:hint="default" w:ascii="Times New Roman" w:hAnsi="Times New Roman" w:eastAsia="仿宋_GB2312" w:cs="Times New Roman"/>
          <w:color w:val="auto"/>
          <w:spacing w:val="0"/>
          <w:w w:val="100"/>
          <w:kern w:val="2"/>
          <w:sz w:val="36"/>
          <w:szCs w:val="36"/>
          <w:u w:val="single"/>
          <w:lang w:val="en-US" w:eastAsia="zh-CN" w:bidi="ar"/>
        </w:rPr>
        <w:t>二</w:t>
      </w:r>
      <w:r>
        <w:rPr>
          <w:rFonts w:hint="eastAsia" w:ascii="Times New Roman" w:hAnsi="Times New Roman" w:eastAsia="仿宋_GB2312" w:cs="Times New Roman"/>
          <w:color w:val="auto"/>
          <w:spacing w:val="0"/>
          <w:w w:val="100"/>
          <w:kern w:val="2"/>
          <w:sz w:val="36"/>
          <w:szCs w:val="36"/>
          <w:u w:val="single"/>
          <w:lang w:val="en-US" w:eastAsia="zh-CN" w:bidi="ar"/>
        </w:rPr>
        <w:t>五</w:t>
      </w:r>
      <w:r>
        <w:rPr>
          <w:rFonts w:hint="default" w:ascii="Times New Roman" w:hAnsi="Times New Roman" w:eastAsia="仿宋_GB2312" w:cs="Times New Roman"/>
          <w:color w:val="auto"/>
          <w:spacing w:val="0"/>
          <w:w w:val="100"/>
          <w:kern w:val="2"/>
          <w:sz w:val="36"/>
          <w:szCs w:val="36"/>
          <w:u w:val="single"/>
          <w:lang w:val="en-US" w:eastAsia="zh-CN" w:bidi="ar"/>
        </w:rPr>
        <w:t>年</w:t>
      </w:r>
      <w:r>
        <w:rPr>
          <w:rFonts w:hint="eastAsia" w:ascii="Times New Roman" w:hAnsi="Times New Roman" w:eastAsia="仿宋_GB2312" w:cs="Times New Roman"/>
          <w:color w:val="auto"/>
          <w:spacing w:val="0"/>
          <w:w w:val="100"/>
          <w:kern w:val="2"/>
          <w:sz w:val="36"/>
          <w:szCs w:val="36"/>
          <w:u w:val="single"/>
          <w:lang w:val="en-US" w:eastAsia="zh-CN" w:bidi="ar"/>
        </w:rPr>
        <w:t>十二月</w:t>
      </w:r>
      <w:r>
        <w:rPr>
          <w:rFonts w:hint="default" w:ascii="Times New Roman" w:hAnsi="Times New Roman" w:eastAsia="仿宋_GB2312" w:cs="Times New Roman"/>
          <w:color w:val="auto"/>
          <w:spacing w:val="0"/>
          <w:w w:val="100"/>
          <w:kern w:val="2"/>
          <w:sz w:val="36"/>
          <w:szCs w:val="36"/>
          <w:u w:val="single"/>
          <w:lang w:val="en-US" w:eastAsia="zh-CN" w:bidi="ar"/>
        </w:rPr>
        <w:t xml:space="preserve">    </w:t>
      </w:r>
      <w:r>
        <w:rPr>
          <w:rFonts w:hint="eastAsia" w:ascii="Times New Roman" w:hAnsi="Times New Roman" w:eastAsia="仿宋_GB2312" w:cs="Times New Roman"/>
          <w:color w:val="auto"/>
          <w:spacing w:val="0"/>
          <w:w w:val="100"/>
          <w:kern w:val="2"/>
          <w:sz w:val="36"/>
          <w:szCs w:val="36"/>
          <w:u w:val="single"/>
          <w:lang w:val="en-US" w:eastAsia="zh-CN" w:bidi="ar"/>
        </w:rPr>
        <w:t xml:space="preserve">    </w:t>
      </w:r>
      <w:r>
        <w:rPr>
          <w:rFonts w:hint="default" w:ascii="Times New Roman" w:hAnsi="Times New Roman" w:eastAsia="仿宋_GB2312" w:cs="Times New Roman"/>
          <w:color w:val="auto"/>
          <w:spacing w:val="0"/>
          <w:w w:val="100"/>
          <w:kern w:val="2"/>
          <w:sz w:val="36"/>
          <w:szCs w:val="36"/>
          <w:u w:val="single"/>
          <w:lang w:val="en-US" w:eastAsia="zh-CN" w:bidi="ar"/>
        </w:rPr>
        <w:t xml:space="preserve">  </w:t>
      </w:r>
      <w:r>
        <w:rPr>
          <w:rFonts w:hint="eastAsia" w:ascii="Times New Roman" w:hAnsi="Times New Roman" w:eastAsia="仿宋_GB2312" w:cs="Times New Roman"/>
          <w:color w:val="auto"/>
          <w:spacing w:val="0"/>
          <w:w w:val="100"/>
          <w:kern w:val="2"/>
          <w:sz w:val="36"/>
          <w:szCs w:val="36"/>
          <w:u w:val="single"/>
          <w:lang w:val="en-US" w:eastAsia="zh-CN" w:bidi="ar"/>
        </w:rPr>
        <w:t xml:space="preserve">  </w:t>
      </w:r>
      <w:r>
        <w:rPr>
          <w:rFonts w:hint="default" w:ascii="Times New Roman" w:hAnsi="Times New Roman" w:eastAsia="仿宋_GB2312" w:cs="Times New Roman"/>
          <w:color w:val="auto"/>
          <w:spacing w:val="0"/>
          <w:w w:val="100"/>
          <w:kern w:val="2"/>
          <w:sz w:val="36"/>
          <w:szCs w:val="36"/>
          <w:u w:val="single"/>
          <w:lang w:val="en-US" w:eastAsia="zh-CN" w:bidi="ar"/>
        </w:rPr>
        <w:t xml:space="preserve">   </w:t>
      </w:r>
    </w:p>
    <w:p w14:paraId="30B7A179">
      <w:pPr>
        <w:keepNext w:val="0"/>
        <w:keepLines w:val="0"/>
        <w:widowControl w:val="0"/>
        <w:suppressLineNumbers w:val="0"/>
        <w:adjustRightInd w:val="0"/>
        <w:snapToGrid w:val="0"/>
        <w:spacing w:before="0" w:beforeAutospacing="0" w:after="0" w:afterAutospacing="0" w:line="288" w:lineRule="auto"/>
        <w:ind w:left="0" w:right="0" w:firstLine="1040"/>
        <w:jc w:val="both"/>
        <w:rPr>
          <w:rFonts w:hint="default" w:ascii="Times New Roman" w:hAnsi="Times New Roman" w:eastAsia="仿宋_GB2312" w:cs="Times New Roman"/>
          <w:color w:val="auto"/>
          <w:spacing w:val="0"/>
          <w:w w:val="100"/>
          <w:sz w:val="36"/>
          <w:szCs w:val="36"/>
          <w:u w:val="single"/>
          <w:lang w:val="en-US"/>
        </w:rPr>
      </w:pPr>
      <w:bookmarkStart w:id="0" w:name="_Hlk57884087"/>
    </w:p>
    <w:bookmarkEnd w:id="0"/>
    <w:p w14:paraId="2050F9D1">
      <w:pPr>
        <w:bidi w:val="0"/>
        <w:rPr>
          <w:rFonts w:hint="default" w:ascii="Times New Roman" w:hAnsi="Times New Roman" w:cs="Times New Roman"/>
          <w:color w:val="auto"/>
          <w:spacing w:val="0"/>
          <w:w w:val="100"/>
          <w:lang w:val="en-US" w:eastAsia="zh-CN"/>
        </w:rPr>
      </w:pPr>
    </w:p>
    <w:p w14:paraId="2CBE8830">
      <w:pPr>
        <w:bidi w:val="0"/>
        <w:rPr>
          <w:rFonts w:hint="default" w:ascii="Times New Roman" w:hAnsi="Times New Roman" w:cs="Times New Roman"/>
          <w:color w:val="auto"/>
          <w:spacing w:val="0"/>
          <w:w w:val="100"/>
          <w:lang w:val="en-US" w:eastAsia="zh-CN"/>
        </w:rPr>
      </w:pPr>
    </w:p>
    <w:p w14:paraId="69C9CB5F">
      <w:pPr>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br w:type="page"/>
      </w:r>
    </w:p>
    <w:p w14:paraId="0D6A7A28">
      <w:pPr>
        <w:pStyle w:val="9"/>
        <w:rPr>
          <w:rFonts w:hint="default"/>
          <w:color w:val="auto"/>
          <w:lang w:val="en-US" w:eastAsia="zh-CN"/>
        </w:rPr>
        <w:sectPr>
          <w:pgSz w:w="11906" w:h="16838"/>
          <w:pgMar w:top="1417" w:right="1304" w:bottom="1417" w:left="1304" w:header="283" w:footer="283" w:gutter="0"/>
          <w:pgBorders>
            <w:top w:val="none" w:sz="0" w:space="0"/>
            <w:left w:val="none" w:sz="0" w:space="0"/>
            <w:bottom w:val="none" w:sz="0" w:space="0"/>
            <w:right w:val="none" w:sz="0" w:space="0"/>
          </w:pgBorders>
          <w:pgNumType w:start="1"/>
          <w:cols w:space="720" w:num="1"/>
          <w:docGrid w:type="linesAndChars" w:linePitch="336" w:charSpace="0"/>
        </w:sectPr>
      </w:pPr>
    </w:p>
    <w:p w14:paraId="512D2E8E">
      <w:pPr>
        <w:pStyle w:val="19"/>
        <w:keepNext w:val="0"/>
        <w:keepLines w:val="0"/>
        <w:pageBreakBefore w:val="0"/>
        <w:widowControl/>
        <w:kinsoku/>
        <w:wordWrap/>
        <w:overflowPunct/>
        <w:topLinePunct w:val="0"/>
        <w:autoSpaceDE/>
        <w:autoSpaceDN/>
        <w:bidi w:val="0"/>
        <w:adjustRightInd/>
        <w:snapToGrid/>
        <w:spacing w:beforeAutospacing="0" w:afterAutospacing="0" w:line="360" w:lineRule="auto"/>
        <w:jc w:val="center"/>
        <w:textAlignment w:val="auto"/>
        <w:outlineLvl w:val="0"/>
        <w:rPr>
          <w:rFonts w:hint="default" w:ascii="Times New Roman" w:hAnsi="Times New Roman" w:eastAsia="黑体" w:cs="Times New Roman"/>
          <w:color w:val="auto"/>
          <w:spacing w:val="0"/>
          <w:w w:val="100"/>
          <w:sz w:val="30"/>
          <w:szCs w:val="30"/>
          <w:lang w:val="en-US"/>
        </w:rPr>
      </w:pPr>
      <w:r>
        <w:rPr>
          <w:rFonts w:hint="default" w:ascii="Times New Roman" w:hAnsi="Times New Roman" w:eastAsia="黑体" w:cs="Times New Roman"/>
          <w:snapToGrid w:val="0"/>
          <w:color w:val="auto"/>
          <w:spacing w:val="0"/>
          <w:w w:val="100"/>
          <w:sz w:val="30"/>
          <w:szCs w:val="30"/>
          <w:lang w:eastAsia="zh-CN"/>
        </w:rPr>
        <w:t>一、建设项目基本情况</w:t>
      </w:r>
    </w:p>
    <w:tbl>
      <w:tblPr>
        <w:tblStyle w:val="21"/>
        <w:tblW w:w="95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042"/>
        <w:gridCol w:w="1198"/>
        <w:gridCol w:w="2528"/>
        <w:gridCol w:w="1885"/>
        <w:gridCol w:w="2926"/>
      </w:tblGrid>
      <w:tr w14:paraId="7F982D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2240" w:type="dxa"/>
            <w:gridSpan w:val="2"/>
            <w:tcBorders>
              <w:top w:val="single" w:color="auto" w:sz="8"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0A3332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建设项目名称</w:t>
            </w:r>
          </w:p>
        </w:tc>
        <w:tc>
          <w:tcPr>
            <w:tcW w:w="7339" w:type="dxa"/>
            <w:gridSpan w:val="3"/>
            <w:tcBorders>
              <w:top w:val="single" w:color="auto" w:sz="8" w:space="0"/>
              <w:left w:val="single" w:color="auto" w:sz="4" w:space="0"/>
              <w:bottom w:val="single" w:color="auto" w:sz="4" w:space="0"/>
              <w:right w:val="single" w:color="auto" w:sz="8" w:space="0"/>
            </w:tcBorders>
            <w:shd w:val="clear" w:color="auto" w:fill="auto"/>
            <w:vAlign w:val="center"/>
          </w:tcPr>
          <w:p w14:paraId="6DE287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eastAsia" w:ascii="Times New Roman" w:hAnsi="Times New Roman" w:eastAsia="宋体" w:cs="Times New Roman"/>
                <w:color w:val="auto"/>
                <w:spacing w:val="0"/>
                <w:w w:val="100"/>
                <w:sz w:val="24"/>
                <w:szCs w:val="24"/>
                <w:lang w:val="en-US" w:eastAsia="zh-CN"/>
              </w:rPr>
              <w:t>陇县经济技术开发区水污染综合治理及再生水资源节约利用项目</w:t>
            </w:r>
          </w:p>
        </w:tc>
      </w:tr>
      <w:tr w14:paraId="4ACD99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224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0BBB95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项目代码</w:t>
            </w:r>
          </w:p>
        </w:tc>
        <w:tc>
          <w:tcPr>
            <w:tcW w:w="7339" w:type="dxa"/>
            <w:gridSpan w:val="3"/>
            <w:tcBorders>
              <w:top w:val="single" w:color="auto" w:sz="4" w:space="0"/>
              <w:left w:val="single" w:color="auto" w:sz="4" w:space="0"/>
              <w:bottom w:val="single" w:color="auto" w:sz="4" w:space="0"/>
              <w:right w:val="single" w:color="auto" w:sz="8" w:space="0"/>
            </w:tcBorders>
            <w:shd w:val="clear" w:color="auto" w:fill="auto"/>
            <w:vAlign w:val="center"/>
          </w:tcPr>
          <w:p w14:paraId="01F802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sz w:val="24"/>
                <w:szCs w:val="24"/>
                <w:lang w:val="en-US"/>
              </w:rPr>
              <w:t>2510-610327-04-01-426144</w:t>
            </w:r>
          </w:p>
        </w:tc>
      </w:tr>
      <w:tr w14:paraId="262F4A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282" w:hRule="atLeast"/>
          <w:jc w:val="center"/>
        </w:trPr>
        <w:tc>
          <w:tcPr>
            <w:tcW w:w="224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58CE87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建设单位联系人</w:t>
            </w:r>
          </w:p>
        </w:tc>
        <w:tc>
          <w:tcPr>
            <w:tcW w:w="2528" w:type="dxa"/>
            <w:tcBorders>
              <w:top w:val="single" w:color="auto" w:sz="4" w:space="0"/>
              <w:left w:val="single" w:color="auto" w:sz="4" w:space="0"/>
              <w:bottom w:val="single" w:color="auto" w:sz="4" w:space="0"/>
              <w:right w:val="single" w:color="auto" w:sz="4" w:space="0"/>
            </w:tcBorders>
            <w:shd w:val="clear" w:color="auto" w:fill="auto"/>
            <w:vAlign w:val="center"/>
          </w:tcPr>
          <w:p w14:paraId="12CC71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w:t>
            </w:r>
            <w:bookmarkStart w:id="69" w:name="_GoBack"/>
            <w:bookmarkEnd w:id="69"/>
          </w:p>
        </w:tc>
        <w:tc>
          <w:tcPr>
            <w:tcW w:w="1885" w:type="dxa"/>
            <w:tcBorders>
              <w:top w:val="single" w:color="auto" w:sz="4" w:space="0"/>
              <w:left w:val="single" w:color="auto" w:sz="4" w:space="0"/>
              <w:bottom w:val="single" w:color="auto" w:sz="4" w:space="0"/>
              <w:right w:val="single" w:color="auto" w:sz="4" w:space="0"/>
            </w:tcBorders>
            <w:shd w:val="clear" w:color="auto" w:fill="auto"/>
            <w:vAlign w:val="center"/>
          </w:tcPr>
          <w:p w14:paraId="3B4D23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联系方式</w:t>
            </w:r>
          </w:p>
        </w:tc>
        <w:tc>
          <w:tcPr>
            <w:tcW w:w="2926" w:type="dxa"/>
            <w:tcBorders>
              <w:top w:val="single" w:color="auto" w:sz="4" w:space="0"/>
              <w:left w:val="single" w:color="auto" w:sz="4" w:space="0"/>
              <w:bottom w:val="single" w:color="auto" w:sz="4" w:space="0"/>
              <w:right w:val="single" w:color="auto" w:sz="8" w:space="0"/>
            </w:tcBorders>
            <w:shd w:val="clear" w:color="auto" w:fill="auto"/>
            <w:vAlign w:val="center"/>
          </w:tcPr>
          <w:p w14:paraId="166987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w:t>
            </w:r>
          </w:p>
        </w:tc>
      </w:tr>
      <w:tr w14:paraId="060880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224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12FF39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建设地点</w:t>
            </w:r>
          </w:p>
        </w:tc>
        <w:tc>
          <w:tcPr>
            <w:tcW w:w="7339" w:type="dxa"/>
            <w:gridSpan w:val="3"/>
            <w:tcBorders>
              <w:top w:val="single" w:color="auto" w:sz="4" w:space="0"/>
              <w:left w:val="single" w:color="auto" w:sz="4" w:space="0"/>
              <w:bottom w:val="single" w:color="auto" w:sz="4" w:space="0"/>
              <w:right w:val="single" w:color="auto" w:sz="8" w:space="0"/>
            </w:tcBorders>
            <w:shd w:val="clear" w:color="auto" w:fill="auto"/>
            <w:vAlign w:val="center"/>
          </w:tcPr>
          <w:p w14:paraId="0D454A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u w:val="single"/>
                <w:lang w:val="en-US" w:eastAsia="zh-CN" w:bidi="ar"/>
              </w:rPr>
              <w:t xml:space="preserve"> 陕西 </w:t>
            </w:r>
            <w:r>
              <w:rPr>
                <w:rFonts w:hint="default" w:ascii="Times New Roman" w:hAnsi="Times New Roman" w:eastAsia="宋体" w:cs="Times New Roman"/>
                <w:color w:val="auto"/>
                <w:spacing w:val="0"/>
                <w:w w:val="100"/>
                <w:kern w:val="2"/>
                <w:sz w:val="24"/>
                <w:szCs w:val="24"/>
                <w:lang w:val="en-US" w:eastAsia="zh-CN" w:bidi="ar"/>
              </w:rPr>
              <w:t>省</w:t>
            </w:r>
            <w:r>
              <w:rPr>
                <w:rFonts w:hint="default" w:ascii="Times New Roman" w:hAnsi="Times New Roman" w:eastAsia="宋体" w:cs="Times New Roman"/>
                <w:color w:val="auto"/>
                <w:spacing w:val="0"/>
                <w:w w:val="100"/>
                <w:kern w:val="2"/>
                <w:sz w:val="24"/>
                <w:szCs w:val="24"/>
                <w:u w:val="single"/>
                <w:lang w:val="en-US" w:eastAsia="zh-CN" w:bidi="ar"/>
              </w:rPr>
              <w:t xml:space="preserve"> 宝鸡 </w:t>
            </w:r>
            <w:r>
              <w:rPr>
                <w:rFonts w:hint="default" w:ascii="Times New Roman" w:hAnsi="Times New Roman" w:eastAsia="宋体" w:cs="Times New Roman"/>
                <w:color w:val="auto"/>
                <w:spacing w:val="0"/>
                <w:w w:val="100"/>
                <w:kern w:val="2"/>
                <w:sz w:val="24"/>
                <w:szCs w:val="24"/>
                <w:lang w:val="en-US" w:eastAsia="zh-CN" w:bidi="ar"/>
              </w:rPr>
              <w:t>市</w:t>
            </w:r>
            <w:r>
              <w:rPr>
                <w:rFonts w:hint="default" w:ascii="Times New Roman" w:hAnsi="Times New Roman" w:eastAsia="宋体" w:cs="Times New Roman"/>
                <w:color w:val="auto"/>
                <w:spacing w:val="0"/>
                <w:w w:val="100"/>
                <w:kern w:val="2"/>
                <w:sz w:val="24"/>
                <w:szCs w:val="24"/>
                <w:u w:val="single"/>
                <w:lang w:val="en-US" w:eastAsia="zh-CN" w:bidi="ar"/>
              </w:rPr>
              <w:t xml:space="preserve"> </w:t>
            </w:r>
            <w:r>
              <w:rPr>
                <w:rFonts w:hint="eastAsia" w:ascii="Times New Roman" w:hAnsi="Times New Roman" w:eastAsia="宋体" w:cs="Times New Roman"/>
                <w:color w:val="auto"/>
                <w:spacing w:val="0"/>
                <w:w w:val="100"/>
                <w:kern w:val="2"/>
                <w:sz w:val="24"/>
                <w:szCs w:val="24"/>
                <w:u w:val="single"/>
                <w:lang w:val="en-US" w:eastAsia="zh-CN" w:bidi="ar"/>
              </w:rPr>
              <w:t>陇县</w:t>
            </w:r>
            <w:r>
              <w:rPr>
                <w:rFonts w:hint="default" w:ascii="Times New Roman" w:hAnsi="Times New Roman" w:eastAsia="宋体" w:cs="Times New Roman"/>
                <w:color w:val="auto"/>
                <w:spacing w:val="0"/>
                <w:w w:val="100"/>
                <w:kern w:val="2"/>
                <w:sz w:val="24"/>
                <w:szCs w:val="24"/>
                <w:u w:val="single"/>
                <w:lang w:val="en-US" w:eastAsia="zh-CN" w:bidi="ar"/>
              </w:rPr>
              <w:t xml:space="preserve"> </w:t>
            </w:r>
            <w:r>
              <w:rPr>
                <w:rFonts w:hint="default" w:ascii="Times New Roman" w:hAnsi="Times New Roman" w:eastAsia="宋体" w:cs="Times New Roman"/>
                <w:color w:val="auto"/>
                <w:spacing w:val="0"/>
                <w:w w:val="100"/>
                <w:kern w:val="2"/>
                <w:sz w:val="24"/>
                <w:szCs w:val="24"/>
                <w:lang w:val="en-US" w:eastAsia="zh-CN" w:bidi="ar"/>
              </w:rPr>
              <w:t>（县）</w:t>
            </w:r>
            <w:r>
              <w:rPr>
                <w:rFonts w:hint="eastAsia" w:ascii="Times New Roman" w:hAnsi="Times New Roman" w:eastAsia="宋体" w:cs="Times New Roman"/>
                <w:color w:val="auto"/>
                <w:spacing w:val="0"/>
                <w:w w:val="100"/>
                <w:kern w:val="2"/>
                <w:sz w:val="24"/>
                <w:szCs w:val="24"/>
                <w:lang w:val="en-US" w:eastAsia="zh-CN" w:bidi="ar"/>
              </w:rPr>
              <w:t>经济技术开发区</w:t>
            </w:r>
          </w:p>
        </w:tc>
      </w:tr>
      <w:tr w14:paraId="4B77C4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224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00138A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地理坐标</w:t>
            </w:r>
          </w:p>
        </w:tc>
        <w:tc>
          <w:tcPr>
            <w:tcW w:w="7339" w:type="dxa"/>
            <w:gridSpan w:val="3"/>
            <w:tcBorders>
              <w:top w:val="single" w:color="auto" w:sz="4" w:space="0"/>
              <w:left w:val="single" w:color="auto" w:sz="4" w:space="0"/>
              <w:bottom w:val="single" w:color="auto" w:sz="4" w:space="0"/>
              <w:right w:val="single" w:color="auto" w:sz="8" w:space="0"/>
            </w:tcBorders>
            <w:shd w:val="clear" w:color="auto" w:fill="auto"/>
            <w:vAlign w:val="center"/>
          </w:tcPr>
          <w:p w14:paraId="43A93847">
            <w:pPr>
              <w:keepNext w:val="0"/>
              <w:keepLines w:val="0"/>
              <w:pageBreakBefore w:val="0"/>
              <w:widowControl w:val="0"/>
              <w:suppressLineNumbers w:val="0"/>
              <w:kinsoku/>
              <w:wordWrap/>
              <w:overflowPunct/>
              <w:topLinePunct w:val="0"/>
              <w:autoSpaceDE/>
              <w:autoSpaceDN/>
              <w:bidi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u w:val="single"/>
                <w:lang w:val="en-US" w:eastAsia="zh-CN" w:bidi="ar"/>
              </w:rPr>
              <w:t xml:space="preserve"> 10</w:t>
            </w:r>
            <w:r>
              <w:rPr>
                <w:rFonts w:hint="eastAsia" w:ascii="Times New Roman" w:hAnsi="Times New Roman" w:eastAsia="宋体" w:cs="Times New Roman"/>
                <w:color w:val="auto"/>
                <w:spacing w:val="0"/>
                <w:w w:val="100"/>
                <w:kern w:val="2"/>
                <w:sz w:val="24"/>
                <w:szCs w:val="24"/>
                <w:u w:val="single"/>
                <w:lang w:val="en-US" w:eastAsia="zh-CN" w:bidi="ar"/>
              </w:rPr>
              <w:t xml:space="preserve">6 </w:t>
            </w:r>
            <w:r>
              <w:rPr>
                <w:rFonts w:hint="default" w:ascii="Times New Roman" w:hAnsi="Times New Roman" w:eastAsia="宋体" w:cs="Times New Roman"/>
                <w:color w:val="auto"/>
                <w:spacing w:val="0"/>
                <w:w w:val="100"/>
                <w:kern w:val="2"/>
                <w:sz w:val="24"/>
                <w:szCs w:val="24"/>
                <w:lang w:val="en-US" w:eastAsia="zh-CN" w:bidi="ar"/>
              </w:rPr>
              <w:t>度</w:t>
            </w:r>
            <w:r>
              <w:rPr>
                <w:rFonts w:hint="default" w:ascii="Times New Roman" w:hAnsi="Times New Roman" w:eastAsia="宋体" w:cs="Times New Roman"/>
                <w:color w:val="auto"/>
                <w:spacing w:val="0"/>
                <w:w w:val="100"/>
                <w:kern w:val="2"/>
                <w:sz w:val="24"/>
                <w:szCs w:val="24"/>
                <w:u w:val="single"/>
                <w:lang w:val="en-US" w:eastAsia="zh-CN" w:bidi="ar"/>
              </w:rPr>
              <w:t xml:space="preserve"> </w:t>
            </w:r>
            <w:r>
              <w:rPr>
                <w:rFonts w:hint="eastAsia" w:ascii="Times New Roman" w:hAnsi="Times New Roman" w:eastAsia="宋体" w:cs="Times New Roman"/>
                <w:color w:val="auto"/>
                <w:spacing w:val="0"/>
                <w:w w:val="100"/>
                <w:kern w:val="2"/>
                <w:sz w:val="24"/>
                <w:szCs w:val="24"/>
                <w:u w:val="single"/>
                <w:lang w:val="en-US" w:eastAsia="zh-CN" w:bidi="ar"/>
              </w:rPr>
              <w:t>54</w:t>
            </w:r>
            <w:r>
              <w:rPr>
                <w:rFonts w:hint="default" w:ascii="Times New Roman" w:hAnsi="Times New Roman" w:eastAsia="宋体" w:cs="Times New Roman"/>
                <w:color w:val="auto"/>
                <w:spacing w:val="0"/>
                <w:w w:val="100"/>
                <w:kern w:val="2"/>
                <w:sz w:val="24"/>
                <w:szCs w:val="24"/>
                <w:u w:val="single"/>
                <w:lang w:val="en-US" w:eastAsia="zh-CN" w:bidi="ar"/>
              </w:rPr>
              <w:t xml:space="preserve"> </w:t>
            </w:r>
            <w:r>
              <w:rPr>
                <w:rFonts w:hint="default" w:ascii="Times New Roman" w:hAnsi="Times New Roman" w:eastAsia="宋体" w:cs="Times New Roman"/>
                <w:color w:val="auto"/>
                <w:spacing w:val="0"/>
                <w:w w:val="100"/>
                <w:kern w:val="2"/>
                <w:sz w:val="24"/>
                <w:szCs w:val="24"/>
                <w:lang w:val="en-US" w:eastAsia="zh-CN" w:bidi="ar"/>
              </w:rPr>
              <w:t>分</w:t>
            </w:r>
            <w:r>
              <w:rPr>
                <w:rFonts w:hint="default" w:ascii="Times New Roman" w:hAnsi="Times New Roman" w:eastAsia="宋体" w:cs="Times New Roman"/>
                <w:color w:val="auto"/>
                <w:spacing w:val="0"/>
                <w:w w:val="100"/>
                <w:kern w:val="2"/>
                <w:sz w:val="24"/>
                <w:szCs w:val="24"/>
                <w:u w:val="single"/>
                <w:lang w:val="en-US" w:eastAsia="zh-CN" w:bidi="ar"/>
              </w:rPr>
              <w:t xml:space="preserve"> </w:t>
            </w:r>
            <w:r>
              <w:rPr>
                <w:rFonts w:hint="eastAsia" w:ascii="Times New Roman" w:hAnsi="Times New Roman" w:eastAsia="宋体" w:cs="Times New Roman"/>
                <w:color w:val="auto"/>
                <w:spacing w:val="0"/>
                <w:w w:val="100"/>
                <w:kern w:val="2"/>
                <w:sz w:val="24"/>
                <w:szCs w:val="24"/>
                <w:u w:val="single"/>
                <w:lang w:val="en-US" w:eastAsia="zh-CN" w:bidi="ar"/>
              </w:rPr>
              <w:t>45.527</w:t>
            </w:r>
            <w:r>
              <w:rPr>
                <w:rFonts w:hint="default" w:ascii="Times New Roman" w:hAnsi="Times New Roman" w:eastAsia="宋体" w:cs="Times New Roman"/>
                <w:color w:val="auto"/>
                <w:spacing w:val="0"/>
                <w:w w:val="100"/>
                <w:kern w:val="2"/>
                <w:sz w:val="24"/>
                <w:szCs w:val="24"/>
                <w:lang w:val="en-US" w:eastAsia="zh-CN" w:bidi="ar"/>
              </w:rPr>
              <w:t>秒，</w:t>
            </w:r>
            <w:r>
              <w:rPr>
                <w:rFonts w:hint="default" w:ascii="Times New Roman" w:hAnsi="Times New Roman" w:eastAsia="宋体" w:cs="Times New Roman"/>
                <w:color w:val="auto"/>
                <w:spacing w:val="0"/>
                <w:w w:val="100"/>
                <w:kern w:val="2"/>
                <w:sz w:val="24"/>
                <w:szCs w:val="24"/>
                <w:u w:val="single"/>
                <w:lang w:val="en-US" w:eastAsia="zh-CN" w:bidi="ar"/>
              </w:rPr>
              <w:t xml:space="preserve"> 3</w:t>
            </w:r>
            <w:r>
              <w:rPr>
                <w:rFonts w:hint="eastAsia" w:ascii="Times New Roman" w:hAnsi="Times New Roman" w:eastAsia="宋体" w:cs="Times New Roman"/>
                <w:color w:val="auto"/>
                <w:spacing w:val="0"/>
                <w:w w:val="100"/>
                <w:kern w:val="2"/>
                <w:sz w:val="24"/>
                <w:szCs w:val="24"/>
                <w:u w:val="single"/>
                <w:lang w:val="en-US" w:eastAsia="zh-CN" w:bidi="ar"/>
              </w:rPr>
              <w:t>4</w:t>
            </w:r>
            <w:r>
              <w:rPr>
                <w:rFonts w:hint="default" w:ascii="Times New Roman" w:hAnsi="Times New Roman" w:eastAsia="宋体" w:cs="Times New Roman"/>
                <w:color w:val="auto"/>
                <w:spacing w:val="0"/>
                <w:w w:val="100"/>
                <w:kern w:val="2"/>
                <w:sz w:val="24"/>
                <w:szCs w:val="24"/>
                <w:u w:val="single"/>
                <w:lang w:val="en-US" w:eastAsia="zh-CN" w:bidi="ar"/>
              </w:rPr>
              <w:t xml:space="preserve"> </w:t>
            </w:r>
            <w:r>
              <w:rPr>
                <w:rFonts w:hint="default" w:ascii="Times New Roman" w:hAnsi="Times New Roman" w:eastAsia="宋体" w:cs="Times New Roman"/>
                <w:color w:val="auto"/>
                <w:spacing w:val="0"/>
                <w:w w:val="100"/>
                <w:kern w:val="2"/>
                <w:sz w:val="24"/>
                <w:szCs w:val="24"/>
                <w:lang w:val="en-US" w:eastAsia="zh-CN" w:bidi="ar"/>
              </w:rPr>
              <w:t>度</w:t>
            </w:r>
            <w:r>
              <w:rPr>
                <w:rFonts w:hint="default" w:ascii="Times New Roman" w:hAnsi="Times New Roman" w:eastAsia="宋体" w:cs="Times New Roman"/>
                <w:color w:val="auto"/>
                <w:spacing w:val="0"/>
                <w:w w:val="100"/>
                <w:kern w:val="2"/>
                <w:sz w:val="24"/>
                <w:szCs w:val="24"/>
                <w:u w:val="single"/>
                <w:lang w:val="en-US" w:eastAsia="zh-CN" w:bidi="ar"/>
              </w:rPr>
              <w:t xml:space="preserve"> 5</w:t>
            </w:r>
            <w:r>
              <w:rPr>
                <w:rFonts w:hint="eastAsia" w:ascii="Times New Roman" w:hAnsi="Times New Roman" w:eastAsia="宋体" w:cs="Times New Roman"/>
                <w:color w:val="auto"/>
                <w:spacing w:val="0"/>
                <w:w w:val="100"/>
                <w:kern w:val="2"/>
                <w:sz w:val="24"/>
                <w:szCs w:val="24"/>
                <w:u w:val="single"/>
                <w:lang w:val="en-US" w:eastAsia="zh-CN" w:bidi="ar"/>
              </w:rPr>
              <w:t>1</w:t>
            </w:r>
            <w:r>
              <w:rPr>
                <w:rFonts w:hint="default" w:ascii="Times New Roman" w:hAnsi="Times New Roman" w:eastAsia="宋体" w:cs="Times New Roman"/>
                <w:color w:val="auto"/>
                <w:spacing w:val="0"/>
                <w:w w:val="100"/>
                <w:kern w:val="2"/>
                <w:sz w:val="24"/>
                <w:szCs w:val="24"/>
                <w:lang w:val="en-US" w:eastAsia="zh-CN" w:bidi="ar"/>
              </w:rPr>
              <w:t>分</w:t>
            </w:r>
            <w:r>
              <w:rPr>
                <w:rFonts w:hint="default" w:ascii="Times New Roman" w:hAnsi="Times New Roman" w:eastAsia="宋体" w:cs="Times New Roman"/>
                <w:color w:val="auto"/>
                <w:spacing w:val="0"/>
                <w:w w:val="100"/>
                <w:kern w:val="2"/>
                <w:sz w:val="24"/>
                <w:szCs w:val="24"/>
                <w:u w:val="single"/>
                <w:lang w:val="en-US" w:eastAsia="zh-CN" w:bidi="ar"/>
              </w:rPr>
              <w:t xml:space="preserve"> </w:t>
            </w:r>
            <w:r>
              <w:rPr>
                <w:rFonts w:hint="eastAsia" w:ascii="Times New Roman" w:hAnsi="Times New Roman" w:eastAsia="宋体" w:cs="Times New Roman"/>
                <w:color w:val="auto"/>
                <w:spacing w:val="0"/>
                <w:w w:val="100"/>
                <w:kern w:val="2"/>
                <w:sz w:val="24"/>
                <w:szCs w:val="24"/>
                <w:u w:val="single"/>
                <w:lang w:val="en-US" w:eastAsia="zh-CN" w:bidi="ar"/>
              </w:rPr>
              <w:t>16.129</w:t>
            </w:r>
            <w:r>
              <w:rPr>
                <w:rFonts w:hint="default" w:ascii="Times New Roman" w:hAnsi="Times New Roman" w:eastAsia="宋体" w:cs="Times New Roman"/>
                <w:color w:val="auto"/>
                <w:spacing w:val="0"/>
                <w:w w:val="100"/>
                <w:kern w:val="2"/>
                <w:sz w:val="24"/>
                <w:szCs w:val="24"/>
                <w:u w:val="single"/>
                <w:lang w:val="en-US" w:eastAsia="zh-CN" w:bidi="ar"/>
              </w:rPr>
              <w:t xml:space="preserve"> </w:t>
            </w:r>
            <w:r>
              <w:rPr>
                <w:rFonts w:hint="default" w:ascii="Times New Roman" w:hAnsi="Times New Roman" w:eastAsia="宋体" w:cs="Times New Roman"/>
                <w:color w:val="auto"/>
                <w:spacing w:val="0"/>
                <w:w w:val="100"/>
                <w:kern w:val="2"/>
                <w:sz w:val="24"/>
                <w:szCs w:val="24"/>
                <w:lang w:val="en-US" w:eastAsia="zh-CN" w:bidi="ar"/>
              </w:rPr>
              <w:t>秒</w:t>
            </w:r>
          </w:p>
        </w:tc>
      </w:tr>
      <w:tr w14:paraId="0C7586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523" w:hRule="atLeast"/>
          <w:jc w:val="center"/>
        </w:trPr>
        <w:tc>
          <w:tcPr>
            <w:tcW w:w="224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1038B3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国民经济</w:t>
            </w:r>
          </w:p>
          <w:p w14:paraId="675A4F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行业类别</w:t>
            </w:r>
          </w:p>
        </w:tc>
        <w:tc>
          <w:tcPr>
            <w:tcW w:w="2528" w:type="dxa"/>
            <w:tcBorders>
              <w:top w:val="single" w:color="auto" w:sz="4" w:space="0"/>
              <w:left w:val="single" w:color="auto" w:sz="4" w:space="0"/>
              <w:bottom w:val="single" w:color="auto" w:sz="4" w:space="0"/>
              <w:right w:val="single" w:color="auto" w:sz="4" w:space="0"/>
            </w:tcBorders>
            <w:shd w:val="clear" w:color="auto" w:fill="auto"/>
            <w:vAlign w:val="center"/>
          </w:tcPr>
          <w:p w14:paraId="74520F46">
            <w:pPr>
              <w:keepNext w:val="0"/>
              <w:keepLines w:val="0"/>
              <w:pageBreakBefore w:val="0"/>
              <w:widowControl w:val="0"/>
              <w:suppressLineNumbers w:val="0"/>
              <w:kinsoku/>
              <w:wordWrap/>
              <w:overflowPunct/>
              <w:topLinePunct w:val="0"/>
              <w:autoSpaceDE/>
              <w:autoSpaceDN/>
              <w:bidi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kern w:val="2"/>
                <w:sz w:val="24"/>
                <w:szCs w:val="24"/>
                <w:lang w:val="en-US" w:eastAsia="zh-CN" w:bidi="ar-SA"/>
              </w:rPr>
            </w:pPr>
            <w:r>
              <w:rPr>
                <w:rFonts w:hint="eastAsia" w:ascii="Times New Roman" w:hAnsi="Times New Roman" w:cs="Times New Roman"/>
                <w:color w:val="auto"/>
                <w:spacing w:val="0"/>
                <w:w w:val="100"/>
                <w:sz w:val="24"/>
                <w:lang w:val="en-US" w:eastAsia="zh-CN"/>
              </w:rPr>
              <w:t>D</w:t>
            </w:r>
            <w:r>
              <w:rPr>
                <w:rFonts w:hint="default" w:ascii="Times New Roman" w:hAnsi="Times New Roman" w:cs="Times New Roman"/>
                <w:color w:val="auto"/>
                <w:spacing w:val="0"/>
                <w:w w:val="100"/>
                <w:sz w:val="24"/>
              </w:rPr>
              <w:t>4620 污水处理及其再生利用</w:t>
            </w:r>
          </w:p>
        </w:tc>
        <w:tc>
          <w:tcPr>
            <w:tcW w:w="1885" w:type="dxa"/>
            <w:tcBorders>
              <w:top w:val="single" w:color="auto" w:sz="4" w:space="0"/>
              <w:left w:val="single" w:color="auto" w:sz="4" w:space="0"/>
              <w:bottom w:val="single" w:color="auto" w:sz="4" w:space="0"/>
              <w:right w:val="single" w:color="auto" w:sz="4" w:space="0"/>
            </w:tcBorders>
            <w:shd w:val="clear" w:color="auto" w:fill="auto"/>
            <w:vAlign w:val="center"/>
          </w:tcPr>
          <w:p w14:paraId="3B188B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bookmarkStart w:id="1" w:name="_Hlk49843745"/>
            <w:r>
              <w:rPr>
                <w:rFonts w:hint="default" w:ascii="Times New Roman" w:hAnsi="Times New Roman" w:eastAsia="宋体" w:cs="Times New Roman"/>
                <w:color w:val="auto"/>
                <w:spacing w:val="0"/>
                <w:w w:val="100"/>
                <w:kern w:val="2"/>
                <w:sz w:val="24"/>
                <w:szCs w:val="24"/>
                <w:lang w:val="en-US" w:eastAsia="zh-CN" w:bidi="ar"/>
              </w:rPr>
              <w:t>建设项目</w:t>
            </w:r>
          </w:p>
          <w:p w14:paraId="0C9F5A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行业类别</w:t>
            </w:r>
            <w:bookmarkEnd w:id="1"/>
          </w:p>
        </w:tc>
        <w:tc>
          <w:tcPr>
            <w:tcW w:w="2926" w:type="dxa"/>
            <w:tcBorders>
              <w:top w:val="single" w:color="auto" w:sz="4" w:space="0"/>
              <w:left w:val="single" w:color="auto" w:sz="4" w:space="0"/>
              <w:bottom w:val="single" w:color="auto" w:sz="4" w:space="0"/>
              <w:right w:val="single" w:color="auto" w:sz="8" w:space="0"/>
            </w:tcBorders>
            <w:shd w:val="clear" w:color="auto" w:fill="auto"/>
            <w:vAlign w:val="center"/>
          </w:tcPr>
          <w:p w14:paraId="4E0640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eastAsia" w:ascii="Times New Roman" w:hAnsi="Times New Roman" w:eastAsia="新宋体" w:cs="Times New Roman"/>
                <w:color w:val="auto"/>
                <w:spacing w:val="0"/>
                <w:w w:val="100"/>
                <w:sz w:val="24"/>
                <w:lang w:val="en-US" w:eastAsia="zh-CN"/>
              </w:rPr>
              <w:t>43-095 污水处理及其再生利用</w:t>
            </w:r>
          </w:p>
        </w:tc>
      </w:tr>
      <w:tr w14:paraId="511E12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4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2F2CC5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建设性质</w:t>
            </w:r>
          </w:p>
        </w:tc>
        <w:tc>
          <w:tcPr>
            <w:tcW w:w="2528" w:type="dxa"/>
            <w:tcBorders>
              <w:top w:val="single" w:color="auto" w:sz="4" w:space="0"/>
              <w:left w:val="single" w:color="auto" w:sz="4" w:space="0"/>
              <w:bottom w:val="single" w:color="auto" w:sz="4" w:space="0"/>
              <w:right w:val="single" w:color="auto" w:sz="4" w:space="0"/>
            </w:tcBorders>
            <w:shd w:val="clear" w:color="auto" w:fill="auto"/>
            <w:vAlign w:val="center"/>
          </w:tcPr>
          <w:p w14:paraId="0A066000">
            <w:pPr>
              <w:keepNext w:val="0"/>
              <w:keepLines w:val="0"/>
              <w:suppressLineNumbers w:val="0"/>
              <w:spacing w:before="0" w:beforeAutospacing="0" w:after="0" w:afterAutospacing="0"/>
              <w:ind w:left="0" w:right="0"/>
              <w:jc w:val="left"/>
              <w:rPr>
                <w:rFonts w:hint="default"/>
                <w:color w:val="auto"/>
                <w:spacing w:val="0"/>
                <w:sz w:val="24"/>
              </w:rPr>
            </w:pPr>
            <w:r>
              <w:rPr>
                <w:rFonts w:hint="eastAsia"/>
                <w:color w:val="auto"/>
                <w:spacing w:val="0"/>
                <w:sz w:val="24"/>
                <w:lang w:eastAsia="zh-CN"/>
              </w:rPr>
              <w:t>☑</w:t>
            </w:r>
            <w:r>
              <w:rPr>
                <w:rFonts w:hint="default"/>
                <w:color w:val="auto"/>
                <w:spacing w:val="0"/>
                <w:sz w:val="24"/>
              </w:rPr>
              <w:t>新建（迁建）</w:t>
            </w:r>
          </w:p>
          <w:p w14:paraId="0AA4F02C">
            <w:pPr>
              <w:keepNext w:val="0"/>
              <w:keepLines w:val="0"/>
              <w:suppressLineNumbers w:val="0"/>
              <w:spacing w:before="0" w:beforeAutospacing="0" w:after="0" w:afterAutospacing="0"/>
              <w:ind w:left="0" w:right="0"/>
              <w:jc w:val="left"/>
              <w:rPr>
                <w:rFonts w:hint="default"/>
                <w:color w:val="auto"/>
                <w:spacing w:val="0"/>
                <w:sz w:val="24"/>
              </w:rPr>
            </w:pPr>
            <w:r>
              <w:rPr>
                <w:rFonts w:hint="eastAsia"/>
                <w:color w:val="auto"/>
                <w:spacing w:val="0"/>
                <w:sz w:val="24"/>
                <w:lang w:eastAsia="zh-CN"/>
              </w:rPr>
              <w:t>□</w:t>
            </w:r>
            <w:r>
              <w:rPr>
                <w:rFonts w:hint="default"/>
                <w:color w:val="auto"/>
                <w:spacing w:val="0"/>
                <w:sz w:val="24"/>
              </w:rPr>
              <w:t>改建</w:t>
            </w:r>
          </w:p>
          <w:p w14:paraId="6C788297">
            <w:pPr>
              <w:keepNext w:val="0"/>
              <w:keepLines w:val="0"/>
              <w:suppressLineNumbers w:val="0"/>
              <w:spacing w:before="0" w:beforeAutospacing="0" w:after="0" w:afterAutospacing="0"/>
              <w:ind w:left="0" w:right="0"/>
              <w:jc w:val="left"/>
              <w:rPr>
                <w:rFonts w:hint="default"/>
                <w:color w:val="auto"/>
                <w:spacing w:val="0"/>
                <w:sz w:val="24"/>
              </w:rPr>
            </w:pPr>
            <w:r>
              <w:rPr>
                <w:rFonts w:hint="eastAsia"/>
                <w:color w:val="auto"/>
                <w:spacing w:val="0"/>
                <w:sz w:val="24"/>
                <w:lang w:eastAsia="zh-CN"/>
              </w:rPr>
              <w:t>□</w:t>
            </w:r>
            <w:r>
              <w:rPr>
                <w:rFonts w:hint="default"/>
                <w:color w:val="auto"/>
                <w:spacing w:val="0"/>
                <w:sz w:val="24"/>
              </w:rPr>
              <w:t>扩建</w:t>
            </w:r>
          </w:p>
          <w:p w14:paraId="6B050CD1">
            <w:pPr>
              <w:keepNext w:val="0"/>
              <w:keepLines w:val="0"/>
              <w:pageBreakBefore w:val="0"/>
              <w:widowControl w:val="0"/>
              <w:suppressLineNumbers w:val="0"/>
              <w:kinsoku/>
              <w:wordWrap/>
              <w:overflowPunct/>
              <w:topLinePunct w:val="0"/>
              <w:autoSpaceDE/>
              <w:autoSpaceDN/>
              <w:bidi w:val="0"/>
              <w:spacing w:before="0" w:beforeAutospacing="0" w:after="0" w:afterAutospacing="0" w:line="400" w:lineRule="exact"/>
              <w:ind w:left="0" w:right="0"/>
              <w:jc w:val="left"/>
              <w:textAlignment w:val="auto"/>
              <w:rPr>
                <w:rFonts w:hint="default" w:ascii="Times New Roman" w:hAnsi="Times New Roman" w:eastAsia="宋体" w:cs="Times New Roman"/>
                <w:color w:val="auto"/>
                <w:spacing w:val="0"/>
                <w:w w:val="100"/>
                <w:sz w:val="24"/>
                <w:szCs w:val="24"/>
                <w:lang w:val="en-US"/>
              </w:rPr>
            </w:pPr>
            <w:r>
              <w:rPr>
                <w:rFonts w:hint="eastAsia"/>
                <w:color w:val="auto"/>
                <w:spacing w:val="0"/>
                <w:sz w:val="24"/>
              </w:rPr>
              <w:t>□</w:t>
            </w:r>
            <w:r>
              <w:rPr>
                <w:rFonts w:hint="default"/>
                <w:color w:val="auto"/>
                <w:spacing w:val="0"/>
                <w:sz w:val="24"/>
              </w:rPr>
              <w:t>技术改造</w:t>
            </w:r>
          </w:p>
        </w:tc>
        <w:tc>
          <w:tcPr>
            <w:tcW w:w="1885" w:type="dxa"/>
            <w:tcBorders>
              <w:top w:val="single" w:color="auto" w:sz="4" w:space="0"/>
              <w:left w:val="single" w:color="auto" w:sz="4" w:space="0"/>
              <w:bottom w:val="single" w:color="auto" w:sz="4" w:space="0"/>
              <w:right w:val="single" w:color="auto" w:sz="4" w:space="0"/>
            </w:tcBorders>
            <w:shd w:val="clear" w:color="auto" w:fill="auto"/>
            <w:vAlign w:val="center"/>
          </w:tcPr>
          <w:p w14:paraId="02A4A8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建设项目</w:t>
            </w:r>
          </w:p>
          <w:p w14:paraId="74F2AA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申报情形</w:t>
            </w:r>
          </w:p>
        </w:tc>
        <w:tc>
          <w:tcPr>
            <w:tcW w:w="2926" w:type="dxa"/>
            <w:tcBorders>
              <w:top w:val="single" w:color="auto" w:sz="4" w:space="0"/>
              <w:left w:val="single" w:color="auto" w:sz="4" w:space="0"/>
              <w:bottom w:val="single" w:color="auto" w:sz="4" w:space="0"/>
              <w:right w:val="single" w:color="auto" w:sz="8" w:space="0"/>
            </w:tcBorders>
            <w:shd w:val="clear" w:color="auto" w:fill="auto"/>
            <w:vAlign w:val="center"/>
          </w:tcPr>
          <w:p w14:paraId="5E8D36B9">
            <w:pPr>
              <w:keepNext w:val="0"/>
              <w:keepLines w:val="0"/>
              <w:suppressLineNumbers w:val="0"/>
              <w:spacing w:before="0" w:beforeAutospacing="0" w:after="0" w:afterAutospacing="0"/>
              <w:ind w:left="0" w:right="0"/>
              <w:jc w:val="left"/>
              <w:rPr>
                <w:rFonts w:hint="default"/>
                <w:color w:val="auto"/>
                <w:spacing w:val="0"/>
                <w:sz w:val="24"/>
              </w:rPr>
            </w:pPr>
            <w:r>
              <w:rPr>
                <w:rFonts w:hint="eastAsia"/>
                <w:color w:val="auto"/>
                <w:spacing w:val="0"/>
                <w:sz w:val="24"/>
                <w:lang w:eastAsia="zh-CN"/>
              </w:rPr>
              <w:t>☑</w:t>
            </w:r>
            <w:r>
              <w:rPr>
                <w:rFonts w:hint="default"/>
                <w:color w:val="auto"/>
                <w:spacing w:val="0"/>
                <w:sz w:val="24"/>
              </w:rPr>
              <w:t xml:space="preserve">首次申报项目             </w:t>
            </w:r>
          </w:p>
          <w:p w14:paraId="41C56E97">
            <w:pPr>
              <w:keepNext w:val="0"/>
              <w:keepLines w:val="0"/>
              <w:suppressLineNumbers w:val="0"/>
              <w:spacing w:before="0" w:beforeAutospacing="0" w:after="0" w:afterAutospacing="0"/>
              <w:ind w:left="0" w:right="0"/>
              <w:jc w:val="left"/>
              <w:rPr>
                <w:rFonts w:hint="default"/>
                <w:color w:val="auto"/>
                <w:spacing w:val="0"/>
                <w:sz w:val="24"/>
              </w:rPr>
            </w:pPr>
            <w:r>
              <w:rPr>
                <w:rFonts w:hint="eastAsia"/>
                <w:color w:val="auto"/>
                <w:spacing w:val="0"/>
                <w:sz w:val="24"/>
              </w:rPr>
              <w:t>□</w:t>
            </w:r>
            <w:r>
              <w:rPr>
                <w:rFonts w:hint="default"/>
                <w:color w:val="auto"/>
                <w:spacing w:val="0"/>
                <w:sz w:val="24"/>
              </w:rPr>
              <w:t>不予批准后再次申报项目</w:t>
            </w:r>
          </w:p>
          <w:p w14:paraId="00CD0FC6">
            <w:pPr>
              <w:keepNext w:val="0"/>
              <w:keepLines w:val="0"/>
              <w:suppressLineNumbers w:val="0"/>
              <w:spacing w:before="0" w:beforeAutospacing="0" w:after="0" w:afterAutospacing="0"/>
              <w:ind w:left="0" w:right="0"/>
              <w:jc w:val="left"/>
              <w:rPr>
                <w:rFonts w:hint="default"/>
                <w:color w:val="auto"/>
                <w:spacing w:val="0"/>
                <w:sz w:val="24"/>
              </w:rPr>
            </w:pPr>
            <w:r>
              <w:rPr>
                <w:rFonts w:hint="eastAsia"/>
                <w:color w:val="auto"/>
                <w:spacing w:val="0"/>
                <w:sz w:val="24"/>
              </w:rPr>
              <w:t>□</w:t>
            </w:r>
            <w:r>
              <w:rPr>
                <w:rFonts w:hint="default"/>
                <w:color w:val="auto"/>
                <w:spacing w:val="0"/>
                <w:sz w:val="24"/>
              </w:rPr>
              <w:t xml:space="preserve">超五年重新审核项目     </w:t>
            </w:r>
          </w:p>
          <w:p w14:paraId="673826FC">
            <w:pPr>
              <w:keepNext w:val="0"/>
              <w:keepLines w:val="0"/>
              <w:pageBreakBefore w:val="0"/>
              <w:widowControl w:val="0"/>
              <w:suppressLineNumbers w:val="0"/>
              <w:kinsoku/>
              <w:wordWrap/>
              <w:overflowPunct/>
              <w:topLinePunct w:val="0"/>
              <w:autoSpaceDE/>
              <w:autoSpaceDN/>
              <w:bidi w:val="0"/>
              <w:spacing w:before="0" w:beforeAutospacing="0" w:after="0" w:afterAutospacing="0" w:line="400" w:lineRule="exact"/>
              <w:ind w:left="0" w:right="0"/>
              <w:jc w:val="left"/>
              <w:textAlignment w:val="auto"/>
              <w:rPr>
                <w:rFonts w:hint="default" w:ascii="Times New Roman" w:hAnsi="Times New Roman" w:eastAsia="宋体" w:cs="Times New Roman"/>
                <w:color w:val="auto"/>
                <w:spacing w:val="0"/>
                <w:w w:val="100"/>
                <w:sz w:val="24"/>
                <w:szCs w:val="24"/>
                <w:lang w:val="en-US"/>
              </w:rPr>
            </w:pPr>
            <w:r>
              <w:rPr>
                <w:rFonts w:hint="eastAsia"/>
                <w:color w:val="auto"/>
                <w:spacing w:val="0"/>
                <w:sz w:val="24"/>
              </w:rPr>
              <w:t>□</w:t>
            </w:r>
            <w:r>
              <w:rPr>
                <w:rFonts w:hint="default"/>
                <w:color w:val="auto"/>
                <w:spacing w:val="0"/>
                <w:sz w:val="24"/>
              </w:rPr>
              <w:t>重大变动重新报批项目</w:t>
            </w:r>
          </w:p>
        </w:tc>
      </w:tr>
      <w:tr w14:paraId="34700D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4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449BE6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项目审批（核准/</w:t>
            </w:r>
          </w:p>
          <w:p w14:paraId="6C7BDA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备案）部门（选填）</w:t>
            </w:r>
          </w:p>
        </w:tc>
        <w:tc>
          <w:tcPr>
            <w:tcW w:w="2528" w:type="dxa"/>
            <w:tcBorders>
              <w:top w:val="single" w:color="auto" w:sz="4" w:space="0"/>
              <w:left w:val="single" w:color="auto" w:sz="4" w:space="0"/>
              <w:bottom w:val="single" w:color="auto" w:sz="4" w:space="0"/>
              <w:right w:val="single" w:color="auto" w:sz="4" w:space="0"/>
            </w:tcBorders>
            <w:shd w:val="clear" w:color="auto" w:fill="auto"/>
            <w:vAlign w:val="center"/>
          </w:tcPr>
          <w:p w14:paraId="4990EF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陇县发展和改革局</w:t>
            </w:r>
          </w:p>
        </w:tc>
        <w:tc>
          <w:tcPr>
            <w:tcW w:w="1885" w:type="dxa"/>
            <w:tcBorders>
              <w:top w:val="single" w:color="auto" w:sz="4" w:space="0"/>
              <w:left w:val="single" w:color="auto" w:sz="4" w:space="0"/>
              <w:bottom w:val="single" w:color="auto" w:sz="4" w:space="0"/>
              <w:right w:val="single" w:color="auto" w:sz="4" w:space="0"/>
            </w:tcBorders>
            <w:shd w:val="clear" w:color="auto" w:fill="auto"/>
            <w:vAlign w:val="center"/>
          </w:tcPr>
          <w:p w14:paraId="60BD35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项目审批（核准/</w:t>
            </w:r>
          </w:p>
          <w:p w14:paraId="52143D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备案）文号（选填）</w:t>
            </w:r>
          </w:p>
        </w:tc>
        <w:tc>
          <w:tcPr>
            <w:tcW w:w="2926" w:type="dxa"/>
            <w:tcBorders>
              <w:top w:val="single" w:color="auto" w:sz="4" w:space="0"/>
              <w:left w:val="single" w:color="auto" w:sz="4" w:space="0"/>
              <w:bottom w:val="single" w:color="auto" w:sz="4" w:space="0"/>
              <w:right w:val="single" w:color="auto" w:sz="8" w:space="0"/>
            </w:tcBorders>
            <w:shd w:val="clear" w:color="auto" w:fill="auto"/>
            <w:vAlign w:val="center"/>
          </w:tcPr>
          <w:p w14:paraId="2A364C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sz w:val="24"/>
                <w:szCs w:val="24"/>
                <w:lang w:val="en-US"/>
              </w:rPr>
              <w:t>陇发改发〔2025</w:t>
            </w:r>
            <w:r>
              <w:rPr>
                <w:rFonts w:hint="eastAsia" w:ascii="宋体" w:hAnsi="宋体" w:eastAsia="宋体" w:cs="宋体"/>
                <w:color w:val="auto"/>
                <w:spacing w:val="0"/>
                <w:w w:val="100"/>
                <w:sz w:val="24"/>
                <w:szCs w:val="24"/>
                <w:lang w:val="en-US"/>
              </w:rPr>
              <w:t>〕</w:t>
            </w:r>
            <w:r>
              <w:rPr>
                <w:rFonts w:hint="default" w:ascii="Times New Roman" w:hAnsi="Times New Roman" w:eastAsia="宋体" w:cs="Times New Roman"/>
                <w:color w:val="auto"/>
                <w:spacing w:val="0"/>
                <w:w w:val="100"/>
                <w:sz w:val="24"/>
                <w:szCs w:val="24"/>
                <w:lang w:val="en-US"/>
              </w:rPr>
              <w:t>664号</w:t>
            </w:r>
          </w:p>
        </w:tc>
      </w:tr>
      <w:tr w14:paraId="695BED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331" w:hRule="atLeast"/>
          <w:jc w:val="center"/>
        </w:trPr>
        <w:tc>
          <w:tcPr>
            <w:tcW w:w="224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7EAF45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总投资（万元）</w:t>
            </w:r>
          </w:p>
        </w:tc>
        <w:tc>
          <w:tcPr>
            <w:tcW w:w="2528" w:type="dxa"/>
            <w:tcBorders>
              <w:top w:val="single" w:color="auto" w:sz="4" w:space="0"/>
              <w:left w:val="single" w:color="auto" w:sz="4" w:space="0"/>
              <w:bottom w:val="single" w:color="auto" w:sz="4" w:space="0"/>
              <w:right w:val="single" w:color="auto" w:sz="4" w:space="0"/>
            </w:tcBorders>
            <w:shd w:val="clear" w:color="auto" w:fill="auto"/>
            <w:vAlign w:val="center"/>
          </w:tcPr>
          <w:p w14:paraId="0AF0DB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4430.84</w:t>
            </w:r>
          </w:p>
        </w:tc>
        <w:tc>
          <w:tcPr>
            <w:tcW w:w="1885"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14:paraId="5DBF8E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环保投资（万元）</w:t>
            </w:r>
          </w:p>
        </w:tc>
        <w:tc>
          <w:tcPr>
            <w:tcW w:w="2926" w:type="dxa"/>
            <w:tcBorders>
              <w:top w:val="single" w:color="auto" w:sz="4" w:space="0"/>
              <w:left w:val="single" w:color="auto" w:sz="4" w:space="0"/>
              <w:bottom w:val="single" w:color="auto" w:sz="4" w:space="0"/>
              <w:right w:val="single" w:color="auto" w:sz="8" w:space="0"/>
            </w:tcBorders>
            <w:shd w:val="clear" w:color="auto" w:fill="auto"/>
            <w:vAlign w:val="center"/>
          </w:tcPr>
          <w:p w14:paraId="277FF4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163.7</w:t>
            </w:r>
          </w:p>
        </w:tc>
      </w:tr>
      <w:tr w14:paraId="320224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224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031680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环保投资占比（%）</w:t>
            </w:r>
          </w:p>
        </w:tc>
        <w:tc>
          <w:tcPr>
            <w:tcW w:w="2528" w:type="dxa"/>
            <w:tcBorders>
              <w:top w:val="single" w:color="auto" w:sz="4" w:space="0"/>
              <w:left w:val="single" w:color="auto" w:sz="4" w:space="0"/>
              <w:bottom w:val="single" w:color="auto" w:sz="4" w:space="0"/>
              <w:right w:val="single" w:color="auto" w:sz="4" w:space="0"/>
            </w:tcBorders>
            <w:shd w:val="clear" w:color="auto" w:fill="auto"/>
            <w:vAlign w:val="center"/>
          </w:tcPr>
          <w:p w14:paraId="6A9F62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3.69</w:t>
            </w:r>
          </w:p>
        </w:tc>
        <w:tc>
          <w:tcPr>
            <w:tcW w:w="1885"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14:paraId="547045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施工工期</w:t>
            </w:r>
          </w:p>
        </w:tc>
        <w:tc>
          <w:tcPr>
            <w:tcW w:w="2926" w:type="dxa"/>
            <w:tcBorders>
              <w:top w:val="single" w:color="auto" w:sz="4" w:space="0"/>
              <w:left w:val="single" w:color="auto" w:sz="4" w:space="0"/>
              <w:bottom w:val="single" w:color="auto" w:sz="4" w:space="0"/>
              <w:right w:val="single" w:color="auto" w:sz="8" w:space="0"/>
            </w:tcBorders>
            <w:shd w:val="clear" w:color="auto" w:fill="auto"/>
            <w:vAlign w:val="center"/>
          </w:tcPr>
          <w:p w14:paraId="1F60F0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24个月</w:t>
            </w:r>
          </w:p>
        </w:tc>
      </w:tr>
      <w:tr w14:paraId="774D5A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3" w:hRule="atLeast"/>
          <w:jc w:val="center"/>
        </w:trPr>
        <w:tc>
          <w:tcPr>
            <w:tcW w:w="224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447D12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是否开工建设</w:t>
            </w:r>
          </w:p>
        </w:tc>
        <w:tc>
          <w:tcPr>
            <w:tcW w:w="2528" w:type="dxa"/>
            <w:tcBorders>
              <w:top w:val="single" w:color="auto" w:sz="4" w:space="0"/>
              <w:left w:val="single" w:color="auto" w:sz="4" w:space="0"/>
              <w:bottom w:val="single" w:color="auto" w:sz="4" w:space="0"/>
              <w:right w:val="single" w:color="auto" w:sz="4" w:space="0"/>
            </w:tcBorders>
            <w:shd w:val="clear" w:color="auto" w:fill="auto"/>
            <w:vAlign w:val="center"/>
          </w:tcPr>
          <w:p w14:paraId="18303217">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spacing w:val="0"/>
                <w:sz w:val="24"/>
                <w:szCs w:val="24"/>
              </w:rPr>
            </w:pPr>
            <w:r>
              <w:rPr>
                <w:rFonts w:hint="eastAsia" w:ascii="Times New Roman" w:hAnsi="Times New Roman" w:cs="Times New Roman"/>
                <w:color w:val="auto"/>
                <w:spacing w:val="0"/>
                <w:sz w:val="24"/>
                <w:szCs w:val="24"/>
                <w:lang w:eastAsia="zh-CN"/>
              </w:rPr>
              <w:t>☑</w:t>
            </w:r>
            <w:r>
              <w:rPr>
                <w:rFonts w:hint="default" w:ascii="Times New Roman" w:hAnsi="Times New Roman" w:cs="Times New Roman"/>
                <w:color w:val="auto"/>
                <w:spacing w:val="0"/>
                <w:sz w:val="24"/>
                <w:szCs w:val="24"/>
              </w:rPr>
              <w:t>否</w:t>
            </w:r>
          </w:p>
          <w:p w14:paraId="540C95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both"/>
              <w:textAlignment w:val="auto"/>
              <w:rPr>
                <w:rFonts w:hint="default" w:ascii="Times New Roman" w:hAnsi="Times New Roman" w:eastAsia="宋体" w:cs="Times New Roman"/>
                <w:color w:val="auto"/>
                <w:spacing w:val="0"/>
                <w:w w:val="100"/>
                <w:sz w:val="24"/>
                <w:szCs w:val="24"/>
                <w:lang w:val="en-US"/>
              </w:rPr>
            </w:pPr>
            <w:r>
              <w:rPr>
                <w:rFonts w:hint="eastAsia" w:ascii="Times New Roman" w:hAnsi="Times New Roman" w:cs="Times New Roman"/>
                <w:color w:val="auto"/>
                <w:spacing w:val="0"/>
                <w:sz w:val="24"/>
                <w:szCs w:val="24"/>
                <w:lang w:eastAsia="zh-CN"/>
              </w:rPr>
              <w:t>□</w:t>
            </w:r>
            <w:r>
              <w:rPr>
                <w:rFonts w:hint="default" w:ascii="Times New Roman" w:hAnsi="Times New Roman" w:cs="Times New Roman"/>
                <w:color w:val="auto"/>
                <w:spacing w:val="0"/>
                <w:sz w:val="24"/>
                <w:szCs w:val="24"/>
              </w:rPr>
              <w:t>是</w:t>
            </w:r>
            <w:r>
              <w:rPr>
                <w:rFonts w:hint="eastAsia" w:ascii="Times New Roman" w:hAnsi="Times New Roman" w:cs="Times New Roman"/>
                <w:color w:val="auto"/>
                <w:spacing w:val="0"/>
                <w:sz w:val="24"/>
                <w:szCs w:val="24"/>
                <w:lang w:eastAsia="zh-CN"/>
              </w:rPr>
              <w:t>：</w:t>
            </w:r>
          </w:p>
        </w:tc>
        <w:tc>
          <w:tcPr>
            <w:tcW w:w="1885"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14:paraId="42B1E8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用地（用海）</w:t>
            </w:r>
          </w:p>
          <w:p w14:paraId="2C81EE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面积（m</w:t>
            </w:r>
            <w:r>
              <w:rPr>
                <w:rFonts w:hint="default" w:ascii="Times New Roman" w:hAnsi="Times New Roman" w:eastAsia="宋体" w:cs="Times New Roman"/>
                <w:color w:val="auto"/>
                <w:spacing w:val="0"/>
                <w:w w:val="100"/>
                <w:kern w:val="2"/>
                <w:sz w:val="24"/>
                <w:szCs w:val="24"/>
                <w:vertAlign w:val="superscript"/>
                <w:lang w:val="en-US" w:eastAsia="zh-CN" w:bidi="ar"/>
              </w:rPr>
              <w:t>2</w:t>
            </w:r>
            <w:r>
              <w:rPr>
                <w:rFonts w:hint="default" w:ascii="Times New Roman" w:hAnsi="Times New Roman" w:eastAsia="宋体" w:cs="Times New Roman"/>
                <w:color w:val="auto"/>
                <w:spacing w:val="0"/>
                <w:w w:val="100"/>
                <w:kern w:val="2"/>
                <w:sz w:val="24"/>
                <w:szCs w:val="24"/>
                <w:lang w:val="en-US" w:eastAsia="zh-CN" w:bidi="ar"/>
              </w:rPr>
              <w:t>）</w:t>
            </w:r>
          </w:p>
        </w:tc>
        <w:tc>
          <w:tcPr>
            <w:tcW w:w="2926" w:type="dxa"/>
            <w:tcBorders>
              <w:top w:val="single" w:color="auto" w:sz="4" w:space="0"/>
              <w:left w:val="single" w:color="auto" w:sz="4" w:space="0"/>
              <w:bottom w:val="single" w:color="auto" w:sz="4" w:space="0"/>
              <w:right w:val="single" w:color="auto" w:sz="8" w:space="0"/>
            </w:tcBorders>
            <w:shd w:val="clear" w:color="auto" w:fill="auto"/>
            <w:vAlign w:val="center"/>
          </w:tcPr>
          <w:p w14:paraId="662063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kern w:val="2"/>
                <w:sz w:val="24"/>
                <w:szCs w:val="24"/>
                <w:lang w:val="en-US" w:eastAsia="zh-CN" w:bidi="ar"/>
              </w:rPr>
              <w:t>14351</w:t>
            </w:r>
            <w:r>
              <w:rPr>
                <w:rFonts w:hint="default" w:ascii="Times New Roman" w:hAnsi="Times New Roman" w:eastAsia="Times New Roman" w:cs="Times New Roman"/>
                <w:spacing w:val="0"/>
                <w:sz w:val="28"/>
                <w:szCs w:val="28"/>
              </w:rPr>
              <w:t>.6</w:t>
            </w:r>
            <w:r>
              <w:rPr>
                <w:rFonts w:hint="default" w:ascii="Times New Roman" w:hAnsi="Times New Roman" w:eastAsia="宋体" w:cs="Times New Roman"/>
                <w:color w:val="auto"/>
                <w:spacing w:val="0"/>
                <w:w w:val="100"/>
                <w:kern w:val="2"/>
                <w:sz w:val="24"/>
                <w:szCs w:val="24"/>
                <w:lang w:val="en-US" w:eastAsia="zh-CN" w:bidi="ar"/>
              </w:rPr>
              <w:t>m</w:t>
            </w:r>
            <w:r>
              <w:rPr>
                <w:rFonts w:hint="default" w:ascii="Times New Roman" w:hAnsi="Times New Roman" w:eastAsia="宋体" w:cs="Times New Roman"/>
                <w:color w:val="auto"/>
                <w:spacing w:val="0"/>
                <w:w w:val="100"/>
                <w:kern w:val="2"/>
                <w:sz w:val="24"/>
                <w:szCs w:val="24"/>
                <w:vertAlign w:val="superscript"/>
                <w:lang w:val="en-US" w:eastAsia="zh-CN" w:bidi="ar"/>
              </w:rPr>
              <w:t>2</w:t>
            </w:r>
            <w:r>
              <w:rPr>
                <w:rFonts w:hint="default" w:ascii="Times New Roman" w:hAnsi="Times New Roman" w:eastAsia="宋体" w:cs="Times New Roman"/>
                <w:color w:val="auto"/>
                <w:spacing w:val="0"/>
                <w:w w:val="100"/>
                <w:kern w:val="2"/>
                <w:sz w:val="24"/>
                <w:szCs w:val="24"/>
                <w:lang w:val="en-US" w:eastAsia="zh-CN" w:bidi="ar"/>
              </w:rPr>
              <w:t>（约</w:t>
            </w:r>
            <w:r>
              <w:rPr>
                <w:rFonts w:hint="eastAsia" w:ascii="Times New Roman" w:hAnsi="Times New Roman" w:eastAsia="宋体" w:cs="Times New Roman"/>
                <w:color w:val="auto"/>
                <w:spacing w:val="0"/>
                <w:w w:val="100"/>
                <w:kern w:val="2"/>
                <w:sz w:val="24"/>
                <w:szCs w:val="24"/>
                <w:lang w:val="en-US" w:eastAsia="zh-CN" w:bidi="ar"/>
              </w:rPr>
              <w:t>21</w:t>
            </w:r>
            <w:r>
              <w:rPr>
                <w:rFonts w:hint="default" w:ascii="Times New Roman" w:hAnsi="Times New Roman" w:eastAsia="宋体" w:cs="Times New Roman"/>
                <w:color w:val="auto"/>
                <w:spacing w:val="0"/>
                <w:w w:val="100"/>
                <w:kern w:val="2"/>
                <w:sz w:val="24"/>
                <w:szCs w:val="24"/>
                <w:lang w:val="en-US" w:eastAsia="zh-CN" w:bidi="ar"/>
              </w:rPr>
              <w:t>亩）</w:t>
            </w:r>
          </w:p>
        </w:tc>
      </w:tr>
      <w:tr w14:paraId="5978C8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45" w:hRule="atLeast"/>
          <w:jc w:val="center"/>
        </w:trPr>
        <w:tc>
          <w:tcPr>
            <w:tcW w:w="1042"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51A08198">
            <w:pPr>
              <w:keepNext w:val="0"/>
              <w:keepLines w:val="0"/>
              <w:widowControl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专项评价设置情况</w:t>
            </w:r>
          </w:p>
        </w:tc>
        <w:tc>
          <w:tcPr>
            <w:tcW w:w="8537"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46DD8892">
            <w:pPr>
              <w:pStyle w:val="7"/>
              <w:keepNext w:val="0"/>
              <w:keepLines w:val="0"/>
              <w:suppressLineNumbers w:val="0"/>
              <w:spacing w:before="0" w:beforeAutospacing="0" w:after="0" w:afterAutospacing="0"/>
              <w:ind w:left="0" w:right="0" w:firstLine="422"/>
              <w:jc w:val="both"/>
              <w:rPr>
                <w:rFonts w:hint="default" w:ascii="宋体" w:hAnsi="宋体" w:eastAsia="宋体" w:cs="宋体"/>
                <w:color w:val="auto"/>
                <w:spacing w:val="0"/>
                <w:w w:val="100"/>
                <w:sz w:val="24"/>
                <w:szCs w:val="24"/>
              </w:rPr>
            </w:pPr>
            <w:r>
              <w:rPr>
                <w:rFonts w:hint="default" w:ascii="Times New Roman" w:hAnsi="Times New Roman" w:cs="Times New Roman"/>
                <w:color w:val="auto"/>
                <w:spacing w:val="0"/>
                <w:w w:val="100"/>
                <w:sz w:val="24"/>
                <w:szCs w:val="24"/>
              </w:rPr>
              <w:t>本项目</w:t>
            </w:r>
            <w:r>
              <w:rPr>
                <w:rFonts w:hint="eastAsia" w:ascii="Times New Roman" w:hAnsi="Times New Roman" w:cs="Times New Roman"/>
                <w:color w:val="auto"/>
                <w:spacing w:val="0"/>
                <w:w w:val="100"/>
                <w:sz w:val="24"/>
                <w:szCs w:val="24"/>
                <w:lang w:val="en-US" w:eastAsia="zh-CN"/>
              </w:rPr>
              <w:t>设置地表水专项，</w:t>
            </w:r>
            <w:r>
              <w:rPr>
                <w:rFonts w:hint="default" w:ascii="宋体" w:hAnsi="宋体" w:eastAsia="宋体" w:cs="宋体"/>
                <w:color w:val="auto"/>
                <w:spacing w:val="0"/>
                <w:w w:val="100"/>
                <w:sz w:val="24"/>
                <w:szCs w:val="24"/>
              </w:rPr>
              <w:t>专项评价设置情况分析如下：</w:t>
            </w:r>
          </w:p>
          <w:p w14:paraId="060B20CF">
            <w:pPr>
              <w:pStyle w:val="7"/>
              <w:keepNext w:val="0"/>
              <w:keepLines w:val="0"/>
              <w:suppressLineNumbers w:val="0"/>
              <w:spacing w:before="0" w:beforeAutospacing="0" w:after="0" w:afterAutospacing="0"/>
              <w:ind w:left="0" w:right="0" w:firstLine="422"/>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rPr>
              <w:t>表</w:t>
            </w:r>
            <w:r>
              <w:rPr>
                <w:rFonts w:hint="eastAsia" w:ascii="Times New Roman" w:hAnsi="Times New Roman" w:eastAsia="宋体" w:cs="Times New Roman"/>
                <w:b w:val="0"/>
                <w:bCs w:val="0"/>
                <w:color w:val="auto"/>
                <w:spacing w:val="0"/>
                <w:w w:val="100"/>
                <w:sz w:val="21"/>
                <w:szCs w:val="21"/>
                <w:lang w:val="en-US" w:eastAsia="zh-CN"/>
              </w:rPr>
              <w:t>1</w:t>
            </w:r>
            <w:r>
              <w:rPr>
                <w:rFonts w:hint="default" w:ascii="Times New Roman" w:hAnsi="Times New Roman" w:eastAsia="宋体" w:cs="Times New Roman"/>
                <w:b w:val="0"/>
                <w:bCs w:val="0"/>
                <w:color w:val="auto"/>
                <w:spacing w:val="0"/>
                <w:w w:val="100"/>
                <w:sz w:val="21"/>
                <w:szCs w:val="21"/>
              </w:rPr>
              <w:t xml:space="preserve">   专项评价设置判定表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6"/>
              <w:gridCol w:w="3166"/>
              <w:gridCol w:w="2379"/>
              <w:gridCol w:w="1197"/>
            </w:tblGrid>
            <w:tr w14:paraId="5DB83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pct"/>
                  <w:vAlign w:val="center"/>
                </w:tcPr>
                <w:p w14:paraId="4EAE834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pacing w:val="0"/>
                      <w:w w:val="100"/>
                      <w:kern w:val="0"/>
                      <w:sz w:val="21"/>
                      <w:szCs w:val="21"/>
                      <w:vertAlign w:val="baseline"/>
                      <w:lang w:val="en-US" w:eastAsia="zh-CN"/>
                    </w:rPr>
                  </w:pPr>
                  <w:r>
                    <w:rPr>
                      <w:rFonts w:hint="eastAsia" w:ascii="Times New Roman" w:hAnsi="Times New Roman" w:eastAsia="宋体" w:cs="Times New Roman"/>
                      <w:color w:val="auto"/>
                      <w:spacing w:val="0"/>
                      <w:w w:val="100"/>
                      <w:kern w:val="0"/>
                      <w:sz w:val="21"/>
                      <w:szCs w:val="21"/>
                      <w:vertAlign w:val="baseline"/>
                      <w:lang w:val="en-US" w:eastAsia="zh-CN"/>
                    </w:rPr>
                    <w:t>专项评价类别</w:t>
                  </w:r>
                </w:p>
              </w:tc>
              <w:tc>
                <w:tcPr>
                  <w:tcW w:w="1905" w:type="pct"/>
                  <w:vAlign w:val="center"/>
                </w:tcPr>
                <w:p w14:paraId="6E26D0D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pacing w:val="0"/>
                      <w:w w:val="100"/>
                      <w:kern w:val="0"/>
                      <w:sz w:val="21"/>
                      <w:szCs w:val="21"/>
                      <w:vertAlign w:val="baseline"/>
                      <w:lang w:val="en-US" w:eastAsia="zh-CN"/>
                    </w:rPr>
                  </w:pPr>
                  <w:r>
                    <w:rPr>
                      <w:rFonts w:hint="eastAsia" w:ascii="Times New Roman" w:hAnsi="Times New Roman" w:eastAsia="宋体" w:cs="Times New Roman"/>
                      <w:color w:val="auto"/>
                      <w:spacing w:val="0"/>
                      <w:w w:val="100"/>
                      <w:kern w:val="0"/>
                      <w:sz w:val="21"/>
                      <w:szCs w:val="21"/>
                      <w:vertAlign w:val="baseline"/>
                      <w:lang w:val="en-US" w:eastAsia="zh-CN"/>
                    </w:rPr>
                    <w:t>设置原则</w:t>
                  </w:r>
                </w:p>
              </w:tc>
              <w:tc>
                <w:tcPr>
                  <w:tcW w:w="1431" w:type="pct"/>
                  <w:vAlign w:val="center"/>
                </w:tcPr>
                <w:p w14:paraId="14AA569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pacing w:val="0"/>
                      <w:w w:val="100"/>
                      <w:kern w:val="0"/>
                      <w:sz w:val="21"/>
                      <w:szCs w:val="21"/>
                      <w:vertAlign w:val="baseline"/>
                      <w:lang w:val="en-US" w:eastAsia="zh-CN"/>
                    </w:rPr>
                  </w:pPr>
                  <w:r>
                    <w:rPr>
                      <w:rFonts w:hint="eastAsia" w:ascii="Times New Roman" w:hAnsi="Times New Roman" w:eastAsia="宋体" w:cs="Times New Roman"/>
                      <w:color w:val="auto"/>
                      <w:spacing w:val="0"/>
                      <w:w w:val="100"/>
                      <w:kern w:val="0"/>
                      <w:sz w:val="21"/>
                      <w:szCs w:val="21"/>
                      <w:vertAlign w:val="baseline"/>
                      <w:lang w:val="en-US" w:eastAsia="zh-CN"/>
                    </w:rPr>
                    <w:t>本项目情况</w:t>
                  </w:r>
                </w:p>
              </w:tc>
              <w:tc>
                <w:tcPr>
                  <w:tcW w:w="720" w:type="pct"/>
                  <w:vAlign w:val="center"/>
                </w:tcPr>
                <w:p w14:paraId="11FF4D1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jc w:val="center"/>
                    <w:textAlignment w:val="auto"/>
                    <w:rPr>
                      <w:rFonts w:hint="eastAsia" w:ascii="Times New Roman" w:hAnsi="Times New Roman" w:eastAsia="宋体" w:cs="Times New Roman"/>
                      <w:color w:val="auto"/>
                      <w:spacing w:val="0"/>
                      <w:w w:val="100"/>
                      <w:kern w:val="0"/>
                      <w:sz w:val="21"/>
                      <w:szCs w:val="21"/>
                      <w:vertAlign w:val="baseline"/>
                      <w:lang w:val="en-US" w:eastAsia="zh-CN"/>
                    </w:rPr>
                  </w:pPr>
                  <w:r>
                    <w:rPr>
                      <w:rFonts w:hint="eastAsia" w:ascii="Times New Roman" w:hAnsi="Times New Roman" w:eastAsia="宋体" w:cs="Times New Roman"/>
                      <w:color w:val="auto"/>
                      <w:spacing w:val="0"/>
                      <w:w w:val="100"/>
                      <w:kern w:val="0"/>
                      <w:sz w:val="21"/>
                      <w:szCs w:val="21"/>
                      <w:vertAlign w:val="baseline"/>
                      <w:lang w:val="en-US" w:eastAsia="zh-CN"/>
                    </w:rPr>
                    <w:t>是否设置</w:t>
                  </w:r>
                </w:p>
              </w:tc>
            </w:tr>
            <w:tr w14:paraId="34072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pct"/>
                  <w:vAlign w:val="center"/>
                </w:tcPr>
                <w:p w14:paraId="218B7EF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pacing w:val="0"/>
                      <w:w w:val="100"/>
                      <w:kern w:val="0"/>
                      <w:sz w:val="21"/>
                      <w:szCs w:val="21"/>
                      <w:vertAlign w:val="baseline"/>
                      <w:lang w:val="en-US" w:eastAsia="zh-CN"/>
                    </w:rPr>
                  </w:pPr>
                  <w:r>
                    <w:rPr>
                      <w:rFonts w:hint="eastAsia" w:ascii="Times New Roman" w:hAnsi="Times New Roman" w:eastAsia="宋体" w:cs="Times New Roman"/>
                      <w:color w:val="auto"/>
                      <w:spacing w:val="0"/>
                      <w:w w:val="100"/>
                      <w:kern w:val="0"/>
                      <w:sz w:val="21"/>
                      <w:szCs w:val="21"/>
                      <w:vertAlign w:val="baseline"/>
                      <w:lang w:val="en-US" w:eastAsia="zh-CN"/>
                    </w:rPr>
                    <w:t>地表水</w:t>
                  </w:r>
                </w:p>
              </w:tc>
              <w:tc>
                <w:tcPr>
                  <w:tcW w:w="1905" w:type="pct"/>
                  <w:vAlign w:val="center"/>
                </w:tcPr>
                <w:p w14:paraId="68253B8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pacing w:val="0"/>
                      <w:w w:val="100"/>
                      <w:kern w:val="0"/>
                      <w:sz w:val="21"/>
                      <w:szCs w:val="21"/>
                      <w:vertAlign w:val="baseline"/>
                      <w:lang w:val="en-US" w:eastAsia="zh-CN"/>
                    </w:rPr>
                  </w:pPr>
                  <w:r>
                    <w:rPr>
                      <w:rFonts w:hint="eastAsia" w:ascii="Times New Roman" w:hAnsi="Times New Roman" w:eastAsia="宋体" w:cs="Times New Roman"/>
                      <w:color w:val="auto"/>
                      <w:spacing w:val="0"/>
                      <w:w w:val="100"/>
                      <w:kern w:val="0"/>
                      <w:sz w:val="21"/>
                      <w:szCs w:val="21"/>
                      <w:vertAlign w:val="baseline"/>
                      <w:lang w:val="en-US" w:eastAsia="zh-CN"/>
                    </w:rPr>
                    <w:t>新增工业废水直排建设项目（槽罐车外送污水处理厂的除外）；新增废水直排的污</w:t>
                  </w:r>
                  <w:r>
                    <w:rPr>
                      <w:rFonts w:hint="default" w:ascii="宋体" w:hAnsi="宋体" w:eastAsia="宋体" w:cs="宋体"/>
                      <w:color w:val="auto"/>
                      <w:spacing w:val="0"/>
                      <w:w w:val="100"/>
                      <w:sz w:val="21"/>
                      <w:szCs w:val="21"/>
                    </w:rPr>
                    <w:t>水集中处理厂</w:t>
                  </w:r>
                </w:p>
              </w:tc>
              <w:tc>
                <w:tcPr>
                  <w:tcW w:w="1431" w:type="pct"/>
                  <w:vAlign w:val="center"/>
                </w:tcPr>
                <w:p w14:paraId="4500020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pacing w:val="0"/>
                      <w:w w:val="100"/>
                      <w:kern w:val="0"/>
                      <w:sz w:val="21"/>
                      <w:szCs w:val="21"/>
                      <w:vertAlign w:val="baseline"/>
                      <w:lang w:val="en-US" w:eastAsia="zh-CN"/>
                    </w:rPr>
                  </w:pPr>
                  <w:r>
                    <w:rPr>
                      <w:rFonts w:hint="eastAsia" w:ascii="Times New Roman" w:hAnsi="Times New Roman" w:eastAsia="宋体" w:cs="Times New Roman"/>
                      <w:color w:val="auto"/>
                      <w:spacing w:val="0"/>
                      <w:w w:val="100"/>
                      <w:kern w:val="0"/>
                      <w:sz w:val="21"/>
                      <w:szCs w:val="21"/>
                      <w:vertAlign w:val="baseline"/>
                      <w:lang w:val="en-US" w:eastAsia="zh-CN"/>
                    </w:rPr>
                    <w:t>本项目为污水处理厂工程，属于新增废水直排的污水集中处理厂</w:t>
                  </w:r>
                </w:p>
              </w:tc>
              <w:tc>
                <w:tcPr>
                  <w:tcW w:w="720" w:type="pct"/>
                  <w:vAlign w:val="center"/>
                </w:tcPr>
                <w:p w14:paraId="49EC84A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pacing w:val="0"/>
                      <w:w w:val="100"/>
                      <w:kern w:val="0"/>
                      <w:sz w:val="21"/>
                      <w:szCs w:val="21"/>
                      <w:vertAlign w:val="baseline"/>
                      <w:lang w:val="en-US" w:eastAsia="zh-CN"/>
                    </w:rPr>
                  </w:pPr>
                  <w:r>
                    <w:rPr>
                      <w:rFonts w:hint="eastAsia" w:ascii="Times New Roman" w:hAnsi="Times New Roman" w:eastAsia="宋体" w:cs="Times New Roman"/>
                      <w:color w:val="auto"/>
                      <w:spacing w:val="0"/>
                      <w:w w:val="100"/>
                      <w:kern w:val="0"/>
                      <w:sz w:val="21"/>
                      <w:szCs w:val="21"/>
                      <w:vertAlign w:val="baseline"/>
                      <w:lang w:val="en-US" w:eastAsia="zh-CN"/>
                    </w:rPr>
                    <w:t>是</w:t>
                  </w:r>
                </w:p>
              </w:tc>
            </w:tr>
          </w:tbl>
          <w:p w14:paraId="0AE8A9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kern w:val="0"/>
                <w:sz w:val="24"/>
                <w:szCs w:val="24"/>
                <w:lang w:val="en-US" w:eastAsia="zh-CN"/>
              </w:rPr>
            </w:pPr>
          </w:p>
        </w:tc>
      </w:tr>
      <w:tr w14:paraId="2328D0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42"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7F54A3A5">
            <w:pPr>
              <w:keepNext w:val="0"/>
              <w:keepLines w:val="0"/>
              <w:widowControl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规划情况</w:t>
            </w:r>
          </w:p>
        </w:tc>
        <w:tc>
          <w:tcPr>
            <w:tcW w:w="8537"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42B2559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0" w:firstLineChars="0"/>
              <w:jc w:val="both"/>
              <w:textAlignment w:val="auto"/>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规划名称：《</w:t>
            </w:r>
            <w:r>
              <w:rPr>
                <w:rFonts w:hint="eastAsia" w:ascii="Times New Roman" w:hAnsi="Times New Roman" w:eastAsia="宋体" w:cs="Times New Roman"/>
                <w:color w:val="auto"/>
                <w:spacing w:val="0"/>
                <w:sz w:val="24"/>
                <w:szCs w:val="24"/>
                <w:lang w:eastAsia="zh-CN"/>
              </w:rPr>
              <w:t>陕西陇县经济技术开发区</w:t>
            </w:r>
            <w:r>
              <w:rPr>
                <w:rFonts w:hint="eastAsia" w:ascii="Times New Roman" w:hAnsi="Times New Roman" w:eastAsia="宋体" w:cs="Times New Roman"/>
                <w:color w:val="auto"/>
                <w:spacing w:val="0"/>
                <w:sz w:val="24"/>
                <w:szCs w:val="24"/>
                <w:lang w:val="en-US" w:eastAsia="zh-CN"/>
              </w:rPr>
              <w:t>》</w:t>
            </w:r>
          </w:p>
          <w:p w14:paraId="4C5635B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0" w:firstLineChars="0"/>
              <w:jc w:val="both"/>
              <w:textAlignment w:val="auto"/>
              <w:rPr>
                <w:rFonts w:hint="default"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审批机关：陕西省人民政府</w:t>
            </w:r>
          </w:p>
          <w:p w14:paraId="528DD9D2">
            <w:pPr>
              <w:pStyle w:val="20"/>
              <w:keepNext w:val="0"/>
              <w:keepLines w:val="0"/>
              <w:suppressLineNumbers w:val="0"/>
              <w:spacing w:before="0" w:beforeAutospacing="0" w:afterAutospacing="0"/>
              <w:ind w:left="0" w:leftChars="0" w:right="0" w:rightChars="0" w:firstLine="0" w:firstLineChars="0"/>
              <w:rPr>
                <w:rFonts w:hint="default" w:ascii="Times New Roman" w:hAnsiTheme="minorHAnsi" w:eastAsiaTheme="minorEastAsia" w:cstheme="minorBidi"/>
                <w:color w:val="auto"/>
                <w:spacing w:val="0"/>
                <w:kern w:val="2"/>
                <w:sz w:val="21"/>
                <w:szCs w:val="24"/>
                <w:lang w:val="en-US" w:eastAsia="zh-CN" w:bidi="ar-SA"/>
              </w:rPr>
            </w:pPr>
            <w:r>
              <w:rPr>
                <w:rFonts w:hint="eastAsia" w:ascii="Times New Roman" w:hAnsi="Times New Roman" w:eastAsia="宋体" w:cs="Times New Roman"/>
                <w:color w:val="auto"/>
                <w:spacing w:val="0"/>
                <w:sz w:val="24"/>
                <w:szCs w:val="24"/>
                <w:lang w:eastAsia="zh-CN"/>
              </w:rPr>
              <w:t>审查文号：</w:t>
            </w:r>
            <w:r>
              <w:rPr>
                <w:rFonts w:hint="eastAsia" w:hAnsi="Times New Roman" w:eastAsia="宋体" w:cs="Times New Roman"/>
                <w:color w:val="auto"/>
                <w:spacing w:val="0"/>
                <w:sz w:val="24"/>
                <w:szCs w:val="24"/>
                <w:lang w:val="en-US" w:eastAsia="zh-CN"/>
              </w:rPr>
              <w:t>陕政函</w:t>
            </w:r>
            <w:r>
              <w:rPr>
                <w:rFonts w:hint="eastAsia" w:ascii="Times New Roman" w:hAnsi="Times New Roman" w:eastAsia="宋体" w:cs="Times New Roman"/>
                <w:color w:val="auto"/>
                <w:spacing w:val="0"/>
                <w:sz w:val="24"/>
                <w:szCs w:val="24"/>
                <w:lang w:eastAsia="zh-CN"/>
              </w:rPr>
              <w:t>〔202</w:t>
            </w:r>
            <w:r>
              <w:rPr>
                <w:rFonts w:hint="eastAsia" w:hAnsi="Times New Roman" w:eastAsia="宋体" w:cs="Times New Roman"/>
                <w:color w:val="auto"/>
                <w:spacing w:val="0"/>
                <w:sz w:val="24"/>
                <w:szCs w:val="24"/>
                <w:lang w:val="en-US" w:eastAsia="zh-CN"/>
              </w:rPr>
              <w:t>4</w:t>
            </w:r>
            <w:r>
              <w:rPr>
                <w:rFonts w:hint="eastAsia" w:ascii="Times New Roman" w:hAnsi="Times New Roman" w:eastAsia="宋体" w:cs="Times New Roman"/>
                <w:color w:val="auto"/>
                <w:spacing w:val="0"/>
                <w:sz w:val="24"/>
                <w:szCs w:val="24"/>
                <w:lang w:eastAsia="zh-CN"/>
              </w:rPr>
              <w:t>〕</w:t>
            </w:r>
            <w:r>
              <w:rPr>
                <w:rFonts w:hint="eastAsia" w:hAnsi="Times New Roman" w:eastAsia="宋体" w:cs="Times New Roman"/>
                <w:color w:val="auto"/>
                <w:spacing w:val="0"/>
                <w:sz w:val="24"/>
                <w:szCs w:val="24"/>
                <w:lang w:val="en-US" w:eastAsia="zh-CN"/>
              </w:rPr>
              <w:t>66</w:t>
            </w:r>
            <w:r>
              <w:rPr>
                <w:rFonts w:hint="eastAsia" w:ascii="Times New Roman" w:hAnsi="Times New Roman" w:eastAsia="宋体" w:cs="Times New Roman"/>
                <w:color w:val="auto"/>
                <w:spacing w:val="0"/>
                <w:sz w:val="24"/>
                <w:szCs w:val="24"/>
                <w:lang w:eastAsia="zh-CN"/>
              </w:rPr>
              <w:t>号</w:t>
            </w:r>
          </w:p>
        </w:tc>
      </w:tr>
      <w:tr w14:paraId="11A2F8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1042"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72632FDD">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规划环境影响</w:t>
            </w:r>
          </w:p>
          <w:p w14:paraId="5A373F1A">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评价情况</w:t>
            </w:r>
          </w:p>
        </w:tc>
        <w:tc>
          <w:tcPr>
            <w:tcW w:w="8537"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23762B6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0" w:firstLineChars="0"/>
              <w:jc w:val="both"/>
              <w:textAlignment w:val="auto"/>
              <w:rPr>
                <w:rFonts w:hint="eastAsia" w:ascii="Times New Roman" w:hAnsi="Times New Roman" w:eastAsia="宋体" w:cs="Times New Roman"/>
                <w:color w:val="auto"/>
                <w:spacing w:val="0"/>
                <w:sz w:val="24"/>
                <w:szCs w:val="24"/>
                <w:lang w:eastAsia="zh-CN"/>
              </w:rPr>
            </w:pPr>
            <w:r>
              <w:rPr>
                <w:rFonts w:hint="eastAsia" w:ascii="Times New Roman" w:hAnsi="Times New Roman" w:eastAsia="宋体" w:cs="宋体"/>
                <w:color w:val="auto"/>
                <w:spacing w:val="0"/>
                <w:kern w:val="0"/>
                <w:sz w:val="24"/>
                <w:szCs w:val="24"/>
                <w:highlight w:val="none"/>
                <w:lang w:eastAsia="zh-CN"/>
              </w:rPr>
              <w:t>文件名称：</w:t>
            </w:r>
            <w:r>
              <w:rPr>
                <w:rFonts w:hint="eastAsia" w:ascii="Times New Roman" w:hAnsi="Times New Roman" w:eastAsia="宋体" w:cs="Times New Roman"/>
                <w:color w:val="auto"/>
                <w:spacing w:val="0"/>
                <w:sz w:val="24"/>
                <w:szCs w:val="24"/>
                <w:lang w:eastAsia="zh-CN"/>
              </w:rPr>
              <w:t>《陕西陇县经济技术开发区总体规划（2022—2035年）环境影响报告书》</w:t>
            </w:r>
          </w:p>
          <w:p w14:paraId="6DF0AF9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0" w:firstLineChars="0"/>
              <w:jc w:val="both"/>
              <w:textAlignment w:val="auto"/>
              <w:rPr>
                <w:rFonts w:hint="default"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eastAsia="zh-CN"/>
              </w:rPr>
              <w:t>审查机关：</w:t>
            </w:r>
            <w:r>
              <w:rPr>
                <w:rFonts w:hint="eastAsia" w:ascii="Times New Roman" w:hAnsi="Times New Roman" w:eastAsia="宋体" w:cs="Times New Roman"/>
                <w:color w:val="auto"/>
                <w:spacing w:val="0"/>
                <w:sz w:val="24"/>
                <w:szCs w:val="24"/>
                <w:lang w:val="en-US" w:eastAsia="zh-CN"/>
              </w:rPr>
              <w:t>陕西省生态环境厅</w:t>
            </w:r>
          </w:p>
          <w:p w14:paraId="6817016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0" w:firstLineChars="0"/>
              <w:jc w:val="both"/>
              <w:textAlignment w:val="auto"/>
              <w:rPr>
                <w:rFonts w:hint="eastAsia" w:ascii="Times New Roman" w:hAnsi="Times New Roman" w:eastAsia="宋体" w:cs="Times New Roman"/>
                <w:color w:val="auto"/>
                <w:spacing w:val="0"/>
                <w:sz w:val="24"/>
                <w:szCs w:val="24"/>
                <w:lang w:eastAsia="zh-CN"/>
              </w:rPr>
            </w:pPr>
            <w:r>
              <w:rPr>
                <w:rFonts w:hint="eastAsia" w:ascii="Times New Roman" w:hAnsi="Times New Roman" w:eastAsia="宋体" w:cs="Times New Roman"/>
                <w:color w:val="auto"/>
                <w:spacing w:val="0"/>
                <w:sz w:val="24"/>
                <w:szCs w:val="24"/>
                <w:lang w:eastAsia="zh-CN"/>
              </w:rPr>
              <w:t>审查文号：陕环环评函〔2023〕91号</w:t>
            </w:r>
          </w:p>
          <w:p w14:paraId="39EF5D6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0" w:firstLineChars="0"/>
              <w:jc w:val="both"/>
              <w:textAlignment w:val="auto"/>
              <w:rPr>
                <w:rFonts w:hint="eastAsia" w:ascii="Times New Roman" w:hAnsi="Times New Roman" w:eastAsia="宋体" w:cs="Times New Roman"/>
                <w:color w:val="auto"/>
                <w:spacing w:val="0"/>
                <w:sz w:val="24"/>
                <w:szCs w:val="24"/>
                <w:lang w:eastAsia="zh-CN"/>
              </w:rPr>
            </w:pPr>
          </w:p>
          <w:p w14:paraId="5E90A34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0" w:firstLineChars="0"/>
              <w:jc w:val="both"/>
              <w:textAlignment w:val="auto"/>
              <w:rPr>
                <w:rFonts w:hint="eastAsia" w:ascii="Times New Roman" w:hAnsi="Times New Roman" w:eastAsia="宋体" w:cs="Times New Roman"/>
                <w:color w:val="auto"/>
                <w:spacing w:val="0"/>
                <w:sz w:val="24"/>
                <w:szCs w:val="24"/>
                <w:lang w:eastAsia="zh-CN"/>
              </w:rPr>
            </w:pPr>
          </w:p>
          <w:p w14:paraId="62BBBB7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0" w:firstLineChars="0"/>
              <w:jc w:val="both"/>
              <w:textAlignment w:val="auto"/>
              <w:rPr>
                <w:rFonts w:hint="default" w:ascii="Times New Roman" w:hAnsi="Times New Roman" w:eastAsia="宋体" w:cs="Times New Roman"/>
                <w:color w:val="auto"/>
                <w:spacing w:val="0"/>
                <w:sz w:val="24"/>
                <w:szCs w:val="24"/>
                <w:lang w:val="en-US" w:eastAsia="zh-CN"/>
              </w:rPr>
            </w:pPr>
          </w:p>
        </w:tc>
      </w:tr>
      <w:tr w14:paraId="3DA2AA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11964" w:hRule="atLeast"/>
          <w:jc w:val="center"/>
        </w:trPr>
        <w:tc>
          <w:tcPr>
            <w:tcW w:w="1042"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6E85A12B">
            <w:pPr>
              <w:keepNext w:val="0"/>
              <w:keepLines w:val="0"/>
              <w:widowControl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规划及规划环境影响评价符合性分析</w:t>
            </w:r>
          </w:p>
        </w:tc>
        <w:tc>
          <w:tcPr>
            <w:tcW w:w="8537"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53DC4ECE">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1、规划符合性分析</w:t>
            </w:r>
          </w:p>
          <w:p w14:paraId="325C2E25">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陇县经济技术开发区是陇县县域经济发展的核心承载区，围绕建设“国内领先的奶山羊全产业链示范区”，形成绿色食品产业片区、新材料产业片区、综合服务片区，“一园三片区”发展新格局。</w:t>
            </w:r>
          </w:p>
          <w:p w14:paraId="260672DE">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规划范围：本次经开区包含原陇县工业园区、新材料产业园部分用地及陇县火车站附近部分用地，园区规划总用地面积为300.07公顷。陇县经济技术开发区共有3个地块，地块一坐落于城关镇、东南镇，面积为28.80公顷，四至范围为东至东南路，南至宝中铁路线，西至千邑路，北至344国道，主要建设综合服务片区1；地块二坐落于东南镇，面积为194.06公顷，四至范围为东至陕西绿能生态牧业有限公司，南至光明路，西至安定路，北至关山大道，主要建设综合服务片区2、绿色食品产业片区；地块三坐落于城关镇、东南镇，面积为77.21公顷，四至范围为东至344国道，南至千河河堤，西至银昆高速以东约50米处，北至344国道，主要建设新材料产业片区。</w:t>
            </w:r>
          </w:p>
          <w:p w14:paraId="4412E5D2">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本项目位于新材料产业片区内，为产业园配套污水处理厂项目，符合规划定位。</w:t>
            </w:r>
          </w:p>
          <w:p w14:paraId="63394545">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2、与规划环境影响评价及其审查意见符合性分析</w:t>
            </w:r>
          </w:p>
          <w:p w14:paraId="0E46B93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cs="Times New Roman"/>
                <w:bCs/>
                <w:color w:val="auto"/>
                <w:spacing w:val="0"/>
                <w:lang w:val="en-US" w:eastAsia="zh-CN"/>
              </w:rPr>
            </w:pPr>
            <w:r>
              <w:rPr>
                <w:rFonts w:hint="eastAsia" w:ascii="Times New Roman" w:hAnsi="Times New Roman" w:cs="Times New Roman"/>
                <w:bCs/>
                <w:color w:val="auto"/>
                <w:spacing w:val="0"/>
                <w:lang w:val="en-US" w:eastAsia="zh-CN"/>
              </w:rPr>
              <w:t>表1-1 与规划环境影响评价及其审查意见符合性分析</w:t>
            </w:r>
          </w:p>
          <w:tbl>
            <w:tblPr>
              <w:tblStyle w:val="22"/>
              <w:tblW w:w="83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4645"/>
              <w:gridCol w:w="1809"/>
              <w:gridCol w:w="837"/>
            </w:tblGrid>
            <w:tr w14:paraId="2A1EF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076" w:type="dxa"/>
                  <w:vAlign w:val="center"/>
                </w:tcPr>
                <w:p w14:paraId="18E7CF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42" w:leftChars="20" w:right="42" w:rightChars="20" w:firstLine="0" w:firstLineChars="0"/>
                    <w:jc w:val="center"/>
                    <w:textAlignment w:val="auto"/>
                    <w:rPr>
                      <w:rFonts w:hint="default" w:ascii="Times New Roman" w:hAnsi="Times New Roman" w:eastAsia="宋体" w:cs="Times New Roman"/>
                      <w:b w:val="0"/>
                      <w:bCs w:val="0"/>
                      <w:color w:val="auto"/>
                      <w:spacing w:val="0"/>
                      <w:kern w:val="2"/>
                      <w:sz w:val="21"/>
                      <w:szCs w:val="21"/>
                      <w:lang w:val="en-US" w:eastAsia="zh-CN" w:bidi="ar-SA"/>
                    </w:rPr>
                  </w:pPr>
                  <w:r>
                    <w:rPr>
                      <w:rFonts w:hint="default" w:ascii="Times New Roman" w:hAnsi="Times New Roman" w:eastAsia="宋体" w:cs="Times New Roman"/>
                      <w:b w:val="0"/>
                      <w:bCs w:val="0"/>
                      <w:color w:val="auto"/>
                      <w:spacing w:val="0"/>
                      <w:sz w:val="21"/>
                      <w:szCs w:val="21"/>
                    </w:rPr>
                    <w:t>文件</w:t>
                  </w:r>
                </w:p>
              </w:tc>
              <w:tc>
                <w:tcPr>
                  <w:tcW w:w="4645" w:type="dxa"/>
                  <w:vAlign w:val="center"/>
                </w:tcPr>
                <w:p w14:paraId="23BD29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42" w:leftChars="20" w:right="42" w:rightChars="20" w:firstLine="0" w:firstLineChars="0"/>
                    <w:jc w:val="center"/>
                    <w:textAlignment w:val="auto"/>
                    <w:rPr>
                      <w:rFonts w:hint="default" w:ascii="Times New Roman" w:hAnsi="Times New Roman" w:eastAsia="宋体" w:cs="Times New Roman"/>
                      <w:b w:val="0"/>
                      <w:bCs w:val="0"/>
                      <w:color w:val="auto"/>
                      <w:spacing w:val="0"/>
                      <w:kern w:val="2"/>
                      <w:sz w:val="21"/>
                      <w:szCs w:val="21"/>
                      <w:lang w:val="en-US" w:eastAsia="zh-CN" w:bidi="ar-SA"/>
                    </w:rPr>
                  </w:pPr>
                  <w:r>
                    <w:rPr>
                      <w:rFonts w:hint="default" w:ascii="Times New Roman" w:hAnsi="Times New Roman" w:eastAsia="宋体" w:cs="Times New Roman"/>
                      <w:b w:val="0"/>
                      <w:bCs w:val="0"/>
                      <w:color w:val="auto"/>
                      <w:spacing w:val="0"/>
                      <w:sz w:val="21"/>
                      <w:szCs w:val="21"/>
                    </w:rPr>
                    <w:t>要求</w:t>
                  </w:r>
                </w:p>
              </w:tc>
              <w:tc>
                <w:tcPr>
                  <w:tcW w:w="1809" w:type="dxa"/>
                  <w:vAlign w:val="center"/>
                </w:tcPr>
                <w:p w14:paraId="15531D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42" w:leftChars="20" w:right="42" w:rightChars="20" w:firstLine="0" w:firstLineChars="0"/>
                    <w:jc w:val="center"/>
                    <w:textAlignment w:val="auto"/>
                    <w:rPr>
                      <w:rFonts w:hint="default" w:ascii="Times New Roman" w:hAnsi="Times New Roman" w:eastAsia="宋体" w:cs="Times New Roman"/>
                      <w:b w:val="0"/>
                      <w:bCs w:val="0"/>
                      <w:color w:val="auto"/>
                      <w:spacing w:val="0"/>
                      <w:kern w:val="2"/>
                      <w:sz w:val="21"/>
                      <w:szCs w:val="21"/>
                      <w:lang w:val="en-US" w:eastAsia="zh-CN" w:bidi="ar-SA"/>
                    </w:rPr>
                  </w:pPr>
                  <w:r>
                    <w:rPr>
                      <w:rFonts w:hint="default" w:ascii="Times New Roman" w:hAnsi="Times New Roman" w:eastAsia="宋体" w:cs="Times New Roman"/>
                      <w:b w:val="0"/>
                      <w:bCs w:val="0"/>
                      <w:color w:val="auto"/>
                      <w:spacing w:val="0"/>
                      <w:sz w:val="21"/>
                      <w:szCs w:val="21"/>
                      <w:lang w:val="zh-CN" w:bidi="zh-CN"/>
                    </w:rPr>
                    <w:t>本项目情况</w:t>
                  </w:r>
                </w:p>
              </w:tc>
              <w:tc>
                <w:tcPr>
                  <w:tcW w:w="837" w:type="dxa"/>
                  <w:vAlign w:val="center"/>
                </w:tcPr>
                <w:p w14:paraId="29E98E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42" w:leftChars="20" w:right="42" w:rightChars="20" w:firstLine="0" w:firstLineChars="0"/>
                    <w:jc w:val="center"/>
                    <w:textAlignment w:val="auto"/>
                    <w:rPr>
                      <w:rFonts w:hint="default" w:ascii="Times New Roman" w:hAnsi="Times New Roman" w:eastAsia="宋体" w:cs="Times New Roman"/>
                      <w:b w:val="0"/>
                      <w:bCs w:val="0"/>
                      <w:color w:val="auto"/>
                      <w:spacing w:val="0"/>
                      <w:kern w:val="2"/>
                      <w:sz w:val="21"/>
                      <w:szCs w:val="21"/>
                      <w:lang w:val="en-US" w:eastAsia="zh-CN" w:bidi="ar-SA"/>
                    </w:rPr>
                  </w:pPr>
                  <w:r>
                    <w:rPr>
                      <w:rFonts w:hint="default" w:ascii="Times New Roman" w:hAnsi="Times New Roman" w:eastAsia="宋体" w:cs="Times New Roman"/>
                      <w:b w:val="0"/>
                      <w:bCs w:val="0"/>
                      <w:color w:val="auto"/>
                      <w:spacing w:val="0"/>
                      <w:sz w:val="21"/>
                      <w:szCs w:val="21"/>
                    </w:rPr>
                    <w:t>相符性</w:t>
                  </w:r>
                </w:p>
              </w:tc>
            </w:tr>
            <w:tr w14:paraId="546C7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9" w:hRule="atLeast"/>
              </w:trPr>
              <w:tc>
                <w:tcPr>
                  <w:tcW w:w="1076" w:type="dxa"/>
                  <w:vAlign w:val="center"/>
                </w:tcPr>
                <w:p w14:paraId="1EAC4389">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auto"/>
                      <w:spacing w:val="0"/>
                      <w:sz w:val="21"/>
                      <w:szCs w:val="21"/>
                      <w:lang w:val="en-US" w:eastAsia="zh-CN"/>
                    </w:rPr>
                  </w:pPr>
                  <w:r>
                    <w:rPr>
                      <w:rFonts w:hint="default"/>
                      <w:b w:val="0"/>
                      <w:bCs w:val="0"/>
                      <w:color w:val="auto"/>
                      <w:spacing w:val="0"/>
                      <w:sz w:val="21"/>
                      <w:szCs w:val="21"/>
                      <w:lang w:val="en-US" w:eastAsia="zh-CN"/>
                    </w:rPr>
                    <w:t>《陕西陇县经济技术开发区总体规划（2022—2035年）环境影响报告书》</w:t>
                  </w:r>
                </w:p>
              </w:tc>
              <w:tc>
                <w:tcPr>
                  <w:tcW w:w="4645" w:type="dxa"/>
                  <w:vAlign w:val="center"/>
                </w:tcPr>
                <w:p w14:paraId="09F47DA3">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b w:val="0"/>
                      <w:bCs w:val="0"/>
                      <w:color w:val="auto"/>
                      <w:spacing w:val="0"/>
                      <w:sz w:val="21"/>
                      <w:szCs w:val="21"/>
                      <w:lang w:val="en-US" w:eastAsia="zh-CN"/>
                    </w:rPr>
                  </w:pPr>
                  <w:r>
                    <w:rPr>
                      <w:rFonts w:hint="default"/>
                      <w:b w:val="0"/>
                      <w:bCs w:val="0"/>
                      <w:color w:val="auto"/>
                      <w:spacing w:val="0"/>
                      <w:sz w:val="21"/>
                      <w:szCs w:val="21"/>
                      <w:lang w:val="en-US" w:eastAsia="zh-CN"/>
                    </w:rPr>
                    <w:t>规划的范围：</w:t>
                  </w:r>
                  <w:r>
                    <w:rPr>
                      <w:rFonts w:hint="eastAsia"/>
                      <w:b w:val="0"/>
                      <w:bCs w:val="0"/>
                      <w:color w:val="auto"/>
                      <w:spacing w:val="0"/>
                      <w:sz w:val="21"/>
                      <w:szCs w:val="21"/>
                      <w:lang w:val="en-US" w:eastAsia="zh-CN"/>
                    </w:rPr>
                    <w:t>本次经开区包含原陇县工业园区、新材料产业园部分用地及陇县火车站附近部分用地，园区规划总用地面积为300.07公顷。陇县经济技术开发区共有3个地块，地块一坐落于城关镇、东南镇，面积为28.80公顷，四至范围为东至东南路，南至宝中铁路线，西至千邑路，北至344国道，主要建设综合服务片区 1；地块二坐落于东南镇，面积为194.06公顷，四至范围为东至陕西绿能生态牧业有限公司，南至光明路，西至安定路，北至关山大道，主要建设综合服务片区2、绿色食品产业片区；地块三坐落于城关镇、东南镇，面积为77.21公顷，四至范围为东至344国道，南至千河河堤，西至银昆高速以东约50米处，北至344国道，主要建设新材料产业片区。</w:t>
                  </w:r>
                </w:p>
              </w:tc>
              <w:tc>
                <w:tcPr>
                  <w:tcW w:w="1809" w:type="dxa"/>
                  <w:vAlign w:val="center"/>
                </w:tcPr>
                <w:p w14:paraId="48C297D3">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b w:val="0"/>
                      <w:bCs w:val="0"/>
                      <w:color w:val="auto"/>
                      <w:spacing w:val="0"/>
                      <w:sz w:val="21"/>
                      <w:szCs w:val="21"/>
                      <w:lang w:val="en-US" w:eastAsia="zh-CN"/>
                    </w:rPr>
                  </w:pPr>
                  <w:r>
                    <w:rPr>
                      <w:rFonts w:hint="default"/>
                      <w:b w:val="0"/>
                      <w:bCs w:val="0"/>
                      <w:color w:val="auto"/>
                      <w:spacing w:val="0"/>
                      <w:sz w:val="21"/>
                      <w:szCs w:val="21"/>
                      <w:lang w:val="en-US" w:eastAsia="zh-CN"/>
                    </w:rPr>
                    <w:t>本项目位于</w:t>
                  </w:r>
                  <w:r>
                    <w:rPr>
                      <w:rFonts w:hint="eastAsia"/>
                      <w:b w:val="0"/>
                      <w:bCs w:val="0"/>
                      <w:color w:val="auto"/>
                      <w:spacing w:val="0"/>
                      <w:sz w:val="21"/>
                      <w:szCs w:val="21"/>
                      <w:lang w:val="en-US" w:eastAsia="zh-CN"/>
                    </w:rPr>
                    <w:t>陇县经济技术开发区新材料产业园内，</w:t>
                  </w:r>
                  <w:r>
                    <w:rPr>
                      <w:rFonts w:hint="default"/>
                      <w:b w:val="0"/>
                      <w:bCs w:val="0"/>
                      <w:color w:val="auto"/>
                      <w:spacing w:val="0"/>
                      <w:sz w:val="21"/>
                      <w:szCs w:val="21"/>
                      <w:lang w:val="en-US" w:eastAsia="zh-CN"/>
                    </w:rPr>
                    <w:t>属于规划范围内，项目</w:t>
                  </w:r>
                  <w:r>
                    <w:rPr>
                      <w:rFonts w:hint="eastAsia"/>
                      <w:b w:val="0"/>
                      <w:bCs w:val="0"/>
                      <w:color w:val="auto"/>
                      <w:spacing w:val="0"/>
                      <w:sz w:val="21"/>
                      <w:szCs w:val="21"/>
                      <w:lang w:val="en-US" w:eastAsia="zh-CN"/>
                    </w:rPr>
                    <w:t>为</w:t>
                  </w:r>
                  <w:r>
                    <w:rPr>
                      <w:rFonts w:hint="default"/>
                      <w:b w:val="0"/>
                      <w:bCs w:val="0"/>
                      <w:color w:val="auto"/>
                      <w:spacing w:val="0"/>
                      <w:sz w:val="21"/>
                      <w:szCs w:val="21"/>
                      <w:lang w:val="en-US" w:eastAsia="zh-CN"/>
                    </w:rPr>
                    <w:t>污水处理及其再生利用</w:t>
                  </w:r>
                  <w:r>
                    <w:rPr>
                      <w:rFonts w:hint="eastAsia"/>
                      <w:b w:val="0"/>
                      <w:bCs w:val="0"/>
                      <w:color w:val="auto"/>
                      <w:spacing w:val="0"/>
                      <w:sz w:val="21"/>
                      <w:szCs w:val="21"/>
                      <w:lang w:val="en-US" w:eastAsia="zh-CN"/>
                    </w:rPr>
                    <w:t>，为园区配套的污水处理厂</w:t>
                  </w:r>
                  <w:r>
                    <w:rPr>
                      <w:rFonts w:hint="default"/>
                      <w:b w:val="0"/>
                      <w:bCs w:val="0"/>
                      <w:color w:val="auto"/>
                      <w:spacing w:val="0"/>
                      <w:sz w:val="21"/>
                      <w:szCs w:val="21"/>
                      <w:lang w:val="en-US" w:eastAsia="zh-CN"/>
                    </w:rPr>
                    <w:t>，符合</w:t>
                  </w:r>
                  <w:r>
                    <w:rPr>
                      <w:rFonts w:hint="eastAsia"/>
                      <w:b w:val="0"/>
                      <w:bCs w:val="0"/>
                      <w:color w:val="auto"/>
                      <w:spacing w:val="0"/>
                      <w:sz w:val="21"/>
                      <w:szCs w:val="21"/>
                      <w:lang w:val="en-US" w:eastAsia="zh-CN"/>
                    </w:rPr>
                    <w:t>规划</w:t>
                  </w:r>
                  <w:r>
                    <w:rPr>
                      <w:rFonts w:hint="default"/>
                      <w:b w:val="0"/>
                      <w:bCs w:val="0"/>
                      <w:color w:val="auto"/>
                      <w:spacing w:val="0"/>
                      <w:sz w:val="21"/>
                      <w:szCs w:val="21"/>
                      <w:lang w:val="en-US" w:eastAsia="zh-CN"/>
                    </w:rPr>
                    <w:t>定位。</w:t>
                  </w:r>
                </w:p>
              </w:tc>
              <w:tc>
                <w:tcPr>
                  <w:tcW w:w="837" w:type="dxa"/>
                  <w:vAlign w:val="center"/>
                </w:tcPr>
                <w:p w14:paraId="6DF07528">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auto"/>
                      <w:spacing w:val="0"/>
                      <w:sz w:val="21"/>
                      <w:szCs w:val="21"/>
                      <w:lang w:val="en-US" w:eastAsia="zh-CN"/>
                    </w:rPr>
                  </w:pPr>
                  <w:r>
                    <w:rPr>
                      <w:rFonts w:hint="eastAsia"/>
                      <w:b w:val="0"/>
                      <w:bCs w:val="0"/>
                      <w:color w:val="auto"/>
                      <w:spacing w:val="0"/>
                      <w:sz w:val="21"/>
                      <w:szCs w:val="21"/>
                      <w:lang w:val="en-US" w:eastAsia="zh-CN"/>
                    </w:rPr>
                    <w:t>相符</w:t>
                  </w:r>
                </w:p>
              </w:tc>
            </w:tr>
            <w:tr w14:paraId="175DD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1076" w:type="dxa"/>
                  <w:vMerge w:val="restart"/>
                  <w:vAlign w:val="center"/>
                </w:tcPr>
                <w:p w14:paraId="695444DD">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auto"/>
                      <w:spacing w:val="0"/>
                      <w:sz w:val="21"/>
                      <w:szCs w:val="21"/>
                      <w:lang w:val="en-US" w:eastAsia="zh-CN"/>
                    </w:rPr>
                  </w:pPr>
                  <w:r>
                    <w:rPr>
                      <w:rFonts w:hint="default"/>
                      <w:b w:val="0"/>
                      <w:bCs w:val="0"/>
                      <w:color w:val="auto"/>
                      <w:spacing w:val="0"/>
                      <w:sz w:val="21"/>
                      <w:szCs w:val="21"/>
                      <w:lang w:val="en-US" w:eastAsia="zh-CN"/>
                    </w:rPr>
                    <w:t>《</w:t>
                  </w:r>
                  <w:r>
                    <w:rPr>
                      <w:rFonts w:hint="eastAsia"/>
                      <w:b w:val="0"/>
                      <w:bCs w:val="0"/>
                      <w:color w:val="auto"/>
                      <w:spacing w:val="0"/>
                      <w:sz w:val="21"/>
                      <w:szCs w:val="21"/>
                      <w:lang w:val="en-US" w:eastAsia="zh-CN"/>
                    </w:rPr>
                    <w:t>关于陕西陇县经济技术开发区总体规划（2022—2035年）环境影响报告书审查意见的函</w:t>
                  </w:r>
                  <w:r>
                    <w:rPr>
                      <w:rFonts w:hint="default"/>
                      <w:b w:val="0"/>
                      <w:bCs w:val="0"/>
                      <w:color w:val="auto"/>
                      <w:spacing w:val="0"/>
                      <w:sz w:val="21"/>
                      <w:szCs w:val="21"/>
                      <w:lang w:val="en-US" w:eastAsia="zh-CN"/>
                    </w:rPr>
                    <w:t>》</w:t>
                  </w:r>
                  <w:r>
                    <w:rPr>
                      <w:rFonts w:hint="eastAsia" w:cs="宋体"/>
                      <w:b w:val="0"/>
                      <w:bCs w:val="0"/>
                      <w:color w:val="auto"/>
                      <w:spacing w:val="0"/>
                      <w:kern w:val="0"/>
                      <w:sz w:val="21"/>
                      <w:szCs w:val="21"/>
                      <w:highlight w:val="none"/>
                      <w:lang w:eastAsia="zh-CN"/>
                    </w:rPr>
                    <w:t>陕环环评函〔2023〕91号</w:t>
                  </w:r>
                </w:p>
              </w:tc>
              <w:tc>
                <w:tcPr>
                  <w:tcW w:w="4645" w:type="dxa"/>
                  <w:vAlign w:val="center"/>
                </w:tcPr>
                <w:p w14:paraId="7A6939A6">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b w:val="0"/>
                      <w:bCs w:val="0"/>
                      <w:color w:val="auto"/>
                      <w:spacing w:val="0"/>
                      <w:sz w:val="21"/>
                      <w:szCs w:val="21"/>
                      <w:lang w:val="en-US" w:eastAsia="zh-CN"/>
                    </w:rPr>
                  </w:pPr>
                  <w:r>
                    <w:rPr>
                      <w:rFonts w:hint="default"/>
                      <w:b w:val="0"/>
                      <w:bCs w:val="0"/>
                      <w:color w:val="auto"/>
                      <w:spacing w:val="0"/>
                      <w:sz w:val="21"/>
                      <w:szCs w:val="21"/>
                      <w:lang w:val="en-US" w:eastAsia="zh-CN"/>
                    </w:rPr>
                    <w:t>（一）生态建设目标</w:t>
                  </w:r>
                </w:p>
                <w:p w14:paraId="7D262D08">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b w:val="0"/>
                      <w:bCs w:val="0"/>
                      <w:color w:val="auto"/>
                      <w:spacing w:val="0"/>
                      <w:sz w:val="21"/>
                      <w:szCs w:val="21"/>
                      <w:lang w:val="en-US" w:eastAsia="zh-CN"/>
                    </w:rPr>
                  </w:pPr>
                  <w:r>
                    <w:rPr>
                      <w:rFonts w:hint="default"/>
                      <w:b w:val="0"/>
                      <w:bCs w:val="0"/>
                      <w:color w:val="auto"/>
                      <w:spacing w:val="0"/>
                      <w:sz w:val="21"/>
                      <w:szCs w:val="21"/>
                      <w:lang w:val="en-US" w:eastAsia="zh-CN"/>
                    </w:rPr>
                    <w:t>根据规划区周边环境状况、环境质量状况以及规划项目排污特征、影响特征，《总体规划》确定的环境保护目标为：规划区域及所影响到的环境评价区域内环境空气、地表水环境、声环境等均达到相对应的区域环境质量标准要求，再生水回用率近期目标为30%，一般工业固废处置率100%，生活垃圾无害化处理率为100%，危险废物安全处置率100%。</w:t>
                  </w:r>
                </w:p>
              </w:tc>
              <w:tc>
                <w:tcPr>
                  <w:tcW w:w="1809" w:type="dxa"/>
                  <w:vAlign w:val="center"/>
                </w:tcPr>
                <w:p w14:paraId="2A47E724">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b w:val="0"/>
                      <w:bCs w:val="0"/>
                      <w:color w:val="auto"/>
                      <w:spacing w:val="0"/>
                      <w:sz w:val="21"/>
                      <w:szCs w:val="21"/>
                      <w:lang w:val="en-US" w:eastAsia="zh-CN"/>
                    </w:rPr>
                  </w:pPr>
                  <w:r>
                    <w:rPr>
                      <w:rFonts w:hint="default" w:ascii="Times New Roman" w:hAnsi="Times New Roman" w:eastAsia="宋体" w:cs="Times New Roman"/>
                      <w:b w:val="0"/>
                      <w:bCs w:val="0"/>
                      <w:color w:val="auto"/>
                      <w:spacing w:val="0"/>
                      <w:sz w:val="21"/>
                      <w:szCs w:val="21"/>
                      <w:lang w:eastAsia="zh-CN"/>
                    </w:rPr>
                    <w:t>项目</w:t>
                  </w:r>
                  <w:r>
                    <w:rPr>
                      <w:rFonts w:hint="eastAsia" w:cs="Times New Roman"/>
                      <w:b w:val="0"/>
                      <w:bCs w:val="0"/>
                      <w:color w:val="auto"/>
                      <w:spacing w:val="0"/>
                      <w:sz w:val="21"/>
                      <w:szCs w:val="21"/>
                      <w:lang w:val="en-US" w:eastAsia="zh-CN"/>
                    </w:rPr>
                    <w:t>为</w:t>
                  </w:r>
                  <w:r>
                    <w:rPr>
                      <w:rFonts w:hint="default"/>
                      <w:b w:val="0"/>
                      <w:bCs w:val="0"/>
                      <w:color w:val="auto"/>
                      <w:spacing w:val="0"/>
                      <w:sz w:val="21"/>
                      <w:szCs w:val="21"/>
                      <w:lang w:val="en-US" w:eastAsia="zh-CN"/>
                    </w:rPr>
                    <w:t>污水处理</w:t>
                  </w:r>
                  <w:r>
                    <w:rPr>
                      <w:rFonts w:hint="eastAsia"/>
                      <w:b w:val="0"/>
                      <w:bCs w:val="0"/>
                      <w:color w:val="auto"/>
                      <w:spacing w:val="0"/>
                      <w:sz w:val="21"/>
                      <w:szCs w:val="21"/>
                      <w:lang w:val="en-US" w:eastAsia="zh-CN"/>
                    </w:rPr>
                    <w:t>及中水回用工程，为了达到</w:t>
                  </w:r>
                  <w:r>
                    <w:rPr>
                      <w:rFonts w:hint="default"/>
                      <w:b w:val="0"/>
                      <w:bCs w:val="0"/>
                      <w:color w:val="auto"/>
                      <w:spacing w:val="0"/>
                      <w:sz w:val="21"/>
                      <w:szCs w:val="21"/>
                      <w:lang w:val="en-US" w:eastAsia="zh-CN"/>
                    </w:rPr>
                    <w:t>再生水回用率30%</w:t>
                  </w:r>
                  <w:r>
                    <w:rPr>
                      <w:rFonts w:hint="eastAsia"/>
                      <w:b w:val="0"/>
                      <w:bCs w:val="0"/>
                      <w:color w:val="auto"/>
                      <w:spacing w:val="0"/>
                      <w:sz w:val="21"/>
                      <w:szCs w:val="21"/>
                      <w:lang w:val="en-US" w:eastAsia="zh-CN"/>
                    </w:rPr>
                    <w:t>的</w:t>
                  </w:r>
                  <w:r>
                    <w:rPr>
                      <w:rFonts w:hint="default"/>
                      <w:b w:val="0"/>
                      <w:bCs w:val="0"/>
                      <w:color w:val="auto"/>
                      <w:spacing w:val="0"/>
                      <w:sz w:val="21"/>
                      <w:szCs w:val="21"/>
                      <w:lang w:val="en-US" w:eastAsia="zh-CN"/>
                    </w:rPr>
                    <w:t>近期目标，</w:t>
                  </w:r>
                  <w:r>
                    <w:rPr>
                      <w:rFonts w:hint="eastAsia"/>
                      <w:b w:val="0"/>
                      <w:bCs w:val="0"/>
                      <w:color w:val="auto"/>
                      <w:spacing w:val="0"/>
                      <w:sz w:val="21"/>
                      <w:szCs w:val="21"/>
                      <w:lang w:val="en-US" w:eastAsia="zh-CN"/>
                    </w:rPr>
                    <w:t>建设本项目。</w:t>
                  </w:r>
                </w:p>
              </w:tc>
              <w:tc>
                <w:tcPr>
                  <w:tcW w:w="837" w:type="dxa"/>
                  <w:vAlign w:val="center"/>
                </w:tcPr>
                <w:p w14:paraId="1F5E56C2">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b w:val="0"/>
                      <w:bCs w:val="0"/>
                      <w:color w:val="auto"/>
                      <w:spacing w:val="0"/>
                      <w:sz w:val="21"/>
                      <w:szCs w:val="21"/>
                      <w:lang w:val="en-US" w:eastAsia="zh-CN"/>
                    </w:rPr>
                  </w:pPr>
                  <w:r>
                    <w:rPr>
                      <w:rFonts w:hint="eastAsia"/>
                      <w:b w:val="0"/>
                      <w:bCs w:val="0"/>
                      <w:color w:val="auto"/>
                      <w:spacing w:val="0"/>
                      <w:sz w:val="21"/>
                      <w:szCs w:val="21"/>
                      <w:lang w:val="en-US" w:eastAsia="zh-CN"/>
                    </w:rPr>
                    <w:t>相符</w:t>
                  </w:r>
                </w:p>
              </w:tc>
            </w:tr>
            <w:tr w14:paraId="71D49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5" w:hRule="atLeast"/>
              </w:trPr>
              <w:tc>
                <w:tcPr>
                  <w:tcW w:w="1076" w:type="dxa"/>
                  <w:vMerge w:val="continue"/>
                  <w:vAlign w:val="center"/>
                </w:tcPr>
                <w:p w14:paraId="6F347409">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auto"/>
                      <w:spacing w:val="0"/>
                      <w:sz w:val="21"/>
                      <w:szCs w:val="21"/>
                      <w:lang w:val="en-US" w:eastAsia="zh-CN"/>
                    </w:rPr>
                  </w:pPr>
                </w:p>
              </w:tc>
              <w:tc>
                <w:tcPr>
                  <w:tcW w:w="4645" w:type="dxa"/>
                  <w:vAlign w:val="center"/>
                </w:tcPr>
                <w:p w14:paraId="5AAD3B7B">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b w:val="0"/>
                      <w:bCs w:val="0"/>
                      <w:color w:val="auto"/>
                      <w:spacing w:val="0"/>
                      <w:sz w:val="21"/>
                      <w:szCs w:val="21"/>
                      <w:lang w:val="en-US" w:eastAsia="zh-CN"/>
                    </w:rPr>
                  </w:pPr>
                  <w:r>
                    <w:rPr>
                      <w:rFonts w:hint="default"/>
                      <w:b w:val="0"/>
                      <w:bCs w:val="0"/>
                      <w:color w:val="auto"/>
                      <w:spacing w:val="0"/>
                      <w:sz w:val="21"/>
                      <w:szCs w:val="21"/>
                      <w:lang w:val="en-US" w:eastAsia="zh-CN"/>
                    </w:rPr>
                    <w:t>（二）需要解决的主要问题</w:t>
                  </w:r>
                </w:p>
                <w:p w14:paraId="2390FB53">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b w:val="0"/>
                      <w:bCs w:val="0"/>
                      <w:color w:val="auto"/>
                      <w:spacing w:val="0"/>
                      <w:sz w:val="21"/>
                      <w:szCs w:val="21"/>
                      <w:lang w:val="en-US" w:eastAsia="zh-CN"/>
                    </w:rPr>
                  </w:pPr>
                  <w:r>
                    <w:rPr>
                      <w:rFonts w:hint="default"/>
                      <w:b w:val="0"/>
                      <w:bCs w:val="0"/>
                      <w:color w:val="auto"/>
                      <w:spacing w:val="0"/>
                      <w:sz w:val="21"/>
                      <w:szCs w:val="21"/>
                      <w:lang w:val="en-US" w:eastAsia="zh-CN"/>
                    </w:rPr>
                    <w:t>规划区地处冯家山水库饮用水源准保护区，规划区周边为千河湿地、千河国家级水产种质资源保护区等环境敏感区，规划实施受以上环境因素制约相对较大；规划区主导产业排水量较大，规划拟依托陇县千河南岸新城污水处理厂，该污水处理厂为生活污水处理厂，且剩余处理能力不能满足规划远期新增排水量。园区中水管网建设滞后，中水回用措施不明确。规划中未考虑规划区发展农副产品加工等行业的主要污染物排放等量或减量置换的问题。</w:t>
                  </w:r>
                </w:p>
              </w:tc>
              <w:tc>
                <w:tcPr>
                  <w:tcW w:w="1809" w:type="dxa"/>
                  <w:vAlign w:val="center"/>
                </w:tcPr>
                <w:p w14:paraId="2F5E69B7">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auto"/>
                      <w:spacing w:val="0"/>
                      <w:sz w:val="21"/>
                      <w:szCs w:val="21"/>
                      <w:lang w:val="en-US" w:eastAsia="zh-CN"/>
                    </w:rPr>
                  </w:pPr>
                  <w:r>
                    <w:rPr>
                      <w:rFonts w:hint="eastAsia"/>
                      <w:b w:val="0"/>
                      <w:bCs w:val="0"/>
                      <w:color w:val="auto"/>
                      <w:spacing w:val="0"/>
                      <w:sz w:val="21"/>
                      <w:szCs w:val="21"/>
                      <w:lang w:val="en-US" w:eastAsia="zh-CN"/>
                    </w:rPr>
                    <w:t>本项目为污水处理及中水回用工程，建设本项目为解决</w:t>
                  </w:r>
                  <w:r>
                    <w:rPr>
                      <w:rFonts w:hint="default"/>
                      <w:b w:val="0"/>
                      <w:bCs w:val="0"/>
                      <w:color w:val="auto"/>
                      <w:spacing w:val="0"/>
                      <w:sz w:val="21"/>
                      <w:szCs w:val="21"/>
                      <w:lang w:val="en-US" w:eastAsia="zh-CN"/>
                    </w:rPr>
                    <w:t>陇县千河南岸新城污水处理厂</w:t>
                  </w:r>
                  <w:r>
                    <w:rPr>
                      <w:rFonts w:hint="eastAsia"/>
                      <w:b w:val="0"/>
                      <w:bCs w:val="0"/>
                      <w:color w:val="auto"/>
                      <w:spacing w:val="0"/>
                      <w:sz w:val="21"/>
                      <w:szCs w:val="21"/>
                      <w:lang w:val="en-US" w:eastAsia="zh-CN"/>
                    </w:rPr>
                    <w:t>处理能力不足问题。</w:t>
                  </w:r>
                </w:p>
              </w:tc>
              <w:tc>
                <w:tcPr>
                  <w:tcW w:w="837" w:type="dxa"/>
                  <w:vAlign w:val="center"/>
                </w:tcPr>
                <w:p w14:paraId="304A78D0">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b w:val="0"/>
                      <w:bCs w:val="0"/>
                      <w:color w:val="auto"/>
                      <w:spacing w:val="0"/>
                      <w:sz w:val="21"/>
                      <w:szCs w:val="21"/>
                      <w:lang w:val="en-US" w:eastAsia="zh-CN"/>
                    </w:rPr>
                  </w:pPr>
                  <w:r>
                    <w:rPr>
                      <w:rFonts w:hint="eastAsia"/>
                      <w:b w:val="0"/>
                      <w:bCs w:val="0"/>
                      <w:color w:val="auto"/>
                      <w:spacing w:val="0"/>
                      <w:sz w:val="21"/>
                      <w:szCs w:val="21"/>
                      <w:lang w:val="en-US" w:eastAsia="zh-CN"/>
                    </w:rPr>
                    <w:t>相符</w:t>
                  </w:r>
                </w:p>
              </w:tc>
            </w:tr>
            <w:tr w14:paraId="6E3F1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5" w:hRule="atLeast"/>
              </w:trPr>
              <w:tc>
                <w:tcPr>
                  <w:tcW w:w="1076" w:type="dxa"/>
                  <w:vMerge w:val="continue"/>
                  <w:vAlign w:val="center"/>
                </w:tcPr>
                <w:p w14:paraId="4C49B6F8">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auto"/>
                      <w:spacing w:val="0"/>
                      <w:sz w:val="21"/>
                      <w:szCs w:val="21"/>
                      <w:lang w:val="en-US" w:eastAsia="zh-CN"/>
                    </w:rPr>
                  </w:pPr>
                </w:p>
              </w:tc>
              <w:tc>
                <w:tcPr>
                  <w:tcW w:w="4645" w:type="dxa"/>
                  <w:vAlign w:val="center"/>
                </w:tcPr>
                <w:p w14:paraId="1585218F">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b w:val="0"/>
                      <w:bCs w:val="0"/>
                      <w:color w:val="auto"/>
                      <w:spacing w:val="0"/>
                      <w:sz w:val="21"/>
                      <w:szCs w:val="21"/>
                      <w:lang w:val="en-US" w:eastAsia="zh-CN"/>
                    </w:rPr>
                  </w:pPr>
                  <w:r>
                    <w:rPr>
                      <w:rFonts w:hint="default"/>
                      <w:b w:val="0"/>
                      <w:bCs w:val="0"/>
                      <w:color w:val="auto"/>
                      <w:spacing w:val="0"/>
                      <w:sz w:val="21"/>
                      <w:szCs w:val="21"/>
                      <w:lang w:val="en-US" w:eastAsia="zh-CN"/>
                    </w:rPr>
                    <w:t>（三）加强空间管控，严守生态保护红线。坚持生态“红线”即底线的思维，入园企业必须符合《中华人民共和国黄河保护法》《陕西省黄河流域生态保护和高质量发展规划》等相关要求，应加快推进园区污水收集和处理、雨污分流、中水回用设施及管网等工程建设，开展水资源梯级利用和节水技术，落实中水回用措施及回用率，确保水污染物排放总量不再增加，确保对国家级水产种质资源保护区、冯家山水库饮用水源准保护区不利影响不会加剧。</w:t>
                  </w:r>
                </w:p>
              </w:tc>
              <w:tc>
                <w:tcPr>
                  <w:tcW w:w="1809" w:type="dxa"/>
                  <w:vAlign w:val="center"/>
                </w:tcPr>
                <w:p w14:paraId="208DA19B">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auto"/>
                      <w:spacing w:val="0"/>
                      <w:sz w:val="21"/>
                      <w:szCs w:val="21"/>
                      <w:lang w:val="en-US" w:eastAsia="zh-CN"/>
                    </w:rPr>
                  </w:pPr>
                  <w:r>
                    <w:rPr>
                      <w:rFonts w:hint="eastAsia"/>
                      <w:b w:val="0"/>
                      <w:bCs w:val="0"/>
                      <w:color w:val="auto"/>
                      <w:spacing w:val="0"/>
                      <w:sz w:val="21"/>
                      <w:szCs w:val="21"/>
                      <w:lang w:val="en-US" w:eastAsia="zh-CN"/>
                    </w:rPr>
                    <w:t>本项目为污水处理及中水回用工程，满足加快</w:t>
                  </w:r>
                  <w:r>
                    <w:rPr>
                      <w:rFonts w:hint="default"/>
                      <w:b w:val="0"/>
                      <w:bCs w:val="0"/>
                      <w:color w:val="auto"/>
                      <w:spacing w:val="0"/>
                      <w:sz w:val="21"/>
                      <w:szCs w:val="21"/>
                      <w:lang w:val="en-US" w:eastAsia="zh-CN"/>
                    </w:rPr>
                    <w:t>园区污水收集和处理、雨污分流、中水回用设施等工程建设</w:t>
                  </w:r>
                  <w:r>
                    <w:rPr>
                      <w:rFonts w:hint="eastAsia"/>
                      <w:b w:val="0"/>
                      <w:bCs w:val="0"/>
                      <w:color w:val="auto"/>
                      <w:spacing w:val="0"/>
                      <w:sz w:val="21"/>
                      <w:szCs w:val="21"/>
                      <w:lang w:val="en-US" w:eastAsia="zh-CN"/>
                    </w:rPr>
                    <w:t>需求</w:t>
                  </w:r>
                </w:p>
              </w:tc>
              <w:tc>
                <w:tcPr>
                  <w:tcW w:w="837" w:type="dxa"/>
                  <w:vAlign w:val="center"/>
                </w:tcPr>
                <w:p w14:paraId="598FFE42">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b w:val="0"/>
                      <w:bCs w:val="0"/>
                      <w:color w:val="auto"/>
                      <w:spacing w:val="0"/>
                      <w:sz w:val="21"/>
                      <w:szCs w:val="21"/>
                      <w:lang w:val="en-US" w:eastAsia="zh-CN"/>
                    </w:rPr>
                  </w:pPr>
                  <w:r>
                    <w:rPr>
                      <w:rFonts w:hint="eastAsia"/>
                      <w:b w:val="0"/>
                      <w:bCs w:val="0"/>
                      <w:color w:val="auto"/>
                      <w:spacing w:val="0"/>
                      <w:sz w:val="21"/>
                      <w:szCs w:val="21"/>
                      <w:lang w:val="en-US" w:eastAsia="zh-CN"/>
                    </w:rPr>
                    <w:t>相符</w:t>
                  </w:r>
                </w:p>
              </w:tc>
            </w:tr>
            <w:tr w14:paraId="20A76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1" w:hRule="atLeast"/>
              </w:trPr>
              <w:tc>
                <w:tcPr>
                  <w:tcW w:w="1076" w:type="dxa"/>
                  <w:vMerge w:val="continue"/>
                  <w:vAlign w:val="center"/>
                </w:tcPr>
                <w:p w14:paraId="147E0948">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auto"/>
                      <w:spacing w:val="0"/>
                      <w:sz w:val="21"/>
                      <w:szCs w:val="21"/>
                      <w:lang w:val="en-US" w:eastAsia="zh-CN"/>
                    </w:rPr>
                  </w:pPr>
                </w:p>
              </w:tc>
              <w:tc>
                <w:tcPr>
                  <w:tcW w:w="4645" w:type="dxa"/>
                  <w:vAlign w:val="center"/>
                </w:tcPr>
                <w:p w14:paraId="50CDEA48">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b w:val="0"/>
                      <w:bCs w:val="0"/>
                      <w:color w:val="auto"/>
                      <w:spacing w:val="0"/>
                      <w:sz w:val="21"/>
                      <w:szCs w:val="21"/>
                      <w:lang w:val="en-US" w:eastAsia="zh-CN"/>
                    </w:rPr>
                  </w:pPr>
                  <w:r>
                    <w:rPr>
                      <w:rFonts w:hint="default"/>
                      <w:b w:val="0"/>
                      <w:bCs w:val="0"/>
                      <w:color w:val="auto"/>
                      <w:spacing w:val="0"/>
                      <w:sz w:val="21"/>
                      <w:szCs w:val="21"/>
                      <w:lang w:val="en-US" w:eastAsia="zh-CN"/>
                    </w:rPr>
                    <w:t>（四）加强环境影响跟踪监测和风险防控，适时对总体规划进行调整。根据经开区功能分区、产业布局、重点企业分布、特征污染物的排放种类和状况、环境敏感目标分布等情况，建立包括环境空气、地表水、地下水和土壤等环境要素的监控体系，明确责任主体。做好经开区内水、大气、土壤等环境的长期跟踪监测与管理，根据监测结果并结合环境影响、区域污染物削减措施实施的效果等适时优化、调整总体规划。建立健全区域风险防范体系和生态安全保障体系，加强经开区内重要风险源的管控。</w:t>
                  </w:r>
                </w:p>
              </w:tc>
              <w:tc>
                <w:tcPr>
                  <w:tcW w:w="1809" w:type="dxa"/>
                  <w:vAlign w:val="center"/>
                </w:tcPr>
                <w:p w14:paraId="2EA79636">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pacing w:val="0"/>
                      <w:sz w:val="21"/>
                      <w:szCs w:val="21"/>
                      <w:lang w:val="en-US" w:eastAsia="zh-CN"/>
                    </w:rPr>
                  </w:pPr>
                  <w:r>
                    <w:rPr>
                      <w:rFonts w:hint="eastAsia" w:cs="Times New Roman"/>
                      <w:b w:val="0"/>
                      <w:bCs w:val="0"/>
                      <w:color w:val="auto"/>
                      <w:spacing w:val="0"/>
                      <w:sz w:val="21"/>
                      <w:szCs w:val="21"/>
                      <w:lang w:val="en-US" w:eastAsia="zh-CN"/>
                    </w:rPr>
                    <w:t>本项目为污水处理及中水回用工程，运营期对排水口等进行长期监测，满足其要求</w:t>
                  </w:r>
                  <w:r>
                    <w:rPr>
                      <w:rFonts w:hint="eastAsia"/>
                      <w:b w:val="0"/>
                      <w:bCs w:val="0"/>
                      <w:color w:val="auto"/>
                      <w:spacing w:val="0"/>
                      <w:sz w:val="21"/>
                      <w:szCs w:val="21"/>
                      <w:lang w:val="en-US" w:eastAsia="zh-CN"/>
                    </w:rPr>
                    <w:t>。</w:t>
                  </w:r>
                </w:p>
              </w:tc>
              <w:tc>
                <w:tcPr>
                  <w:tcW w:w="837" w:type="dxa"/>
                  <w:vAlign w:val="center"/>
                </w:tcPr>
                <w:p w14:paraId="51ECAAE4">
                  <w:pPr>
                    <w:pStyle w:val="69"/>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 w:val="0"/>
                      <w:bCs w:val="0"/>
                      <w:color w:val="auto"/>
                      <w:spacing w:val="0"/>
                      <w:sz w:val="21"/>
                      <w:szCs w:val="21"/>
                      <w:lang w:val="en-US" w:eastAsia="zh-CN"/>
                    </w:rPr>
                  </w:pPr>
                  <w:r>
                    <w:rPr>
                      <w:rFonts w:hint="eastAsia"/>
                      <w:b w:val="0"/>
                      <w:bCs w:val="0"/>
                      <w:color w:val="auto"/>
                      <w:spacing w:val="0"/>
                      <w:sz w:val="21"/>
                      <w:szCs w:val="21"/>
                      <w:lang w:val="en-US" w:eastAsia="zh-CN"/>
                    </w:rPr>
                    <w:t>相符</w:t>
                  </w:r>
                </w:p>
              </w:tc>
            </w:tr>
          </w:tbl>
          <w:p w14:paraId="41F3BE9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cs="Times New Roman"/>
                <w:bCs/>
                <w:color w:val="auto"/>
                <w:spacing w:val="0"/>
                <w:lang w:val="en-US" w:eastAsia="zh-CN"/>
              </w:rPr>
            </w:pPr>
          </w:p>
          <w:p w14:paraId="0CCFA8A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cs="Times New Roman"/>
                <w:bCs/>
                <w:color w:val="auto"/>
                <w:spacing w:val="0"/>
                <w:lang w:val="en-US" w:eastAsia="zh-CN"/>
              </w:rPr>
            </w:pPr>
          </w:p>
          <w:p w14:paraId="15BCCDA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cs="Times New Roman"/>
                <w:bCs/>
                <w:color w:val="auto"/>
                <w:spacing w:val="0"/>
                <w:lang w:val="en-US" w:eastAsia="zh-CN"/>
              </w:rPr>
            </w:pPr>
          </w:p>
          <w:p w14:paraId="7AE7012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cs="Times New Roman"/>
                <w:bCs/>
                <w:color w:val="auto"/>
                <w:spacing w:val="0"/>
                <w:lang w:val="en-US" w:eastAsia="zh-CN"/>
              </w:rPr>
            </w:pPr>
          </w:p>
          <w:p w14:paraId="316A817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cs="Times New Roman"/>
                <w:bCs/>
                <w:color w:val="auto"/>
                <w:spacing w:val="0"/>
                <w:lang w:val="en-US" w:eastAsia="zh-CN"/>
              </w:rPr>
            </w:pPr>
          </w:p>
          <w:p w14:paraId="6BE15DE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0" w:firstLineChars="0"/>
              <w:jc w:val="both"/>
              <w:textAlignment w:val="auto"/>
              <w:rPr>
                <w:rFonts w:hint="default" w:ascii="Times New Roman" w:hAnsi="Times New Roman" w:eastAsia="宋体" w:cs="Times New Roman"/>
                <w:color w:val="auto"/>
                <w:spacing w:val="0"/>
                <w:kern w:val="0"/>
                <w:sz w:val="24"/>
                <w:szCs w:val="24"/>
                <w:lang w:val="en-US" w:eastAsia="zh-CN" w:bidi="ar-SA"/>
              </w:rPr>
            </w:pPr>
          </w:p>
        </w:tc>
      </w:tr>
      <w:tr w14:paraId="54665B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686" w:hRule="atLeast"/>
          <w:jc w:val="center"/>
        </w:trPr>
        <w:tc>
          <w:tcPr>
            <w:tcW w:w="1042" w:type="dxa"/>
            <w:tcBorders>
              <w:top w:val="single" w:color="auto" w:sz="4" w:space="0"/>
              <w:left w:val="single" w:color="auto" w:sz="8" w:space="0"/>
              <w:bottom w:val="single" w:color="auto" w:sz="8" w:space="0"/>
              <w:right w:val="single" w:color="auto" w:sz="4" w:space="0"/>
            </w:tcBorders>
            <w:shd w:val="clear" w:color="auto" w:fill="auto"/>
            <w:tcMar>
              <w:left w:w="108" w:type="dxa"/>
              <w:right w:w="108" w:type="dxa"/>
            </w:tcMar>
            <w:vAlign w:val="center"/>
          </w:tcPr>
          <w:p w14:paraId="62C09E52">
            <w:pPr>
              <w:keepNext w:val="0"/>
              <w:keepLines w:val="0"/>
              <w:widowControl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Cs w:val="21"/>
                <w:lang w:val="en-US"/>
              </w:rPr>
            </w:pPr>
            <w:r>
              <w:rPr>
                <w:rFonts w:hint="default" w:ascii="Times New Roman" w:hAnsi="Times New Roman" w:eastAsia="宋体" w:cs="Times New Roman"/>
                <w:color w:val="auto"/>
                <w:spacing w:val="0"/>
                <w:w w:val="100"/>
                <w:kern w:val="0"/>
                <w:sz w:val="24"/>
                <w:szCs w:val="24"/>
                <w:lang w:val="en-US" w:eastAsia="zh-CN" w:bidi="ar"/>
              </w:rPr>
              <w:t>其他符合性分析</w:t>
            </w:r>
          </w:p>
        </w:tc>
        <w:tc>
          <w:tcPr>
            <w:tcW w:w="8537" w:type="dxa"/>
            <w:gridSpan w:val="4"/>
            <w:tcBorders>
              <w:top w:val="single" w:color="auto" w:sz="4" w:space="0"/>
              <w:left w:val="single" w:color="auto" w:sz="4" w:space="0"/>
              <w:bottom w:val="single" w:color="auto" w:sz="8" w:space="0"/>
              <w:right w:val="single" w:color="auto" w:sz="8" w:space="0"/>
            </w:tcBorders>
            <w:shd w:val="clear" w:color="auto" w:fill="auto"/>
            <w:tcMar>
              <w:left w:w="108" w:type="dxa"/>
              <w:right w:w="108" w:type="dxa"/>
            </w:tcMar>
            <w:vAlign w:val="center"/>
          </w:tcPr>
          <w:p w14:paraId="3F8DD3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rPr>
              <w:t>1、</w:t>
            </w:r>
            <w:r>
              <w:rPr>
                <w:rFonts w:hint="default" w:ascii="Times New Roman" w:hAnsi="Times New Roman" w:eastAsia="宋体" w:cs="Times New Roman"/>
                <w:color w:val="auto"/>
                <w:spacing w:val="0"/>
                <w:w w:val="100"/>
                <w:sz w:val="24"/>
                <w:szCs w:val="24"/>
                <w:lang w:eastAsia="zh-CN"/>
              </w:rPr>
              <w:t>项目与生态环境保护法律法规政策</w:t>
            </w:r>
            <w:r>
              <w:rPr>
                <w:rFonts w:hint="default" w:ascii="Times New Roman" w:hAnsi="Times New Roman" w:eastAsia="宋体" w:cs="Times New Roman"/>
                <w:color w:val="auto"/>
                <w:spacing w:val="0"/>
                <w:w w:val="100"/>
                <w:sz w:val="24"/>
                <w:szCs w:val="24"/>
              </w:rPr>
              <w:t>相符性分析</w:t>
            </w:r>
            <w:r>
              <w:rPr>
                <w:rFonts w:hint="default" w:ascii="Times New Roman" w:hAnsi="Times New Roman" w:eastAsia="宋体" w:cs="Times New Roman"/>
                <w:color w:val="auto"/>
                <w:spacing w:val="0"/>
                <w:w w:val="100"/>
                <w:sz w:val="24"/>
                <w:szCs w:val="24"/>
                <w:lang w:eastAsia="zh-CN"/>
              </w:rPr>
              <w:t>。</w:t>
            </w:r>
          </w:p>
          <w:p w14:paraId="53D014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cs="Times New Roman"/>
                <w:color w:val="auto"/>
                <w:spacing w:val="0"/>
                <w:w w:val="100"/>
                <w:sz w:val="24"/>
                <w:szCs w:val="24"/>
                <w:lang w:eastAsia="zh-CN"/>
              </w:rPr>
              <w:t>本项目为</w:t>
            </w:r>
            <w:r>
              <w:rPr>
                <w:rFonts w:hint="eastAsia" w:ascii="Times New Roman" w:hAnsi="Times New Roman" w:cs="Times New Roman"/>
                <w:color w:val="auto"/>
                <w:spacing w:val="0"/>
                <w:w w:val="100"/>
                <w:sz w:val="24"/>
                <w:szCs w:val="24"/>
                <w:lang w:eastAsia="zh-CN"/>
              </w:rPr>
              <w:t>污水处理厂建设</w:t>
            </w:r>
            <w:r>
              <w:rPr>
                <w:rFonts w:hint="default" w:ascii="Times New Roman" w:hAnsi="Times New Roman" w:cs="Times New Roman"/>
                <w:color w:val="auto"/>
                <w:spacing w:val="0"/>
                <w:w w:val="100"/>
                <w:sz w:val="24"/>
                <w:szCs w:val="24"/>
                <w:lang w:eastAsia="zh-CN"/>
              </w:rPr>
              <w:t>项目，</w:t>
            </w:r>
            <w:r>
              <w:rPr>
                <w:rFonts w:hint="default" w:ascii="Times New Roman" w:hAnsi="Times New Roman" w:eastAsia="宋体" w:cs="Times New Roman"/>
                <w:color w:val="auto"/>
                <w:spacing w:val="0"/>
                <w:w w:val="100"/>
                <w:sz w:val="24"/>
                <w:szCs w:val="24"/>
                <w:lang w:eastAsia="zh-CN"/>
              </w:rPr>
              <w:t>产生的主要污染物为</w:t>
            </w:r>
            <w:r>
              <w:rPr>
                <w:rFonts w:hint="eastAsia" w:ascii="Times New Roman" w:hAnsi="Times New Roman" w:eastAsia="宋体" w:cs="Times New Roman"/>
                <w:color w:val="auto"/>
                <w:spacing w:val="0"/>
                <w:w w:val="100"/>
                <w:sz w:val="24"/>
                <w:szCs w:val="24"/>
                <w:lang w:eastAsia="zh-CN"/>
              </w:rPr>
              <w:t>污水处理产生的臭气及尾水排放</w:t>
            </w:r>
            <w:r>
              <w:rPr>
                <w:rFonts w:hint="default" w:ascii="Times New Roman" w:hAnsi="Times New Roman" w:eastAsia="宋体" w:cs="Times New Roman"/>
                <w:color w:val="auto"/>
                <w:spacing w:val="0"/>
                <w:w w:val="100"/>
                <w:sz w:val="24"/>
                <w:szCs w:val="24"/>
                <w:lang w:eastAsia="zh-CN"/>
              </w:rPr>
              <w:t>，据此分析本项目与相关环保政策</w:t>
            </w:r>
            <w:r>
              <w:rPr>
                <w:rFonts w:hint="eastAsia" w:ascii="Times New Roman" w:hAnsi="Times New Roman" w:eastAsia="宋体" w:cs="Times New Roman"/>
                <w:color w:val="auto"/>
                <w:spacing w:val="0"/>
                <w:w w:val="100"/>
                <w:sz w:val="24"/>
                <w:szCs w:val="24"/>
                <w:lang w:val="en-US" w:eastAsia="zh-CN"/>
              </w:rPr>
              <w:t>的符合性</w:t>
            </w:r>
            <w:r>
              <w:rPr>
                <w:rFonts w:hint="default" w:ascii="Times New Roman" w:hAnsi="Times New Roman" w:eastAsia="宋体" w:cs="Times New Roman"/>
                <w:color w:val="auto"/>
                <w:spacing w:val="0"/>
                <w:w w:val="100"/>
                <w:sz w:val="24"/>
                <w:szCs w:val="24"/>
                <w:lang w:eastAsia="zh-CN"/>
              </w:rPr>
              <w:t>，详见下表</w:t>
            </w:r>
            <w:r>
              <w:rPr>
                <w:rFonts w:hint="eastAsia" w:ascii="Times New Roman" w:hAnsi="Times New Roman" w:eastAsia="宋体" w:cs="Times New Roman"/>
                <w:color w:val="auto"/>
                <w:spacing w:val="0"/>
                <w:w w:val="100"/>
                <w:sz w:val="24"/>
                <w:szCs w:val="24"/>
                <w:lang w:val="en-US" w:eastAsia="zh-CN"/>
              </w:rPr>
              <w:t>1-2</w:t>
            </w:r>
            <w:r>
              <w:rPr>
                <w:rFonts w:hint="default" w:ascii="Times New Roman" w:hAnsi="Times New Roman" w:eastAsia="宋体" w:cs="Times New Roman"/>
                <w:color w:val="auto"/>
                <w:spacing w:val="0"/>
                <w:w w:val="100"/>
                <w:sz w:val="24"/>
                <w:szCs w:val="24"/>
                <w:lang w:eastAsia="zh-CN"/>
              </w:rPr>
              <w:t>。</w:t>
            </w:r>
          </w:p>
          <w:p w14:paraId="17459E8A">
            <w:pPr>
              <w:pStyle w:val="7"/>
              <w:keepNext w:val="0"/>
              <w:keepLines w:val="0"/>
              <w:suppressLineNumbers w:val="0"/>
              <w:spacing w:before="0" w:beforeAutospacing="0" w:after="0" w:afterAutospacing="0"/>
              <w:ind w:left="0" w:right="0" w:firstLine="422"/>
              <w:jc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表</w:t>
            </w:r>
            <w:r>
              <w:rPr>
                <w:rFonts w:hint="eastAsia" w:ascii="Times New Roman" w:hAnsi="Times New Roman" w:eastAsia="宋体" w:cs="Times New Roman"/>
                <w:b w:val="0"/>
                <w:bCs w:val="0"/>
                <w:color w:val="auto"/>
                <w:spacing w:val="0"/>
                <w:w w:val="100"/>
                <w:sz w:val="21"/>
                <w:szCs w:val="21"/>
                <w:lang w:val="en-US" w:eastAsia="zh-CN"/>
              </w:rPr>
              <w:t>1-2</w:t>
            </w:r>
            <w:r>
              <w:rPr>
                <w:rFonts w:hint="default" w:ascii="Times New Roman" w:hAnsi="Times New Roman" w:eastAsia="宋体" w:cs="Times New Roman"/>
                <w:b w:val="0"/>
                <w:bCs w:val="0"/>
                <w:color w:val="auto"/>
                <w:spacing w:val="0"/>
                <w:w w:val="100"/>
                <w:sz w:val="21"/>
                <w:szCs w:val="21"/>
              </w:rPr>
              <w:t xml:space="preserve">  </w:t>
            </w:r>
            <w:r>
              <w:rPr>
                <w:rFonts w:hint="default" w:ascii="Times New Roman" w:hAnsi="Times New Roman" w:eastAsia="宋体" w:cs="Times New Roman"/>
                <w:b w:val="0"/>
                <w:bCs w:val="0"/>
                <w:color w:val="auto"/>
                <w:spacing w:val="0"/>
                <w:w w:val="100"/>
                <w:sz w:val="21"/>
                <w:szCs w:val="21"/>
                <w:lang w:val="en-US" w:eastAsia="zh-CN"/>
              </w:rPr>
              <w:t xml:space="preserve">  </w:t>
            </w:r>
            <w:r>
              <w:rPr>
                <w:rFonts w:hint="default" w:ascii="Times New Roman" w:hAnsi="Times New Roman" w:eastAsia="宋体" w:cs="Times New Roman"/>
                <w:b w:val="0"/>
                <w:bCs w:val="0"/>
                <w:color w:val="auto"/>
                <w:spacing w:val="0"/>
                <w:w w:val="100"/>
                <w:sz w:val="21"/>
                <w:szCs w:val="21"/>
              </w:rPr>
              <w:t>项目与相关环保政策符合性分析</w:t>
            </w:r>
          </w:p>
          <w:tbl>
            <w:tblPr>
              <w:tblStyle w:val="21"/>
              <w:tblW w:w="81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6"/>
              <w:gridCol w:w="3535"/>
              <w:gridCol w:w="2662"/>
              <w:gridCol w:w="636"/>
            </w:tblGrid>
            <w:tr w14:paraId="46188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833" w:type="pct"/>
                  <w:shd w:val="clear" w:color="auto" w:fill="FFFFFF"/>
                  <w:noWrap w:val="0"/>
                  <w:vAlign w:val="center"/>
                </w:tcPr>
                <w:p w14:paraId="1432AD21">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0"/>
                      <w:sz w:val="21"/>
                      <w:szCs w:val="21"/>
                    </w:rPr>
                  </w:pPr>
                  <w:r>
                    <w:rPr>
                      <w:rFonts w:hint="default" w:ascii="Times New Roman" w:hAnsi="Times New Roman" w:eastAsia="宋体" w:cs="Times New Roman"/>
                      <w:color w:val="auto"/>
                      <w:spacing w:val="0"/>
                      <w:w w:val="100"/>
                      <w:kern w:val="0"/>
                      <w:sz w:val="21"/>
                      <w:szCs w:val="21"/>
                    </w:rPr>
                    <w:t>相关政策</w:t>
                  </w:r>
                </w:p>
              </w:tc>
              <w:tc>
                <w:tcPr>
                  <w:tcW w:w="2155" w:type="pct"/>
                  <w:shd w:val="clear" w:color="auto" w:fill="FFFFFF"/>
                  <w:noWrap w:val="0"/>
                  <w:vAlign w:val="center"/>
                </w:tcPr>
                <w:p w14:paraId="185FE49C">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0"/>
                      <w:sz w:val="21"/>
                      <w:szCs w:val="21"/>
                    </w:rPr>
                  </w:pPr>
                  <w:r>
                    <w:rPr>
                      <w:rFonts w:hint="default" w:ascii="Times New Roman" w:hAnsi="Times New Roman" w:eastAsia="宋体" w:cs="Times New Roman"/>
                      <w:color w:val="auto"/>
                      <w:spacing w:val="0"/>
                      <w:w w:val="100"/>
                      <w:kern w:val="0"/>
                      <w:sz w:val="21"/>
                      <w:szCs w:val="21"/>
                    </w:rPr>
                    <w:t>具体要求</w:t>
                  </w:r>
                </w:p>
              </w:tc>
              <w:tc>
                <w:tcPr>
                  <w:tcW w:w="1623" w:type="pct"/>
                  <w:shd w:val="clear" w:color="auto" w:fill="FFFFFF"/>
                  <w:noWrap w:val="0"/>
                  <w:vAlign w:val="center"/>
                </w:tcPr>
                <w:p w14:paraId="7FAB57EA">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0"/>
                      <w:sz w:val="21"/>
                      <w:szCs w:val="21"/>
                    </w:rPr>
                  </w:pPr>
                  <w:r>
                    <w:rPr>
                      <w:rFonts w:hint="default" w:ascii="Times New Roman" w:hAnsi="Times New Roman" w:eastAsia="宋体" w:cs="Times New Roman"/>
                      <w:color w:val="auto"/>
                      <w:spacing w:val="0"/>
                      <w:w w:val="100"/>
                      <w:kern w:val="0"/>
                      <w:sz w:val="21"/>
                      <w:szCs w:val="21"/>
                    </w:rPr>
                    <w:t>本项目情况</w:t>
                  </w:r>
                </w:p>
              </w:tc>
              <w:tc>
                <w:tcPr>
                  <w:tcW w:w="387" w:type="pct"/>
                  <w:shd w:val="clear" w:color="auto" w:fill="FFFFFF"/>
                  <w:noWrap w:val="0"/>
                  <w:vAlign w:val="center"/>
                </w:tcPr>
                <w:p w14:paraId="7FAE4097">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0"/>
                      <w:sz w:val="21"/>
                      <w:szCs w:val="21"/>
                    </w:rPr>
                  </w:pPr>
                  <w:r>
                    <w:rPr>
                      <w:rFonts w:hint="default" w:ascii="Times New Roman" w:hAnsi="Times New Roman" w:eastAsia="宋体" w:cs="Times New Roman"/>
                      <w:color w:val="auto"/>
                      <w:spacing w:val="0"/>
                      <w:w w:val="100"/>
                      <w:kern w:val="0"/>
                      <w:sz w:val="21"/>
                      <w:szCs w:val="21"/>
                    </w:rPr>
                    <w:t>符合</w:t>
                  </w:r>
                </w:p>
                <w:p w14:paraId="40F6AF83">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0"/>
                      <w:sz w:val="21"/>
                      <w:szCs w:val="21"/>
                    </w:rPr>
                  </w:pPr>
                  <w:r>
                    <w:rPr>
                      <w:rFonts w:hint="default" w:ascii="Times New Roman" w:hAnsi="Times New Roman" w:eastAsia="宋体" w:cs="Times New Roman"/>
                      <w:color w:val="auto"/>
                      <w:spacing w:val="0"/>
                      <w:w w:val="100"/>
                      <w:kern w:val="0"/>
                      <w:sz w:val="21"/>
                      <w:szCs w:val="21"/>
                    </w:rPr>
                    <w:t>情况</w:t>
                  </w:r>
                </w:p>
              </w:tc>
            </w:tr>
            <w:tr w14:paraId="33D9F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833" w:type="pct"/>
                  <w:vMerge w:val="restart"/>
                  <w:vAlign w:val="center"/>
                </w:tcPr>
                <w:p w14:paraId="208A526D">
                  <w:pPr>
                    <w:pStyle w:val="54"/>
                    <w:keepNext w:val="0"/>
                    <w:keepLines w:val="0"/>
                    <w:pageBreakBefore w:val="0"/>
                    <w:widowControl w:val="0"/>
                    <w:suppressLineNumbers w:val="0"/>
                    <w:shd w:val="clear" w:color="auto" w:fill="auto"/>
                    <w:kinsoku/>
                    <w:wordWrap/>
                    <w:overflowPunct/>
                    <w:topLinePunct w:val="0"/>
                    <w:autoSpaceDE/>
                    <w:autoSpaceDN/>
                    <w:bidi w:val="0"/>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pacing w:val="0"/>
                      <w:w w:val="100"/>
                      <w:kern w:val="2"/>
                      <w:sz w:val="21"/>
                      <w:szCs w:val="21"/>
                      <w:lang w:val="en-US" w:eastAsia="zh-CN" w:bidi="ar"/>
                    </w:rPr>
                  </w:pPr>
                  <w:r>
                    <w:rPr>
                      <w:rFonts w:hint="default" w:ascii="Times New Roman" w:hAnsi="Times New Roman" w:eastAsia="宋体" w:cs="Times New Roman"/>
                      <w:color w:val="auto"/>
                      <w:spacing w:val="0"/>
                      <w:w w:val="100"/>
                      <w:position w:val="0"/>
                      <w:sz w:val="21"/>
                      <w:szCs w:val="21"/>
                    </w:rPr>
                    <w:t>《城市污水处理及污染防治技术政策》（城建[2000]124号）</w:t>
                  </w:r>
                </w:p>
              </w:tc>
              <w:tc>
                <w:tcPr>
                  <w:tcW w:w="2155" w:type="pct"/>
                  <w:vAlign w:val="center"/>
                </w:tcPr>
                <w:p w14:paraId="1F207644">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0"/>
                      <w:sz w:val="21"/>
                      <w:szCs w:val="21"/>
                      <w:lang w:val="en-US" w:eastAsia="zh-CN" w:bidi="ar-SA"/>
                    </w:rPr>
                  </w:pPr>
                  <w:r>
                    <w:rPr>
                      <w:rFonts w:hint="default" w:ascii="Times New Roman" w:hAnsi="Times New Roman" w:eastAsia="宋体" w:cs="Times New Roman"/>
                      <w:b w:val="0"/>
                      <w:bCs/>
                      <w:color w:val="auto"/>
                      <w:spacing w:val="0"/>
                      <w:w w:val="100"/>
                      <w:kern w:val="0"/>
                      <w:sz w:val="21"/>
                      <w:szCs w:val="21"/>
                    </w:rPr>
                    <w:t>设市城市和重点流域及水资源保护区的建制镇，必须建设二级污水处理设施，可分期分批实施。受纳水体为封闭或半封闭水体时，为防治富营养化，城市污水应进行二级强化处理，增强除磷脱氮的效果。</w:t>
                  </w:r>
                </w:p>
              </w:tc>
              <w:tc>
                <w:tcPr>
                  <w:tcW w:w="1623" w:type="pct"/>
                  <w:vAlign w:val="center"/>
                </w:tcPr>
                <w:p w14:paraId="1B77A9E8">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本项目属</w:t>
                  </w:r>
                  <w:r>
                    <w:rPr>
                      <w:rFonts w:hint="default" w:ascii="Times New Roman" w:hAnsi="Times New Roman" w:eastAsia="宋体" w:cs="Times New Roman"/>
                      <w:b w:val="0"/>
                      <w:bCs/>
                      <w:color w:val="auto"/>
                      <w:spacing w:val="0"/>
                      <w:w w:val="100"/>
                      <w:sz w:val="21"/>
                      <w:szCs w:val="21"/>
                      <w:lang w:eastAsia="zh-CN"/>
                    </w:rPr>
                    <w:t>于新建污水处理厂建设项目，</w:t>
                  </w:r>
                  <w:r>
                    <w:rPr>
                      <w:rFonts w:hint="default" w:ascii="Times New Roman" w:hAnsi="Times New Roman" w:eastAsia="宋体" w:cs="Times New Roman"/>
                      <w:b w:val="0"/>
                      <w:bCs/>
                      <w:color w:val="auto"/>
                      <w:spacing w:val="0"/>
                      <w:w w:val="100"/>
                      <w:kern w:val="0"/>
                      <w:sz w:val="21"/>
                      <w:szCs w:val="21"/>
                    </w:rPr>
                    <w:t>采用“</w:t>
                  </w:r>
                  <w:r>
                    <w:rPr>
                      <w:rFonts w:hint="default" w:ascii="Times New Roman" w:hAnsi="Times New Roman" w:eastAsia="宋体" w:cs="Times New Roman"/>
                      <w:b w:val="0"/>
                      <w:bCs/>
                      <w:color w:val="auto"/>
                      <w:spacing w:val="0"/>
                      <w:w w:val="100"/>
                      <w:kern w:val="0"/>
                      <w:sz w:val="21"/>
                      <w:szCs w:val="21"/>
                      <w:lang w:eastAsia="zh-CN"/>
                    </w:rPr>
                    <w:t>AAO+MBR+消毒</w:t>
                  </w:r>
                  <w:r>
                    <w:rPr>
                      <w:rFonts w:hint="default" w:ascii="Times New Roman" w:hAnsi="Times New Roman" w:eastAsia="宋体" w:cs="Times New Roman"/>
                      <w:b w:val="0"/>
                      <w:bCs/>
                      <w:color w:val="auto"/>
                      <w:spacing w:val="0"/>
                      <w:w w:val="100"/>
                      <w:kern w:val="0"/>
                      <w:sz w:val="21"/>
                      <w:szCs w:val="21"/>
                    </w:rPr>
                    <w:t>”工艺；本项目</w:t>
                  </w:r>
                  <w:r>
                    <w:rPr>
                      <w:rFonts w:hint="default" w:ascii="Times New Roman" w:hAnsi="Times New Roman" w:eastAsia="宋体" w:cs="Times New Roman"/>
                      <w:b w:val="0"/>
                      <w:bCs/>
                      <w:color w:val="auto"/>
                      <w:spacing w:val="0"/>
                      <w:w w:val="100"/>
                      <w:kern w:val="0"/>
                      <w:sz w:val="21"/>
                      <w:szCs w:val="21"/>
                      <w:lang w:val="zh-TW"/>
                    </w:rPr>
                    <w:t>污水处理厂尾水经消毒后</w:t>
                  </w:r>
                  <w:r>
                    <w:rPr>
                      <w:rFonts w:hint="default" w:ascii="Times New Roman" w:hAnsi="Times New Roman" w:eastAsia="宋体" w:cs="Times New Roman"/>
                      <w:b w:val="0"/>
                      <w:bCs/>
                      <w:color w:val="auto"/>
                      <w:spacing w:val="0"/>
                      <w:w w:val="100"/>
                      <w:kern w:val="0"/>
                      <w:sz w:val="21"/>
                      <w:szCs w:val="21"/>
                      <w:lang w:val="zh-TW" w:eastAsia="zh-CN"/>
                    </w:rPr>
                    <w:t>排至千河</w:t>
                  </w:r>
                  <w:r>
                    <w:rPr>
                      <w:rFonts w:hint="default" w:ascii="Times New Roman" w:hAnsi="Times New Roman" w:eastAsia="宋体" w:cs="Times New Roman"/>
                      <w:b w:val="0"/>
                      <w:bCs/>
                      <w:color w:val="auto"/>
                      <w:spacing w:val="0"/>
                      <w:w w:val="100"/>
                      <w:kern w:val="0"/>
                      <w:sz w:val="21"/>
                      <w:szCs w:val="21"/>
                    </w:rPr>
                    <w:t>。</w:t>
                  </w:r>
                </w:p>
              </w:tc>
              <w:tc>
                <w:tcPr>
                  <w:tcW w:w="387" w:type="pct"/>
                  <w:vAlign w:val="center"/>
                </w:tcPr>
                <w:p w14:paraId="4ADCAE31">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14D14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833" w:type="pct"/>
                  <w:vMerge w:val="continue"/>
                  <w:vAlign w:val="center"/>
                </w:tcPr>
                <w:p w14:paraId="1AC3334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kern w:val="2"/>
                      <w:sz w:val="21"/>
                      <w:szCs w:val="21"/>
                      <w:lang w:val="en-US" w:eastAsia="zh-CN" w:bidi="ar"/>
                    </w:rPr>
                  </w:pPr>
                </w:p>
              </w:tc>
              <w:tc>
                <w:tcPr>
                  <w:tcW w:w="2155" w:type="pct"/>
                  <w:vAlign w:val="center"/>
                </w:tcPr>
                <w:p w14:paraId="288C07A2">
                  <w:pPr>
                    <w:keepNext w:val="0"/>
                    <w:keepLines w:val="0"/>
                    <w:pageBreakBefore w:val="0"/>
                    <w:widowControl/>
                    <w:suppressLineNumbers w:val="0"/>
                    <w:shd w:val="clear" w:color="auto" w:fill="FFFFFF"/>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kern w:val="0"/>
                      <w:sz w:val="21"/>
                      <w:szCs w:val="21"/>
                    </w:rPr>
                    <w:t>城市污水处理设施建设，应采用成熟可靠的技术。根据污水处理设施的建设规模和对污染物排放控制的特殊要求，可积极稳妥地选用污水处理新技术。城市污水处理设施</w:t>
                  </w:r>
                  <w:r>
                    <w:rPr>
                      <w:rFonts w:hint="default" w:ascii="Times New Roman" w:hAnsi="Times New Roman" w:eastAsia="宋体" w:cs="Times New Roman"/>
                      <w:b w:val="0"/>
                      <w:bCs/>
                      <w:color w:val="auto"/>
                      <w:spacing w:val="0"/>
                      <w:w w:val="100"/>
                      <w:kern w:val="0"/>
                      <w:sz w:val="21"/>
                      <w:szCs w:val="21"/>
                      <w:highlight w:val="none"/>
                    </w:rPr>
                    <w:t>出水</w:t>
                  </w:r>
                  <w:r>
                    <w:rPr>
                      <w:rFonts w:hint="default" w:ascii="Times New Roman" w:hAnsi="Times New Roman" w:eastAsia="宋体" w:cs="Times New Roman"/>
                      <w:b w:val="0"/>
                      <w:bCs/>
                      <w:color w:val="auto"/>
                      <w:spacing w:val="0"/>
                      <w:w w:val="100"/>
                      <w:kern w:val="0"/>
                      <w:sz w:val="21"/>
                      <w:szCs w:val="21"/>
                    </w:rPr>
                    <w:t>应达到国家或地方规定的水污染物排放控制的要求。对城市污水处理设施出水水质有特殊要求的，必须进行深度处理</w:t>
                  </w:r>
                  <w:r>
                    <w:rPr>
                      <w:rFonts w:hint="default" w:ascii="Times New Roman" w:hAnsi="Times New Roman" w:eastAsia="宋体" w:cs="Times New Roman"/>
                      <w:b w:val="0"/>
                      <w:bCs/>
                      <w:color w:val="auto"/>
                      <w:spacing w:val="0"/>
                      <w:w w:val="100"/>
                      <w:kern w:val="0"/>
                      <w:sz w:val="21"/>
                      <w:szCs w:val="21"/>
                      <w:lang w:eastAsia="zh-CN"/>
                    </w:rPr>
                    <w:t>。</w:t>
                  </w:r>
                </w:p>
              </w:tc>
              <w:tc>
                <w:tcPr>
                  <w:tcW w:w="1623" w:type="pct"/>
                  <w:vAlign w:val="center"/>
                </w:tcPr>
                <w:p w14:paraId="07A2B0F0">
                  <w:pPr>
                    <w:keepNext w:val="0"/>
                    <w:keepLines w:val="0"/>
                    <w:pageBreakBefore w:val="0"/>
                    <w:widowControl/>
                    <w:suppressLineNumbers w:val="0"/>
                    <w:shd w:val="clear" w:color="auto" w:fill="FFFFFF"/>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本项目属</w:t>
                  </w:r>
                  <w:r>
                    <w:rPr>
                      <w:rFonts w:hint="default" w:ascii="Times New Roman" w:hAnsi="Times New Roman" w:eastAsia="宋体" w:cs="Times New Roman"/>
                      <w:b w:val="0"/>
                      <w:bCs/>
                      <w:color w:val="auto"/>
                      <w:spacing w:val="0"/>
                      <w:w w:val="100"/>
                      <w:sz w:val="21"/>
                      <w:szCs w:val="21"/>
                      <w:lang w:eastAsia="zh-CN"/>
                    </w:rPr>
                    <w:t>于</w:t>
                  </w:r>
                  <w:r>
                    <w:rPr>
                      <w:rFonts w:hint="default" w:ascii="Times New Roman" w:hAnsi="Times New Roman" w:eastAsia="宋体" w:cs="Times New Roman"/>
                      <w:b w:val="0"/>
                      <w:bCs/>
                      <w:color w:val="auto"/>
                      <w:spacing w:val="0"/>
                      <w:w w:val="100"/>
                      <w:sz w:val="21"/>
                      <w:szCs w:val="21"/>
                      <w:lang w:val="en-US" w:eastAsia="zh-CN"/>
                    </w:rPr>
                    <w:t>新建污水处理厂项目</w:t>
                  </w:r>
                  <w:r>
                    <w:rPr>
                      <w:rFonts w:hint="default" w:ascii="Times New Roman" w:hAnsi="Times New Roman" w:eastAsia="宋体" w:cs="Times New Roman"/>
                      <w:b w:val="0"/>
                      <w:bCs/>
                      <w:color w:val="auto"/>
                      <w:spacing w:val="0"/>
                      <w:w w:val="100"/>
                      <w:kern w:val="0"/>
                      <w:sz w:val="21"/>
                      <w:szCs w:val="21"/>
                    </w:rPr>
                    <w:t>，采用“</w:t>
                  </w:r>
                  <w:r>
                    <w:rPr>
                      <w:rFonts w:hint="default" w:ascii="Times New Roman" w:hAnsi="Times New Roman" w:eastAsia="宋体" w:cs="Times New Roman"/>
                      <w:b w:val="0"/>
                      <w:bCs/>
                      <w:color w:val="auto"/>
                      <w:spacing w:val="0"/>
                      <w:w w:val="100"/>
                      <w:sz w:val="21"/>
                      <w:szCs w:val="21"/>
                      <w:lang w:eastAsia="zh-CN"/>
                    </w:rPr>
                    <w:t>AAO+MBR+二氧化氯消毒</w:t>
                  </w:r>
                  <w:r>
                    <w:rPr>
                      <w:rFonts w:hint="default" w:ascii="Times New Roman" w:hAnsi="Times New Roman" w:eastAsia="宋体" w:cs="Times New Roman"/>
                      <w:b w:val="0"/>
                      <w:bCs/>
                      <w:color w:val="auto"/>
                      <w:spacing w:val="0"/>
                      <w:w w:val="100"/>
                      <w:kern w:val="0"/>
                      <w:sz w:val="21"/>
                      <w:szCs w:val="21"/>
                    </w:rPr>
                    <w:t>”工艺。</w:t>
                  </w:r>
                  <w:r>
                    <w:rPr>
                      <w:rFonts w:hint="default" w:ascii="Times New Roman" w:hAnsi="Times New Roman" w:eastAsia="宋体" w:cs="Times New Roman"/>
                      <w:b w:val="0"/>
                      <w:bCs/>
                      <w:color w:val="auto"/>
                      <w:spacing w:val="0"/>
                      <w:w w:val="100"/>
                      <w:sz w:val="21"/>
                      <w:szCs w:val="21"/>
                    </w:rPr>
                    <w:t>处理后的尾水水质符合《陕西省黄河流域污水综合排放标准》（DB6224-2018）中表1污水处理厂水污染排放浓度限值A标准</w:t>
                  </w:r>
                </w:p>
              </w:tc>
              <w:tc>
                <w:tcPr>
                  <w:tcW w:w="387" w:type="pct"/>
                  <w:vAlign w:val="center"/>
                </w:tcPr>
                <w:p w14:paraId="793B284F">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07B6C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33" w:type="pct"/>
                  <w:vMerge w:val="continue"/>
                  <w:vAlign w:val="center"/>
                </w:tcPr>
                <w:p w14:paraId="0FC5860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p>
              </w:tc>
              <w:tc>
                <w:tcPr>
                  <w:tcW w:w="2155" w:type="pct"/>
                  <w:vAlign w:val="center"/>
                </w:tcPr>
                <w:p w14:paraId="3D8FA704">
                  <w:pPr>
                    <w:keepNext w:val="0"/>
                    <w:keepLines w:val="0"/>
                    <w:pageBreakBefore w:val="0"/>
                    <w:widowControl/>
                    <w:suppressLineNumbers w:val="0"/>
                    <w:shd w:val="clear" w:color="auto" w:fill="FFFFFF"/>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kern w:val="0"/>
                      <w:sz w:val="21"/>
                      <w:szCs w:val="21"/>
                    </w:rPr>
                    <w:t>二级强化工艺：日处理能力在10万立方米以上的污水处理设施，一般选用A/0法、A/A/0法等技术。也可审慎选用其他的同效技术。</w:t>
                  </w:r>
                </w:p>
              </w:tc>
              <w:tc>
                <w:tcPr>
                  <w:tcW w:w="1623" w:type="pct"/>
                  <w:vAlign w:val="center"/>
                </w:tcPr>
                <w:p w14:paraId="2EC949B2">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本项目</w:t>
                  </w:r>
                  <w:r>
                    <w:rPr>
                      <w:rFonts w:hint="default" w:ascii="Times New Roman" w:hAnsi="Times New Roman" w:eastAsia="宋体" w:cs="Times New Roman"/>
                      <w:b w:val="0"/>
                      <w:bCs/>
                      <w:color w:val="auto"/>
                      <w:spacing w:val="0"/>
                      <w:w w:val="100"/>
                      <w:sz w:val="21"/>
                      <w:szCs w:val="21"/>
                      <w:lang w:eastAsia="zh-CN"/>
                    </w:rPr>
                    <w:t>日处理能力为</w:t>
                  </w:r>
                  <w:r>
                    <w:rPr>
                      <w:rFonts w:hint="eastAsia" w:ascii="Times New Roman" w:hAnsi="Times New Roman" w:eastAsia="宋体" w:cs="Times New Roman"/>
                      <w:b w:val="0"/>
                      <w:bCs/>
                      <w:color w:val="auto"/>
                      <w:spacing w:val="0"/>
                      <w:w w:val="100"/>
                      <w:sz w:val="21"/>
                      <w:szCs w:val="21"/>
                      <w:lang w:eastAsia="zh-CN"/>
                    </w:rPr>
                    <w:t>2000</w:t>
                  </w:r>
                  <w:r>
                    <w:rPr>
                      <w:rFonts w:hint="default" w:ascii="Times New Roman" w:hAnsi="Times New Roman" w:eastAsia="宋体" w:cs="Times New Roman"/>
                      <w:b w:val="0"/>
                      <w:bCs/>
                      <w:color w:val="auto"/>
                      <w:spacing w:val="0"/>
                      <w:w w:val="100"/>
                      <w:sz w:val="21"/>
                      <w:szCs w:val="21"/>
                      <w:lang w:val="en-US" w:eastAsia="zh-CN"/>
                    </w:rPr>
                    <w:t>立方米，</w:t>
                  </w:r>
                  <w:r>
                    <w:rPr>
                      <w:rFonts w:hint="default" w:ascii="Times New Roman" w:hAnsi="Times New Roman" w:eastAsia="宋体" w:cs="Times New Roman"/>
                      <w:b w:val="0"/>
                      <w:bCs/>
                      <w:color w:val="auto"/>
                      <w:spacing w:val="0"/>
                      <w:w w:val="100"/>
                      <w:sz w:val="21"/>
                      <w:szCs w:val="21"/>
                      <w:lang w:eastAsia="zh-CN"/>
                    </w:rPr>
                    <w:t>工艺采用：“AAO+MBR+消毒</w:t>
                  </w:r>
                  <w:r>
                    <w:rPr>
                      <w:rFonts w:hint="default" w:ascii="Times New Roman" w:hAnsi="Times New Roman" w:eastAsia="宋体" w:cs="Times New Roman"/>
                      <w:b w:val="0"/>
                      <w:bCs/>
                      <w:color w:val="auto"/>
                      <w:spacing w:val="0"/>
                      <w:w w:val="100"/>
                      <w:kern w:val="0"/>
                      <w:sz w:val="21"/>
                      <w:szCs w:val="21"/>
                      <w:lang w:val="en-US" w:eastAsia="zh-CN"/>
                    </w:rPr>
                    <w:t>工艺”</w:t>
                  </w:r>
                  <w:r>
                    <w:rPr>
                      <w:rFonts w:hint="default" w:ascii="Times New Roman" w:hAnsi="Times New Roman" w:eastAsia="宋体" w:cs="Times New Roman"/>
                      <w:b w:val="0"/>
                      <w:bCs/>
                      <w:color w:val="auto"/>
                      <w:spacing w:val="0"/>
                      <w:w w:val="100"/>
                      <w:kern w:val="0"/>
                      <w:sz w:val="21"/>
                      <w:szCs w:val="21"/>
                      <w:lang w:eastAsia="zh-CN"/>
                    </w:rPr>
                    <w:t>。</w:t>
                  </w:r>
                </w:p>
              </w:tc>
              <w:tc>
                <w:tcPr>
                  <w:tcW w:w="387" w:type="pct"/>
                  <w:vAlign w:val="center"/>
                </w:tcPr>
                <w:p w14:paraId="3407A8D4">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7E4D8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33" w:type="pct"/>
                  <w:vMerge w:val="continue"/>
                </w:tcPr>
                <w:p w14:paraId="26B3532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p>
              </w:tc>
              <w:tc>
                <w:tcPr>
                  <w:tcW w:w="2155" w:type="pct"/>
                  <w:vAlign w:val="center"/>
                </w:tcPr>
                <w:p w14:paraId="20407C65">
                  <w:pPr>
                    <w:keepNext w:val="0"/>
                    <w:keepLines w:val="0"/>
                    <w:pageBreakBefore w:val="0"/>
                    <w:widowControl/>
                    <w:suppressLineNumbers w:val="0"/>
                    <w:shd w:val="clear" w:color="auto" w:fill="FFFFFF"/>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0"/>
                      <w:sz w:val="21"/>
                      <w:szCs w:val="21"/>
                      <w:lang w:val="en-US" w:eastAsia="zh-CN" w:bidi="ar-SA"/>
                    </w:rPr>
                  </w:pPr>
                  <w:r>
                    <w:rPr>
                      <w:rFonts w:hint="default" w:ascii="Times New Roman" w:hAnsi="Times New Roman" w:eastAsia="宋体" w:cs="Times New Roman"/>
                      <w:b w:val="0"/>
                      <w:bCs/>
                      <w:color w:val="auto"/>
                      <w:spacing w:val="0"/>
                      <w:w w:val="100"/>
                      <w:kern w:val="0"/>
                      <w:sz w:val="21"/>
                      <w:szCs w:val="21"/>
                    </w:rPr>
                    <w:t>城市污水处理产生污泥，应采用厌氧、好氧和堆肥等方法进行稳定化处理。也可采用卫生填埋方法予以妥善处置</w:t>
                  </w:r>
                </w:p>
              </w:tc>
              <w:tc>
                <w:tcPr>
                  <w:tcW w:w="1623" w:type="pct"/>
                  <w:vAlign w:val="center"/>
                </w:tcPr>
                <w:p w14:paraId="0A5BBE5F">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lang w:eastAsia="zh-CN"/>
                    </w:rPr>
                    <w:t>本项目污泥</w:t>
                  </w:r>
                  <w:r>
                    <w:rPr>
                      <w:rFonts w:hint="default" w:ascii="Times New Roman" w:hAnsi="Times New Roman" w:eastAsia="宋体" w:cs="Times New Roman"/>
                      <w:b w:val="0"/>
                      <w:bCs/>
                      <w:color w:val="auto"/>
                      <w:spacing w:val="0"/>
                      <w:w w:val="100"/>
                      <w:sz w:val="21"/>
                      <w:szCs w:val="21"/>
                    </w:rPr>
                    <w:t>经过</w:t>
                  </w:r>
                  <w:r>
                    <w:rPr>
                      <w:rFonts w:hint="default" w:ascii="Times New Roman" w:hAnsi="Times New Roman" w:eastAsia="宋体" w:cs="Times New Roman"/>
                      <w:b w:val="0"/>
                      <w:bCs/>
                      <w:color w:val="auto"/>
                      <w:spacing w:val="0"/>
                      <w:w w:val="100"/>
                      <w:sz w:val="21"/>
                      <w:szCs w:val="21"/>
                      <w:lang w:val="en-US" w:eastAsia="zh-CN"/>
                    </w:rPr>
                    <w:t>污泥浓缩+污泥脱水机（含水率≤60%），竣工环保验收前进行毒性鉴别，根据毒性浸出结果决定最终处置方式。</w:t>
                  </w:r>
                </w:p>
              </w:tc>
              <w:tc>
                <w:tcPr>
                  <w:tcW w:w="387" w:type="pct"/>
                  <w:vAlign w:val="center"/>
                </w:tcPr>
                <w:p w14:paraId="1ACC04A7">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294EC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833" w:type="pct"/>
                  <w:vMerge w:val="continue"/>
                </w:tcPr>
                <w:p w14:paraId="51C988B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p>
              </w:tc>
              <w:tc>
                <w:tcPr>
                  <w:tcW w:w="2155" w:type="pct"/>
                  <w:vAlign w:val="center"/>
                </w:tcPr>
                <w:p w14:paraId="3D97ADB2">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kern w:val="0"/>
                      <w:sz w:val="21"/>
                      <w:szCs w:val="21"/>
                    </w:rPr>
                    <w:t>城市污水处理设施应设置消毒设施；在环境卫生条件有特殊要求的地区，应防治恶臭污染；采用有效的噪声防治措施。</w:t>
                  </w:r>
                </w:p>
              </w:tc>
              <w:tc>
                <w:tcPr>
                  <w:tcW w:w="1623" w:type="pct"/>
                  <w:vAlign w:val="center"/>
                </w:tcPr>
                <w:p w14:paraId="45B28826">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kern w:val="0"/>
                      <w:sz w:val="21"/>
                      <w:szCs w:val="21"/>
                    </w:rPr>
                    <w:t>本</w:t>
                  </w:r>
                  <w:r>
                    <w:rPr>
                      <w:rFonts w:hint="default" w:ascii="Times New Roman" w:hAnsi="Times New Roman" w:eastAsia="宋体" w:cs="Times New Roman"/>
                      <w:b w:val="0"/>
                      <w:bCs/>
                      <w:color w:val="auto"/>
                      <w:spacing w:val="0"/>
                      <w:w w:val="100"/>
                      <w:kern w:val="0"/>
                      <w:sz w:val="21"/>
                      <w:szCs w:val="21"/>
                      <w:lang w:eastAsia="zh-CN"/>
                    </w:rPr>
                    <w:t>项目的污水</w:t>
                  </w:r>
                  <w:r>
                    <w:rPr>
                      <w:rFonts w:hint="default" w:ascii="Times New Roman" w:hAnsi="Times New Roman" w:eastAsia="宋体" w:cs="Times New Roman"/>
                      <w:b w:val="0"/>
                      <w:bCs/>
                      <w:color w:val="auto"/>
                      <w:spacing w:val="0"/>
                      <w:w w:val="100"/>
                      <w:kern w:val="0"/>
                      <w:sz w:val="21"/>
                      <w:szCs w:val="21"/>
                      <w:lang w:val="en-US" w:eastAsia="zh-CN"/>
                    </w:rPr>
                    <w:t>经处理后</w:t>
                  </w:r>
                  <w:r>
                    <w:rPr>
                      <w:rFonts w:hint="default" w:ascii="Times New Roman" w:hAnsi="Times New Roman" w:eastAsia="宋体" w:cs="Times New Roman"/>
                      <w:b w:val="0"/>
                      <w:bCs/>
                      <w:color w:val="auto"/>
                      <w:spacing w:val="0"/>
                      <w:w w:val="100"/>
                      <w:kern w:val="0"/>
                      <w:sz w:val="21"/>
                      <w:szCs w:val="21"/>
                      <w:lang w:eastAsia="zh-CN"/>
                    </w:rPr>
                    <w:t>排放至千河；</w:t>
                  </w:r>
                  <w:r>
                    <w:rPr>
                      <w:rFonts w:hint="default" w:ascii="Times New Roman" w:hAnsi="Times New Roman" w:eastAsia="宋体" w:cs="Times New Roman"/>
                      <w:b w:val="0"/>
                      <w:bCs/>
                      <w:color w:val="auto"/>
                      <w:spacing w:val="0"/>
                      <w:w w:val="100"/>
                      <w:kern w:val="0"/>
                      <w:sz w:val="21"/>
                      <w:szCs w:val="21"/>
                    </w:rPr>
                    <w:t>本项目对</w:t>
                  </w:r>
                  <w:r>
                    <w:rPr>
                      <w:rFonts w:hint="default" w:ascii="Times New Roman" w:hAnsi="Times New Roman" w:eastAsia="宋体" w:cs="Times New Roman"/>
                      <w:b w:val="0"/>
                      <w:bCs/>
                      <w:color w:val="auto"/>
                      <w:spacing w:val="0"/>
                      <w:w w:val="100"/>
                      <w:kern w:val="0"/>
                      <w:sz w:val="21"/>
                      <w:szCs w:val="21"/>
                      <w:lang w:eastAsia="zh-CN"/>
                    </w:rPr>
                    <w:t>产臭单元进行</w:t>
                  </w:r>
                  <w:r>
                    <w:rPr>
                      <w:rFonts w:hint="default" w:ascii="Times New Roman" w:hAnsi="Times New Roman" w:eastAsia="宋体" w:cs="Times New Roman"/>
                      <w:b w:val="0"/>
                      <w:bCs/>
                      <w:color w:val="auto"/>
                      <w:spacing w:val="0"/>
                      <w:w w:val="100"/>
                      <w:kern w:val="0"/>
                      <w:sz w:val="21"/>
                      <w:szCs w:val="21"/>
                      <w:lang w:val="zh-TW" w:eastAsia="zh-CN"/>
                    </w:rPr>
                    <w:t>生物滤池除臭处理</w:t>
                  </w:r>
                  <w:r>
                    <w:rPr>
                      <w:rFonts w:hint="default" w:ascii="Times New Roman" w:hAnsi="Times New Roman" w:eastAsia="宋体" w:cs="Times New Roman"/>
                      <w:b w:val="0"/>
                      <w:bCs/>
                      <w:color w:val="auto"/>
                      <w:spacing w:val="0"/>
                      <w:w w:val="100"/>
                      <w:kern w:val="0"/>
                      <w:sz w:val="21"/>
                      <w:szCs w:val="21"/>
                    </w:rPr>
                    <w:t>；对泵类和鼓风机等机械设备分别采取减振、消声、隔声措施进行降噪，实现厂界噪声达标排放。</w:t>
                  </w:r>
                </w:p>
              </w:tc>
              <w:tc>
                <w:tcPr>
                  <w:tcW w:w="387" w:type="pct"/>
                  <w:vAlign w:val="center"/>
                </w:tcPr>
                <w:p w14:paraId="3C8FB69D">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2441A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33" w:type="pct"/>
                  <w:vMerge w:val="restart"/>
                  <w:vAlign w:val="center"/>
                </w:tcPr>
                <w:p w14:paraId="6AF0550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r>
                    <w:rPr>
                      <w:rFonts w:hint="default" w:ascii="Times New Roman" w:hAnsi="Times New Roman" w:eastAsia="宋体" w:cs="Times New Roman"/>
                      <w:color w:val="auto"/>
                      <w:spacing w:val="0"/>
                      <w:w w:val="100"/>
                      <w:sz w:val="21"/>
                      <w:szCs w:val="21"/>
                    </w:rPr>
                    <w:t>《城镇污水处理厂污泥处理处置及污染防治技术政策》</w:t>
                  </w:r>
                </w:p>
              </w:tc>
              <w:tc>
                <w:tcPr>
                  <w:tcW w:w="2155" w:type="pct"/>
                  <w:vAlign w:val="center"/>
                </w:tcPr>
                <w:p w14:paraId="7BD5C073">
                  <w:pPr>
                    <w:keepNext w:val="0"/>
                    <w:keepLines w:val="0"/>
                    <w:pageBreakBefore w:val="0"/>
                    <w:widowControl/>
                    <w:suppressLineNumbers w:val="0"/>
                    <w:shd w:val="clear" w:color="auto" w:fill="FFFFFF"/>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0"/>
                      <w:sz w:val="21"/>
                      <w:szCs w:val="21"/>
                      <w:lang w:val="en-US" w:eastAsia="zh-CN" w:bidi="ar-SA"/>
                    </w:rPr>
                  </w:pPr>
                  <w:r>
                    <w:rPr>
                      <w:rFonts w:hint="default" w:ascii="Times New Roman" w:hAnsi="Times New Roman" w:eastAsia="宋体" w:cs="Times New Roman"/>
                      <w:b w:val="0"/>
                      <w:bCs/>
                      <w:color w:val="auto"/>
                      <w:spacing w:val="0"/>
                      <w:w w:val="100"/>
                      <w:sz w:val="21"/>
                      <w:szCs w:val="21"/>
                    </w:rPr>
                    <w:t>污泥处理处置应遵循源头削减和全过程控制原则</w:t>
                  </w:r>
                </w:p>
              </w:tc>
              <w:tc>
                <w:tcPr>
                  <w:tcW w:w="1623" w:type="pct"/>
                  <w:vAlign w:val="center"/>
                </w:tcPr>
                <w:p w14:paraId="1903453C">
                  <w:pPr>
                    <w:keepNext w:val="0"/>
                    <w:keepLines w:val="0"/>
                    <w:pageBreakBefore w:val="0"/>
                    <w:widowControl/>
                    <w:suppressLineNumbers w:val="0"/>
                    <w:shd w:val="clear" w:color="auto" w:fill="FFFFFF"/>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lang w:eastAsia="zh-CN"/>
                    </w:rPr>
                    <w:t>项目</w:t>
                  </w:r>
                  <w:r>
                    <w:rPr>
                      <w:rFonts w:hint="default" w:ascii="Times New Roman" w:hAnsi="Times New Roman" w:eastAsia="宋体" w:cs="Times New Roman"/>
                      <w:b w:val="0"/>
                      <w:bCs/>
                      <w:color w:val="auto"/>
                      <w:spacing w:val="0"/>
                      <w:w w:val="100"/>
                      <w:sz w:val="21"/>
                      <w:szCs w:val="21"/>
                    </w:rPr>
                    <w:t>设有</w:t>
                  </w:r>
                  <w:r>
                    <w:rPr>
                      <w:rFonts w:hint="default" w:ascii="Times New Roman" w:hAnsi="Times New Roman" w:eastAsia="宋体" w:cs="Times New Roman"/>
                      <w:b w:val="0"/>
                      <w:bCs/>
                      <w:color w:val="auto"/>
                      <w:spacing w:val="0"/>
                      <w:w w:val="100"/>
                      <w:sz w:val="21"/>
                      <w:szCs w:val="21"/>
                      <w:lang w:val="en-GB"/>
                    </w:rPr>
                    <w:t>污泥池+</w:t>
                  </w:r>
                  <w:r>
                    <w:rPr>
                      <w:rFonts w:hint="default" w:ascii="Times New Roman" w:hAnsi="Times New Roman" w:eastAsia="宋体" w:cs="Times New Roman"/>
                      <w:b w:val="0"/>
                      <w:bCs/>
                      <w:color w:val="auto"/>
                      <w:spacing w:val="0"/>
                      <w:w w:val="100"/>
                      <w:sz w:val="21"/>
                      <w:szCs w:val="21"/>
                      <w:lang w:val="en-US" w:eastAsia="zh-CN"/>
                    </w:rPr>
                    <w:t>污泥脱水机</w:t>
                  </w:r>
                  <w:r>
                    <w:rPr>
                      <w:rFonts w:hint="default" w:ascii="Times New Roman" w:hAnsi="Times New Roman" w:eastAsia="宋体" w:cs="Times New Roman"/>
                      <w:b w:val="0"/>
                      <w:bCs/>
                      <w:color w:val="auto"/>
                      <w:spacing w:val="0"/>
                      <w:w w:val="100"/>
                      <w:sz w:val="21"/>
                      <w:szCs w:val="21"/>
                    </w:rPr>
                    <w:t>，可从源头上削减处理、合理处置产生污泥，并进行全过程污染控制</w:t>
                  </w:r>
                </w:p>
              </w:tc>
              <w:tc>
                <w:tcPr>
                  <w:tcW w:w="387" w:type="pct"/>
                  <w:vAlign w:val="center"/>
                </w:tcPr>
                <w:p w14:paraId="3B0755B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3C8DD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33" w:type="pct"/>
                  <w:vMerge w:val="continue"/>
                </w:tcPr>
                <w:p w14:paraId="35ED195C">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p>
              </w:tc>
              <w:tc>
                <w:tcPr>
                  <w:tcW w:w="2155" w:type="pct"/>
                  <w:vAlign w:val="center"/>
                </w:tcPr>
                <w:p w14:paraId="2D60461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国家</w:t>
                  </w:r>
                  <w:r>
                    <w:rPr>
                      <w:rFonts w:hint="default" w:ascii="Times New Roman" w:hAnsi="Times New Roman" w:eastAsia="宋体" w:cs="Times New Roman"/>
                      <w:b w:val="0"/>
                      <w:bCs/>
                      <w:color w:val="auto"/>
                      <w:spacing w:val="0"/>
                      <w:w w:val="100"/>
                      <w:sz w:val="21"/>
                      <w:szCs w:val="21"/>
                      <w:highlight w:val="none"/>
                      <w:lang w:eastAsia="zh-CN"/>
                    </w:rPr>
                    <w:t>鼓励</w:t>
                  </w:r>
                  <w:r>
                    <w:rPr>
                      <w:rFonts w:hint="default" w:ascii="Times New Roman" w:hAnsi="Times New Roman" w:eastAsia="宋体" w:cs="Times New Roman"/>
                      <w:b w:val="0"/>
                      <w:bCs/>
                      <w:color w:val="auto"/>
                      <w:spacing w:val="0"/>
                      <w:w w:val="100"/>
                      <w:sz w:val="21"/>
                      <w:szCs w:val="21"/>
                    </w:rPr>
                    <w:t>充分利用社会资源处理处置污泥；鼓励污泥处理处置技术创新和科技进步</w:t>
                  </w:r>
                </w:p>
              </w:tc>
              <w:tc>
                <w:tcPr>
                  <w:tcW w:w="1623" w:type="pct"/>
                  <w:vAlign w:val="center"/>
                </w:tcPr>
                <w:p w14:paraId="3DAE851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采取</w:t>
                  </w:r>
                  <w:r>
                    <w:rPr>
                      <w:rFonts w:hint="default" w:ascii="Times New Roman" w:hAnsi="Times New Roman" w:eastAsia="宋体" w:cs="Times New Roman"/>
                      <w:b w:val="0"/>
                      <w:bCs/>
                      <w:color w:val="auto"/>
                      <w:spacing w:val="0"/>
                      <w:w w:val="100"/>
                      <w:sz w:val="21"/>
                      <w:szCs w:val="21"/>
                      <w:lang w:val="en-GB"/>
                    </w:rPr>
                    <w:t>污泥池</w:t>
                  </w:r>
                  <w:r>
                    <w:rPr>
                      <w:rFonts w:hint="default" w:ascii="Times New Roman" w:hAnsi="Times New Roman" w:eastAsia="宋体" w:cs="Times New Roman"/>
                      <w:b w:val="0"/>
                      <w:bCs/>
                      <w:color w:val="auto"/>
                      <w:spacing w:val="0"/>
                      <w:w w:val="100"/>
                      <w:sz w:val="21"/>
                      <w:szCs w:val="21"/>
                      <w:lang w:val="en-US" w:eastAsia="zh-CN"/>
                    </w:rPr>
                    <w:t>+污泥脱水机</w:t>
                  </w:r>
                  <w:r>
                    <w:rPr>
                      <w:rFonts w:hint="default" w:ascii="Times New Roman" w:hAnsi="Times New Roman" w:eastAsia="宋体" w:cs="Times New Roman"/>
                      <w:b w:val="0"/>
                      <w:bCs/>
                      <w:color w:val="auto"/>
                      <w:spacing w:val="0"/>
                      <w:w w:val="100"/>
                      <w:sz w:val="21"/>
                      <w:szCs w:val="21"/>
                    </w:rPr>
                    <w:t>处理装置</w:t>
                  </w:r>
                  <w:r>
                    <w:rPr>
                      <w:rFonts w:hint="default" w:ascii="Times New Roman" w:hAnsi="Times New Roman" w:eastAsia="宋体" w:cs="Times New Roman"/>
                      <w:b w:val="0"/>
                      <w:bCs/>
                      <w:color w:val="auto"/>
                      <w:spacing w:val="0"/>
                      <w:w w:val="100"/>
                      <w:sz w:val="21"/>
                      <w:szCs w:val="21"/>
                      <w:lang w:eastAsia="zh-CN"/>
                    </w:rPr>
                    <w:t>处理污泥，竣工环保验收前进行毒性鉴别，根据毒性浸出结果决定最终处置方式</w:t>
                  </w:r>
                  <w:r>
                    <w:rPr>
                      <w:rFonts w:hint="default" w:ascii="Times New Roman" w:hAnsi="Times New Roman" w:eastAsia="宋体" w:cs="Times New Roman"/>
                      <w:b w:val="0"/>
                      <w:bCs/>
                      <w:color w:val="auto"/>
                      <w:spacing w:val="0"/>
                      <w:w w:val="100"/>
                      <w:sz w:val="21"/>
                      <w:szCs w:val="21"/>
                    </w:rPr>
                    <w:t>。</w:t>
                  </w:r>
                </w:p>
              </w:tc>
              <w:tc>
                <w:tcPr>
                  <w:tcW w:w="387" w:type="pct"/>
                  <w:vAlign w:val="center"/>
                </w:tcPr>
                <w:p w14:paraId="45FF14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0CA5C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833" w:type="pct"/>
                  <w:vMerge w:val="continue"/>
                </w:tcPr>
                <w:p w14:paraId="0ECE1A8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p>
              </w:tc>
              <w:tc>
                <w:tcPr>
                  <w:tcW w:w="2155" w:type="pct"/>
                  <w:vAlign w:val="center"/>
                </w:tcPr>
                <w:p w14:paraId="6B4F44D6">
                  <w:pPr>
                    <w:keepNext w:val="0"/>
                    <w:keepLines w:val="0"/>
                    <w:pageBreakBefore w:val="0"/>
                    <w:widowControl/>
                    <w:suppressLineNumbers w:val="0"/>
                    <w:shd w:val="clear" w:color="auto" w:fill="FFFFFF"/>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0"/>
                      <w:sz w:val="21"/>
                      <w:szCs w:val="21"/>
                      <w:lang w:val="en-US" w:eastAsia="zh-CN" w:bidi="ar-SA"/>
                    </w:rPr>
                  </w:pPr>
                  <w:r>
                    <w:rPr>
                      <w:rFonts w:hint="default" w:ascii="Times New Roman" w:hAnsi="Times New Roman" w:eastAsia="宋体" w:cs="Times New Roman"/>
                      <w:b w:val="0"/>
                      <w:bCs/>
                      <w:color w:val="auto"/>
                      <w:spacing w:val="0"/>
                      <w:w w:val="100"/>
                      <w:sz w:val="21"/>
                      <w:szCs w:val="21"/>
                    </w:rPr>
                    <w:t>城镇污水处理厂新建、改建和扩建时，污泥处理处置设施应与污水处理设施同时规划、建设和投入运行</w:t>
                  </w:r>
                </w:p>
              </w:tc>
              <w:tc>
                <w:tcPr>
                  <w:tcW w:w="1623" w:type="pct"/>
                  <w:vAlign w:val="center"/>
                </w:tcPr>
                <w:p w14:paraId="2899513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本项目属</w:t>
                  </w:r>
                  <w:r>
                    <w:rPr>
                      <w:rFonts w:hint="default" w:ascii="Times New Roman" w:hAnsi="Times New Roman" w:eastAsia="宋体" w:cs="Times New Roman"/>
                      <w:b w:val="0"/>
                      <w:bCs/>
                      <w:color w:val="auto"/>
                      <w:spacing w:val="0"/>
                      <w:w w:val="100"/>
                      <w:sz w:val="21"/>
                      <w:szCs w:val="21"/>
                      <w:lang w:eastAsia="zh-CN"/>
                    </w:rPr>
                    <w:t>于污水处理厂建设</w:t>
                  </w:r>
                  <w:r>
                    <w:rPr>
                      <w:rFonts w:hint="default" w:ascii="Times New Roman" w:hAnsi="Times New Roman" w:eastAsia="宋体" w:cs="Times New Roman"/>
                      <w:b w:val="0"/>
                      <w:bCs/>
                      <w:color w:val="auto"/>
                      <w:spacing w:val="0"/>
                      <w:w w:val="100"/>
                      <w:sz w:val="21"/>
                      <w:szCs w:val="21"/>
                    </w:rPr>
                    <w:t>项目</w:t>
                  </w:r>
                  <w:r>
                    <w:rPr>
                      <w:rFonts w:hint="default" w:ascii="Times New Roman" w:hAnsi="Times New Roman" w:eastAsia="宋体" w:cs="Times New Roman"/>
                      <w:b w:val="0"/>
                      <w:bCs/>
                      <w:color w:val="auto"/>
                      <w:spacing w:val="0"/>
                      <w:w w:val="100"/>
                      <w:kern w:val="0"/>
                      <w:sz w:val="21"/>
                      <w:szCs w:val="21"/>
                    </w:rPr>
                    <w:t>，</w:t>
                  </w:r>
                  <w:r>
                    <w:rPr>
                      <w:rFonts w:hint="default" w:ascii="Times New Roman" w:hAnsi="Times New Roman" w:eastAsia="宋体" w:cs="Times New Roman"/>
                      <w:b w:val="0"/>
                      <w:bCs/>
                      <w:color w:val="auto"/>
                      <w:spacing w:val="0"/>
                      <w:w w:val="100"/>
                      <w:sz w:val="21"/>
                      <w:szCs w:val="21"/>
                      <w:lang w:eastAsia="zh-CN"/>
                    </w:rPr>
                    <w:t>建设完成后，</w:t>
                  </w:r>
                  <w:r>
                    <w:rPr>
                      <w:rFonts w:hint="default" w:ascii="Times New Roman" w:hAnsi="Times New Roman" w:eastAsia="宋体" w:cs="Times New Roman"/>
                      <w:b w:val="0"/>
                      <w:bCs/>
                      <w:color w:val="auto"/>
                      <w:spacing w:val="0"/>
                      <w:w w:val="100"/>
                      <w:sz w:val="21"/>
                      <w:szCs w:val="21"/>
                    </w:rPr>
                    <w:t>污泥处理处置设施</w:t>
                  </w:r>
                  <w:r>
                    <w:rPr>
                      <w:rFonts w:hint="default" w:ascii="Times New Roman" w:hAnsi="Times New Roman" w:eastAsia="宋体" w:cs="Times New Roman"/>
                      <w:b w:val="0"/>
                      <w:bCs/>
                      <w:color w:val="auto"/>
                      <w:spacing w:val="0"/>
                      <w:w w:val="100"/>
                      <w:sz w:val="21"/>
                      <w:szCs w:val="21"/>
                      <w:lang w:eastAsia="zh-CN"/>
                    </w:rPr>
                    <w:t>采用</w:t>
                  </w:r>
                  <w:r>
                    <w:rPr>
                      <w:rFonts w:hint="default" w:ascii="Times New Roman" w:hAnsi="Times New Roman" w:eastAsia="宋体" w:cs="Times New Roman"/>
                      <w:b w:val="0"/>
                      <w:bCs/>
                      <w:color w:val="auto"/>
                      <w:spacing w:val="0"/>
                      <w:w w:val="100"/>
                      <w:sz w:val="21"/>
                      <w:szCs w:val="21"/>
                      <w:lang w:val="en-GB" w:eastAsia="zh-CN"/>
                    </w:rPr>
                    <w:t>污泥池+</w:t>
                  </w:r>
                  <w:r>
                    <w:rPr>
                      <w:rFonts w:hint="default" w:ascii="Times New Roman" w:hAnsi="Times New Roman" w:eastAsia="宋体" w:cs="Times New Roman"/>
                      <w:b w:val="0"/>
                      <w:bCs/>
                      <w:color w:val="auto"/>
                      <w:spacing w:val="0"/>
                      <w:w w:val="100"/>
                      <w:sz w:val="21"/>
                      <w:szCs w:val="21"/>
                      <w:lang w:val="en-US" w:eastAsia="zh-CN"/>
                    </w:rPr>
                    <w:t>污泥脱水机</w:t>
                  </w:r>
                  <w:r>
                    <w:rPr>
                      <w:rFonts w:hint="default" w:ascii="Times New Roman" w:hAnsi="Times New Roman" w:eastAsia="宋体" w:cs="Times New Roman"/>
                      <w:b w:val="0"/>
                      <w:bCs/>
                      <w:color w:val="auto"/>
                      <w:spacing w:val="0"/>
                      <w:w w:val="100"/>
                      <w:sz w:val="21"/>
                      <w:szCs w:val="21"/>
                      <w:lang w:val="en-GB" w:eastAsia="zh-CN"/>
                    </w:rPr>
                    <w:t>，与</w:t>
                  </w:r>
                  <w:r>
                    <w:rPr>
                      <w:rFonts w:hint="default" w:ascii="Times New Roman" w:hAnsi="Times New Roman" w:eastAsia="宋体" w:cs="Times New Roman"/>
                      <w:b w:val="0"/>
                      <w:bCs/>
                      <w:color w:val="auto"/>
                      <w:spacing w:val="0"/>
                      <w:w w:val="100"/>
                      <w:sz w:val="21"/>
                      <w:szCs w:val="21"/>
                    </w:rPr>
                    <w:t>污水处理设施同时规划、建设和投入运行</w:t>
                  </w:r>
                </w:p>
              </w:tc>
              <w:tc>
                <w:tcPr>
                  <w:tcW w:w="387" w:type="pct"/>
                  <w:vAlign w:val="center"/>
                </w:tcPr>
                <w:p w14:paraId="3B135F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1D78B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33" w:type="pct"/>
                  <w:vMerge w:val="continue"/>
                </w:tcPr>
                <w:p w14:paraId="5DE1B390">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p>
              </w:tc>
              <w:tc>
                <w:tcPr>
                  <w:tcW w:w="2155" w:type="pct"/>
                  <w:vAlign w:val="center"/>
                </w:tcPr>
                <w:p w14:paraId="38442413">
                  <w:pPr>
                    <w:keepNext w:val="0"/>
                    <w:keepLines w:val="0"/>
                    <w:pageBreakBefore w:val="0"/>
                    <w:widowControl/>
                    <w:suppressLineNumbers w:val="0"/>
                    <w:shd w:val="clear" w:color="auto" w:fill="FFFFFF"/>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应综合考虑污泥泥质特征、地理位置、环境条件等因素，因地制宜地确定污泥处置方式</w:t>
                  </w:r>
                </w:p>
              </w:tc>
              <w:tc>
                <w:tcPr>
                  <w:tcW w:w="1623" w:type="pct"/>
                  <w:vAlign w:val="center"/>
                </w:tcPr>
                <w:p w14:paraId="33CA52A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lang w:eastAsia="zh-CN"/>
                    </w:rPr>
                    <w:t>项目</w:t>
                  </w:r>
                  <w:r>
                    <w:rPr>
                      <w:rFonts w:hint="default" w:ascii="Times New Roman" w:hAnsi="Times New Roman" w:eastAsia="宋体" w:cs="Times New Roman"/>
                      <w:b w:val="0"/>
                      <w:bCs/>
                      <w:color w:val="auto"/>
                      <w:spacing w:val="0"/>
                      <w:w w:val="100"/>
                      <w:sz w:val="21"/>
                      <w:szCs w:val="21"/>
                    </w:rPr>
                    <w:t>采取</w:t>
                  </w:r>
                  <w:r>
                    <w:rPr>
                      <w:rFonts w:hint="default" w:ascii="Times New Roman" w:hAnsi="Times New Roman" w:eastAsia="宋体" w:cs="Times New Roman"/>
                      <w:b w:val="0"/>
                      <w:bCs/>
                      <w:color w:val="auto"/>
                      <w:spacing w:val="0"/>
                      <w:w w:val="100"/>
                      <w:sz w:val="21"/>
                      <w:szCs w:val="21"/>
                      <w:lang w:val="en-GB"/>
                    </w:rPr>
                    <w:t>污泥浓缩池+</w:t>
                  </w:r>
                  <w:r>
                    <w:rPr>
                      <w:rFonts w:hint="default" w:ascii="Times New Roman" w:hAnsi="Times New Roman" w:eastAsia="宋体" w:cs="Times New Roman"/>
                      <w:b w:val="0"/>
                      <w:bCs/>
                      <w:color w:val="auto"/>
                      <w:spacing w:val="0"/>
                      <w:w w:val="100"/>
                      <w:sz w:val="21"/>
                      <w:szCs w:val="21"/>
                      <w:lang w:val="en-US" w:eastAsia="zh-CN"/>
                    </w:rPr>
                    <w:t>污泥脱水机</w:t>
                  </w:r>
                  <w:r>
                    <w:rPr>
                      <w:rFonts w:hint="default" w:ascii="Times New Roman" w:hAnsi="Times New Roman" w:eastAsia="宋体" w:cs="Times New Roman"/>
                      <w:b w:val="0"/>
                      <w:bCs/>
                      <w:color w:val="auto"/>
                      <w:spacing w:val="0"/>
                      <w:w w:val="100"/>
                      <w:sz w:val="21"/>
                      <w:szCs w:val="21"/>
                      <w:lang w:eastAsia="zh-CN"/>
                    </w:rPr>
                    <w:t>处理装置处理污泥，竣工环保验收前进行毒性鉴别，根据毒性浸出结果决定最终处置方式。</w:t>
                  </w:r>
                </w:p>
              </w:tc>
              <w:tc>
                <w:tcPr>
                  <w:tcW w:w="387" w:type="pct"/>
                  <w:vAlign w:val="center"/>
                </w:tcPr>
                <w:p w14:paraId="0A8DA9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026D4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833" w:type="pct"/>
                  <w:vMerge w:val="continue"/>
                </w:tcPr>
                <w:p w14:paraId="4818F8A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p>
              </w:tc>
              <w:tc>
                <w:tcPr>
                  <w:tcW w:w="2155" w:type="pct"/>
                  <w:vAlign w:val="center"/>
                </w:tcPr>
                <w:p w14:paraId="2DADA9E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鼓励采用管道、密闭车辆等方式；应进行全过程监控和管理，防止因暴露、洒落或滴漏造成环境二次污染；严禁随意倾倒、偷排污泥</w:t>
                  </w:r>
                </w:p>
              </w:tc>
              <w:tc>
                <w:tcPr>
                  <w:tcW w:w="1623" w:type="pct"/>
                  <w:vAlign w:val="center"/>
                </w:tcPr>
                <w:p w14:paraId="1C16E6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工程采用密闭车辆运输污泥；要求建设单位对运输污泥车辆进行全过程监控和管理，防止因暴露、洒落或滴漏造成环境二次污染；严禁随意倾倒、偷排污泥</w:t>
                  </w:r>
                </w:p>
              </w:tc>
              <w:tc>
                <w:tcPr>
                  <w:tcW w:w="387" w:type="pct"/>
                  <w:vAlign w:val="center"/>
                </w:tcPr>
                <w:p w14:paraId="44507E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17CC6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833" w:type="pct"/>
                  <w:vMerge w:val="continue"/>
                </w:tcPr>
                <w:p w14:paraId="5538064C">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p>
              </w:tc>
              <w:tc>
                <w:tcPr>
                  <w:tcW w:w="2155" w:type="pct"/>
                  <w:vAlign w:val="center"/>
                </w:tcPr>
                <w:p w14:paraId="6CC5F45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城镇污水处理厂、污泥运输单位和各污泥接收单位应建立污泥转运联单制度，并定期将记录的联单结果上报地方相关主管部门</w:t>
                  </w:r>
                </w:p>
              </w:tc>
              <w:tc>
                <w:tcPr>
                  <w:tcW w:w="1623" w:type="pct"/>
                  <w:vAlign w:val="center"/>
                </w:tcPr>
                <w:p w14:paraId="185C1BB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建设单位</w:t>
                  </w:r>
                  <w:r>
                    <w:rPr>
                      <w:rFonts w:hint="default" w:ascii="Times New Roman" w:hAnsi="Times New Roman" w:eastAsia="宋体" w:cs="Times New Roman"/>
                      <w:b w:val="0"/>
                      <w:bCs/>
                      <w:color w:val="auto"/>
                      <w:spacing w:val="0"/>
                      <w:w w:val="100"/>
                      <w:sz w:val="21"/>
                      <w:szCs w:val="21"/>
                      <w:lang w:eastAsia="zh-CN"/>
                    </w:rPr>
                    <w:t>拟</w:t>
                  </w:r>
                  <w:r>
                    <w:rPr>
                      <w:rFonts w:hint="default" w:ascii="Times New Roman" w:hAnsi="Times New Roman" w:eastAsia="宋体" w:cs="Times New Roman"/>
                      <w:b w:val="0"/>
                      <w:bCs/>
                      <w:color w:val="auto"/>
                      <w:spacing w:val="0"/>
                      <w:w w:val="100"/>
                      <w:sz w:val="21"/>
                      <w:szCs w:val="21"/>
                    </w:rPr>
                    <w:t>建立污泥转运联单制度，并与污泥运输单位和各污泥接收处置单位签订污泥转运联单，定期将</w:t>
                  </w:r>
                  <w:r>
                    <w:rPr>
                      <w:rFonts w:hint="default" w:ascii="Times New Roman" w:hAnsi="Times New Roman" w:eastAsia="宋体" w:cs="Times New Roman"/>
                      <w:b w:val="0"/>
                      <w:bCs/>
                      <w:color w:val="auto"/>
                      <w:spacing w:val="0"/>
                      <w:w w:val="100"/>
                      <w:sz w:val="21"/>
                      <w:szCs w:val="21"/>
                      <w:highlight w:val="none"/>
                      <w:lang w:eastAsia="zh-CN"/>
                    </w:rPr>
                    <w:t>污水处理厂</w:t>
                  </w:r>
                  <w:r>
                    <w:rPr>
                      <w:rFonts w:hint="default" w:ascii="Times New Roman" w:hAnsi="Times New Roman" w:eastAsia="宋体" w:cs="Times New Roman"/>
                      <w:b w:val="0"/>
                      <w:bCs/>
                      <w:color w:val="auto"/>
                      <w:spacing w:val="0"/>
                      <w:w w:val="100"/>
                      <w:sz w:val="21"/>
                      <w:szCs w:val="21"/>
                    </w:rPr>
                    <w:t>污泥处置及其转移联单记录结果，及时向地方相关行政主管部门上报</w:t>
                  </w:r>
                </w:p>
              </w:tc>
              <w:tc>
                <w:tcPr>
                  <w:tcW w:w="387" w:type="pct"/>
                  <w:vAlign w:val="center"/>
                </w:tcPr>
                <w:p w14:paraId="102E27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03868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833" w:type="pct"/>
                  <w:vMerge w:val="restart"/>
                  <w:vAlign w:val="center"/>
                </w:tcPr>
                <w:p w14:paraId="566C1FEC">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r>
                    <w:rPr>
                      <w:rFonts w:hint="default" w:ascii="Times New Roman" w:hAnsi="Times New Roman" w:eastAsia="宋体" w:cs="Times New Roman"/>
                      <w:color w:val="auto"/>
                      <w:spacing w:val="0"/>
                      <w:w w:val="100"/>
                      <w:sz w:val="21"/>
                      <w:szCs w:val="21"/>
                      <w:lang w:eastAsia="zh-CN"/>
                    </w:rPr>
                    <w:t>《关于加强城镇污水处理厂污泥防治工作的通知》</w:t>
                  </w:r>
                </w:p>
              </w:tc>
              <w:tc>
                <w:tcPr>
                  <w:tcW w:w="2155" w:type="pct"/>
                  <w:vAlign w:val="center"/>
                </w:tcPr>
                <w:p w14:paraId="604F09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污水处理厂应当切实履行职责，对污泥产生、运输、贮存、处理、处置实施全过程管理，制定并落实污泥环境管理的规章制度、工作流程和要求，设置专门的监控部门或专（兼）职人员，确保污泥妥善处理处置，严禁擅自倾倒、堆放、丢弃、遗撒污泥</w:t>
                  </w:r>
                </w:p>
              </w:tc>
              <w:tc>
                <w:tcPr>
                  <w:tcW w:w="1623" w:type="pct"/>
                  <w:vAlign w:val="center"/>
                </w:tcPr>
                <w:p w14:paraId="68E22D4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lang w:eastAsia="zh-CN"/>
                    </w:rPr>
                    <w:t>本项目采取污泥棚暂存后，由密闭汽车运输，</w:t>
                  </w:r>
                  <w:r>
                    <w:rPr>
                      <w:rFonts w:hint="default" w:ascii="Times New Roman" w:hAnsi="Times New Roman" w:eastAsia="宋体" w:cs="Times New Roman"/>
                      <w:b w:val="0"/>
                      <w:bCs/>
                      <w:color w:val="auto"/>
                      <w:spacing w:val="0"/>
                      <w:w w:val="100"/>
                      <w:sz w:val="21"/>
                      <w:szCs w:val="21"/>
                    </w:rPr>
                    <w:t>确保污泥妥善处理处置，严禁擅自倾倒、堆放、丢弃、遗撒污泥</w:t>
                  </w:r>
                </w:p>
              </w:tc>
              <w:tc>
                <w:tcPr>
                  <w:tcW w:w="387" w:type="pct"/>
                  <w:vAlign w:val="center"/>
                </w:tcPr>
                <w:p w14:paraId="64DA5F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符合</w:t>
                  </w:r>
                </w:p>
              </w:tc>
            </w:tr>
            <w:tr w14:paraId="7FDFE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833" w:type="pct"/>
                  <w:vMerge w:val="continue"/>
                </w:tcPr>
                <w:p w14:paraId="7B204600">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p>
              </w:tc>
              <w:tc>
                <w:tcPr>
                  <w:tcW w:w="2155" w:type="pct"/>
                  <w:vAlign w:val="center"/>
                </w:tcPr>
                <w:p w14:paraId="1FF4BBF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污泥处理处置应遵循减量化、稳定化、无害化的原则。污水处理厂新建、改建和扩建时，污泥处理设施（污泥稳定化和脱水设施）应当与污水处理设施同时规划、同时建设、同时投入运行。不具备污泥处理能力的现有污水处理厂，应当在本通知发布之日起2年内建成并运行污泥处理设施。</w:t>
                  </w:r>
                </w:p>
              </w:tc>
              <w:tc>
                <w:tcPr>
                  <w:tcW w:w="1623" w:type="pct"/>
                  <w:vAlign w:val="center"/>
                </w:tcPr>
                <w:p w14:paraId="0FBC2E6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本项目属</w:t>
                  </w:r>
                  <w:r>
                    <w:rPr>
                      <w:rFonts w:hint="default" w:ascii="Times New Roman" w:hAnsi="Times New Roman" w:eastAsia="宋体" w:cs="Times New Roman"/>
                      <w:b w:val="0"/>
                      <w:bCs/>
                      <w:color w:val="auto"/>
                      <w:spacing w:val="0"/>
                      <w:w w:val="100"/>
                      <w:sz w:val="21"/>
                      <w:szCs w:val="21"/>
                      <w:lang w:eastAsia="zh-CN"/>
                    </w:rPr>
                    <w:t>于污水处理厂建设</w:t>
                  </w:r>
                  <w:r>
                    <w:rPr>
                      <w:rFonts w:hint="default" w:ascii="Times New Roman" w:hAnsi="Times New Roman" w:eastAsia="宋体" w:cs="Times New Roman"/>
                      <w:b w:val="0"/>
                      <w:bCs/>
                      <w:color w:val="auto"/>
                      <w:spacing w:val="0"/>
                      <w:w w:val="100"/>
                      <w:sz w:val="21"/>
                      <w:szCs w:val="21"/>
                    </w:rPr>
                    <w:t>项目</w:t>
                  </w:r>
                  <w:r>
                    <w:rPr>
                      <w:rFonts w:hint="default" w:ascii="Times New Roman" w:hAnsi="Times New Roman" w:eastAsia="宋体" w:cs="Times New Roman"/>
                      <w:b w:val="0"/>
                      <w:bCs/>
                      <w:color w:val="auto"/>
                      <w:spacing w:val="0"/>
                      <w:w w:val="100"/>
                      <w:kern w:val="0"/>
                      <w:sz w:val="21"/>
                      <w:szCs w:val="21"/>
                    </w:rPr>
                    <w:t>，</w:t>
                  </w:r>
                  <w:r>
                    <w:rPr>
                      <w:rFonts w:hint="default" w:ascii="Times New Roman" w:hAnsi="Times New Roman" w:eastAsia="宋体" w:cs="Times New Roman"/>
                      <w:b w:val="0"/>
                      <w:bCs/>
                      <w:color w:val="auto"/>
                      <w:spacing w:val="0"/>
                      <w:w w:val="100"/>
                      <w:sz w:val="21"/>
                      <w:szCs w:val="21"/>
                      <w:lang w:eastAsia="zh-CN"/>
                    </w:rPr>
                    <w:t>建设完成后，</w:t>
                  </w:r>
                  <w:r>
                    <w:rPr>
                      <w:rFonts w:hint="default" w:ascii="Times New Roman" w:hAnsi="Times New Roman" w:eastAsia="宋体" w:cs="Times New Roman"/>
                      <w:b w:val="0"/>
                      <w:bCs/>
                      <w:color w:val="auto"/>
                      <w:spacing w:val="0"/>
                      <w:w w:val="100"/>
                      <w:sz w:val="21"/>
                      <w:szCs w:val="21"/>
                    </w:rPr>
                    <w:t>污泥处理处置设施</w:t>
                  </w:r>
                  <w:r>
                    <w:rPr>
                      <w:rFonts w:hint="default" w:ascii="Times New Roman" w:hAnsi="Times New Roman" w:eastAsia="宋体" w:cs="Times New Roman"/>
                      <w:b w:val="0"/>
                      <w:bCs/>
                      <w:color w:val="auto"/>
                      <w:spacing w:val="0"/>
                      <w:w w:val="100"/>
                      <w:sz w:val="21"/>
                      <w:szCs w:val="21"/>
                      <w:lang w:eastAsia="zh-CN"/>
                    </w:rPr>
                    <w:t>采用</w:t>
                  </w:r>
                  <w:r>
                    <w:rPr>
                      <w:rFonts w:hint="default" w:ascii="Times New Roman" w:hAnsi="Times New Roman" w:eastAsia="宋体" w:cs="Times New Roman"/>
                      <w:b w:val="0"/>
                      <w:bCs/>
                      <w:color w:val="auto"/>
                      <w:spacing w:val="0"/>
                      <w:w w:val="100"/>
                      <w:sz w:val="21"/>
                      <w:szCs w:val="21"/>
                      <w:lang w:val="en-GB" w:eastAsia="zh-CN"/>
                    </w:rPr>
                    <w:t>污泥池+</w:t>
                  </w:r>
                  <w:r>
                    <w:rPr>
                      <w:rFonts w:hint="default" w:ascii="Times New Roman" w:hAnsi="Times New Roman" w:eastAsia="宋体" w:cs="Times New Roman"/>
                      <w:b w:val="0"/>
                      <w:bCs/>
                      <w:color w:val="auto"/>
                      <w:spacing w:val="0"/>
                      <w:w w:val="100"/>
                      <w:sz w:val="21"/>
                      <w:szCs w:val="21"/>
                      <w:lang w:val="en-US" w:eastAsia="zh-CN"/>
                    </w:rPr>
                    <w:t>污泥脱水机</w:t>
                  </w:r>
                  <w:r>
                    <w:rPr>
                      <w:rFonts w:hint="default" w:ascii="Times New Roman" w:hAnsi="Times New Roman" w:eastAsia="宋体" w:cs="Times New Roman"/>
                      <w:b w:val="0"/>
                      <w:bCs/>
                      <w:color w:val="auto"/>
                      <w:spacing w:val="0"/>
                      <w:w w:val="100"/>
                      <w:sz w:val="21"/>
                      <w:szCs w:val="21"/>
                      <w:lang w:val="en-GB" w:eastAsia="zh-CN"/>
                    </w:rPr>
                    <w:t>，与</w:t>
                  </w:r>
                  <w:r>
                    <w:rPr>
                      <w:rFonts w:hint="default" w:ascii="Times New Roman" w:hAnsi="Times New Roman" w:eastAsia="宋体" w:cs="Times New Roman"/>
                      <w:b w:val="0"/>
                      <w:bCs/>
                      <w:color w:val="auto"/>
                      <w:spacing w:val="0"/>
                      <w:w w:val="100"/>
                      <w:sz w:val="21"/>
                      <w:szCs w:val="21"/>
                    </w:rPr>
                    <w:t>污水处理设施同时规划、建设和投入运行</w:t>
                  </w:r>
                </w:p>
              </w:tc>
              <w:tc>
                <w:tcPr>
                  <w:tcW w:w="387" w:type="pct"/>
                  <w:vAlign w:val="center"/>
                </w:tcPr>
                <w:p w14:paraId="61353B3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lang w:eastAsia="zh-CN"/>
                    </w:rPr>
                    <w:t>符合</w:t>
                  </w:r>
                </w:p>
              </w:tc>
            </w:tr>
            <w:tr w14:paraId="04FF2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jc w:val="center"/>
              </w:trPr>
              <w:tc>
                <w:tcPr>
                  <w:tcW w:w="833" w:type="pct"/>
                  <w:vMerge w:val="continue"/>
                </w:tcPr>
                <w:p w14:paraId="38EA3C6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i w:val="0"/>
                      <w:iCs w:val="0"/>
                      <w:color w:val="auto"/>
                      <w:spacing w:val="0"/>
                      <w:w w:val="100"/>
                      <w:sz w:val="21"/>
                      <w:szCs w:val="21"/>
                      <w:lang w:val="en-US" w:bidi="ar"/>
                    </w:rPr>
                  </w:pPr>
                </w:p>
              </w:tc>
              <w:tc>
                <w:tcPr>
                  <w:tcW w:w="2155" w:type="pct"/>
                  <w:vAlign w:val="center"/>
                </w:tcPr>
                <w:p w14:paraId="0D7A52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鼓励在安全、环保和经济的前提下，回收和利用污泥中的能源和资源。污泥产生、运输、贮存、处理处置的全过程应当遵守国家和地方相关污染控制标准及技术规范。污水处理厂以贮存（即不处理处置）为目的将污泥运出厂界的，必须将污泥脱水至含水率50%以下。污水处理厂应当对污泥农用产生的环境影响负责；造成土壤和地下水污染的，应当进行修复和治理。禁止污泥处理处置单位超处理处置能力接收污泥。</w:t>
                  </w:r>
                </w:p>
              </w:tc>
              <w:tc>
                <w:tcPr>
                  <w:tcW w:w="1623" w:type="pct"/>
                  <w:vAlign w:val="center"/>
                </w:tcPr>
                <w:p w14:paraId="5D7843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lang w:eastAsia="zh-CN"/>
                    </w:rPr>
                    <w:t>本项目建成后，项目污泥</w:t>
                  </w:r>
                  <w:r>
                    <w:rPr>
                      <w:rFonts w:hint="default" w:ascii="Times New Roman" w:hAnsi="Times New Roman" w:eastAsia="宋体" w:cs="Times New Roman"/>
                      <w:b w:val="0"/>
                      <w:bCs/>
                      <w:color w:val="auto"/>
                      <w:spacing w:val="0"/>
                      <w:w w:val="100"/>
                      <w:sz w:val="21"/>
                      <w:szCs w:val="21"/>
                    </w:rPr>
                    <w:t>脱水至含水率</w:t>
                  </w:r>
                  <w:r>
                    <w:rPr>
                      <w:rFonts w:hint="default" w:ascii="Times New Roman" w:hAnsi="Times New Roman" w:eastAsia="宋体" w:cs="Times New Roman"/>
                      <w:b w:val="0"/>
                      <w:bCs/>
                      <w:color w:val="auto"/>
                      <w:spacing w:val="0"/>
                      <w:w w:val="100"/>
                      <w:sz w:val="21"/>
                      <w:szCs w:val="21"/>
                      <w:lang w:val="en-US" w:eastAsia="zh-CN"/>
                    </w:rPr>
                    <w:t>6</w:t>
                  </w:r>
                  <w:r>
                    <w:rPr>
                      <w:rFonts w:hint="default" w:ascii="Times New Roman" w:hAnsi="Times New Roman" w:eastAsia="宋体" w:cs="Times New Roman"/>
                      <w:b w:val="0"/>
                      <w:bCs/>
                      <w:color w:val="auto"/>
                      <w:spacing w:val="0"/>
                      <w:w w:val="100"/>
                      <w:sz w:val="21"/>
                      <w:szCs w:val="21"/>
                    </w:rPr>
                    <w:t>0%</w:t>
                  </w:r>
                  <w:r>
                    <w:rPr>
                      <w:rFonts w:hint="default" w:ascii="Times New Roman" w:hAnsi="Times New Roman" w:eastAsia="宋体" w:cs="Times New Roman"/>
                      <w:b w:val="0"/>
                      <w:bCs/>
                      <w:color w:val="auto"/>
                      <w:spacing w:val="0"/>
                      <w:w w:val="100"/>
                      <w:sz w:val="21"/>
                      <w:szCs w:val="21"/>
                      <w:lang w:eastAsia="zh-CN"/>
                    </w:rPr>
                    <w:t>，竣工环保验收前进行毒性鉴别，根据毒性浸出结果决定最终处置方式</w:t>
                  </w:r>
                  <w:r>
                    <w:rPr>
                      <w:rFonts w:hint="default" w:ascii="Times New Roman" w:hAnsi="Times New Roman" w:eastAsia="宋体" w:cs="Times New Roman"/>
                      <w:b w:val="0"/>
                      <w:bCs/>
                      <w:color w:val="auto"/>
                      <w:spacing w:val="0"/>
                      <w:w w:val="100"/>
                      <w:sz w:val="21"/>
                      <w:szCs w:val="21"/>
                    </w:rPr>
                    <w:t>（即不处理处置）为目的将污泥运出厂界的</w:t>
                  </w:r>
                  <w:r>
                    <w:rPr>
                      <w:rFonts w:hint="default" w:ascii="Times New Roman" w:hAnsi="Times New Roman" w:eastAsia="宋体" w:cs="Times New Roman"/>
                      <w:color w:val="auto"/>
                      <w:spacing w:val="0"/>
                      <w:w w:val="100"/>
                      <w:sz w:val="21"/>
                      <w:szCs w:val="21"/>
                      <w:lang w:val="en-US" w:eastAsia="zh-CN"/>
                    </w:rPr>
                    <w:t>不会</w:t>
                  </w:r>
                  <w:r>
                    <w:rPr>
                      <w:rFonts w:hint="default" w:ascii="Times New Roman" w:hAnsi="Times New Roman" w:eastAsia="宋体" w:cs="Times New Roman"/>
                      <w:b w:val="0"/>
                      <w:bCs/>
                      <w:color w:val="auto"/>
                      <w:spacing w:val="0"/>
                      <w:w w:val="100"/>
                      <w:sz w:val="21"/>
                      <w:szCs w:val="21"/>
                    </w:rPr>
                    <w:t>造成土壤和地下水污染</w:t>
                  </w:r>
                  <w:r>
                    <w:rPr>
                      <w:rFonts w:hint="default" w:ascii="Times New Roman" w:hAnsi="Times New Roman" w:eastAsia="宋体" w:cs="Times New Roman"/>
                      <w:b w:val="0"/>
                      <w:bCs/>
                      <w:color w:val="auto"/>
                      <w:spacing w:val="0"/>
                      <w:w w:val="100"/>
                      <w:sz w:val="21"/>
                      <w:szCs w:val="21"/>
                      <w:lang w:eastAsia="zh-CN"/>
                    </w:rPr>
                    <w:t>。</w:t>
                  </w:r>
                </w:p>
              </w:tc>
              <w:tc>
                <w:tcPr>
                  <w:tcW w:w="387" w:type="pct"/>
                  <w:vAlign w:val="center"/>
                </w:tcPr>
                <w:p w14:paraId="583BBB6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lang w:eastAsia="zh-CN"/>
                    </w:rPr>
                    <w:t>符合</w:t>
                  </w:r>
                </w:p>
              </w:tc>
            </w:tr>
            <w:tr w14:paraId="1B3E8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833" w:type="pct"/>
                  <w:vAlign w:val="center"/>
                </w:tcPr>
                <w:p w14:paraId="63EDA50D">
                  <w:pPr>
                    <w:keepNext w:val="0"/>
                    <w:keepLines w:val="0"/>
                    <w:suppressLineNumbers w:val="0"/>
                    <w:spacing w:before="0" w:beforeAutospacing="0" w:after="0" w:afterAutospacing="0"/>
                    <w:ind w:left="0" w:right="6" w:rightChars="0"/>
                    <w:jc w:val="center"/>
                    <w:rPr>
                      <w:rFonts w:hint="default" w:ascii="Times New Roman" w:hAnsi="Times New Roman" w:eastAsia="宋体" w:cs="Times New Roman"/>
                      <w:bCs/>
                      <w:color w:val="000000"/>
                      <w:spacing w:val="0"/>
                      <w:szCs w:val="21"/>
                      <w:lang w:val="en-US" w:eastAsia="zh-CN"/>
                    </w:rPr>
                  </w:pPr>
                  <w:r>
                    <w:rPr>
                      <w:rFonts w:hint="default" w:ascii="Times New Roman" w:hAnsi="Times New Roman" w:eastAsia="宋体" w:cs="Times New Roman"/>
                      <w:bCs/>
                      <w:color w:val="000000"/>
                      <w:spacing w:val="0"/>
                      <w:szCs w:val="21"/>
                    </w:rPr>
                    <w:t>《宝鸡市大气污染防治条例》（2019年10月30日宝鸡市第十五届人民代表大会常务委员会二十一次会议通过。</w:t>
                  </w:r>
                  <w:r>
                    <w:rPr>
                      <w:rFonts w:hint="default" w:ascii="Times New Roman" w:hAnsi="Times New Roman" w:eastAsia="宋体" w:cs="Times New Roman"/>
                      <w:bCs/>
                      <w:color w:val="000000"/>
                      <w:spacing w:val="0"/>
                      <w:szCs w:val="21"/>
                      <w:lang w:eastAsia="zh-CN"/>
                    </w:rPr>
                    <w:t>）</w:t>
                  </w:r>
                </w:p>
              </w:tc>
              <w:tc>
                <w:tcPr>
                  <w:tcW w:w="2155" w:type="pct"/>
                  <w:vAlign w:val="center"/>
                </w:tcPr>
                <w:p w14:paraId="00104F9F">
                  <w:pPr>
                    <w:keepNext w:val="0"/>
                    <w:keepLines w:val="0"/>
                    <w:suppressLineNumbers w:val="0"/>
                    <w:spacing w:before="0" w:beforeAutospacing="0" w:after="0" w:afterAutospacing="0"/>
                    <w:ind w:left="0" w:right="6" w:rightChars="0"/>
                    <w:rPr>
                      <w:rFonts w:hint="default" w:ascii="Times New Roman" w:hAnsi="Times New Roman" w:eastAsia="宋体" w:cs="Times New Roman"/>
                      <w:bCs/>
                      <w:color w:val="000000"/>
                      <w:spacing w:val="0"/>
                      <w:szCs w:val="21"/>
                      <w:lang w:val="en-US" w:eastAsia="zh-CN"/>
                    </w:rPr>
                  </w:pPr>
                  <w:r>
                    <w:rPr>
                      <w:rFonts w:hint="default" w:ascii="Times New Roman" w:hAnsi="Times New Roman" w:eastAsia="宋体" w:cs="Times New Roman"/>
                      <w:bCs/>
                      <w:color w:val="000000"/>
                      <w:spacing w:val="0"/>
                      <w:szCs w:val="21"/>
                    </w:rPr>
                    <w:t>第三十七条</w:t>
                  </w:r>
                  <w:r>
                    <w:rPr>
                      <w:rFonts w:hint="default" w:ascii="Times New Roman" w:hAnsi="Times New Roman" w:eastAsia="宋体" w:cs="Times New Roman"/>
                      <w:bCs/>
                      <w:color w:val="000000"/>
                      <w:spacing w:val="0"/>
                      <w:szCs w:val="21"/>
                      <w:lang w:val="en-US" w:eastAsia="zh-CN"/>
                    </w:rPr>
                    <w:t xml:space="preserve">  </w:t>
                  </w:r>
                  <w:r>
                    <w:rPr>
                      <w:rFonts w:hint="default" w:ascii="Times New Roman" w:hAnsi="Times New Roman" w:eastAsia="宋体" w:cs="Times New Roman"/>
                      <w:bCs/>
                      <w:color w:val="000000"/>
                      <w:spacing w:val="0"/>
                      <w:szCs w:val="21"/>
                    </w:rPr>
                    <w:t>运输煤炭、垃圾、渣土、砂石、土方、灰浆等散装、流体物料的车辆，应当保持车体清洁，采取密闭或者其他措施防止物料遗撒造成扬尘污染，并按照规定路线、时段行驶。</w:t>
                  </w:r>
                </w:p>
              </w:tc>
              <w:tc>
                <w:tcPr>
                  <w:tcW w:w="1623" w:type="pct"/>
                  <w:vAlign w:val="center"/>
                </w:tcPr>
                <w:p w14:paraId="331618AC">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eastAsia="zh-CN"/>
                    </w:rPr>
                    <w:t>本项目原料及污泥运输均采用密封、遮挡措施，</w:t>
                  </w:r>
                  <w:r>
                    <w:rPr>
                      <w:rFonts w:hint="default" w:ascii="Times New Roman" w:hAnsi="Times New Roman" w:eastAsia="宋体" w:cs="Times New Roman"/>
                      <w:color w:val="auto"/>
                      <w:spacing w:val="0"/>
                      <w:w w:val="100"/>
                      <w:sz w:val="21"/>
                      <w:szCs w:val="21"/>
                      <w:lang w:bidi="ar"/>
                    </w:rPr>
                    <w:t>并按照规定路线、时段行驶。</w:t>
                  </w:r>
                </w:p>
              </w:tc>
              <w:tc>
                <w:tcPr>
                  <w:tcW w:w="387" w:type="pct"/>
                  <w:vAlign w:val="center"/>
                </w:tcPr>
                <w:p w14:paraId="2926FAEE">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eastAsia="zh-CN"/>
                    </w:rPr>
                    <w:t>符合</w:t>
                  </w:r>
                </w:p>
              </w:tc>
            </w:tr>
            <w:tr w14:paraId="05597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9" w:hRule="atLeast"/>
                <w:jc w:val="center"/>
              </w:trPr>
              <w:tc>
                <w:tcPr>
                  <w:tcW w:w="833" w:type="pct"/>
                  <w:vAlign w:val="center"/>
                </w:tcPr>
                <w:p w14:paraId="4A8B7A7C">
                  <w:pPr>
                    <w:keepNext w:val="0"/>
                    <w:keepLines w:val="0"/>
                    <w:suppressLineNumbers w:val="0"/>
                    <w:spacing w:before="0" w:beforeAutospacing="0" w:after="0" w:afterAutospacing="0"/>
                    <w:ind w:left="0" w:right="6" w:rightChars="0"/>
                    <w:jc w:val="center"/>
                    <w:rPr>
                      <w:rFonts w:hint="default" w:ascii="Times New Roman" w:hAnsi="Times New Roman" w:eastAsia="宋体" w:cs="Times New Roman"/>
                      <w:bCs/>
                      <w:color w:val="000000"/>
                      <w:spacing w:val="0"/>
                      <w:szCs w:val="21"/>
                    </w:rPr>
                  </w:pPr>
                  <w:r>
                    <w:rPr>
                      <w:rFonts w:hint="eastAsia" w:ascii="Times New Roman" w:hAnsi="Times New Roman" w:eastAsia="宋体" w:cs="Times New Roman"/>
                      <w:bCs/>
                      <w:color w:val="000000"/>
                      <w:spacing w:val="0"/>
                      <w:szCs w:val="21"/>
                      <w:lang w:eastAsia="zh-CN"/>
                    </w:rPr>
                    <w:t>《陕西省渭河流域管理条例》</w:t>
                  </w:r>
                </w:p>
              </w:tc>
              <w:tc>
                <w:tcPr>
                  <w:tcW w:w="2155" w:type="pct"/>
                  <w:vAlign w:val="center"/>
                </w:tcPr>
                <w:p w14:paraId="38C57955">
                  <w:pPr>
                    <w:keepNext w:val="0"/>
                    <w:keepLines w:val="0"/>
                    <w:suppressLineNumbers w:val="0"/>
                    <w:spacing w:before="0" w:beforeAutospacing="0" w:after="0" w:afterAutospacing="0"/>
                    <w:ind w:left="0" w:right="6" w:rightChars="0"/>
                    <w:rPr>
                      <w:rFonts w:hint="default" w:ascii="Times New Roman" w:hAnsi="Times New Roman" w:eastAsia="宋体" w:cs="Times New Roman"/>
                      <w:bCs/>
                      <w:color w:val="000000"/>
                      <w:spacing w:val="0"/>
                      <w:szCs w:val="21"/>
                    </w:rPr>
                  </w:pPr>
                  <w:r>
                    <w:rPr>
                      <w:rFonts w:hint="default" w:ascii="Times New Roman" w:hAnsi="Times New Roman" w:eastAsia="宋体" w:cs="Times New Roman"/>
                      <w:bCs/>
                      <w:color w:val="000000"/>
                      <w:spacing w:val="0"/>
                      <w:szCs w:val="21"/>
                    </w:rPr>
                    <w:t>第四十五条 在渭河流域河道管理范围内新建、改建、扩建各类工程建设项目的，建设单位或者个人应当向省渭河流域管理机构或者设区的市、县（市、区）水行政主管部门提出申请，其工程建设方案按照下</w:t>
                  </w:r>
                  <w:r>
                    <w:rPr>
                      <w:rFonts w:hint="default" w:ascii="Times New Roman" w:hAnsi="Times New Roman" w:eastAsia="宋体" w:cs="Times New Roman"/>
                      <w:bCs/>
                      <w:color w:val="000000"/>
                      <w:spacing w:val="0"/>
                      <w:szCs w:val="21"/>
                      <w:lang w:val="en-US" w:eastAsia="zh-CN"/>
                    </w:rPr>
                    <w:t xml:space="preserve"> </w:t>
                  </w:r>
                  <w:r>
                    <w:rPr>
                      <w:rFonts w:hint="default" w:ascii="Times New Roman" w:hAnsi="Times New Roman" w:eastAsia="宋体" w:cs="Times New Roman"/>
                      <w:bCs/>
                      <w:color w:val="000000"/>
                      <w:spacing w:val="0"/>
                      <w:szCs w:val="21"/>
                    </w:rPr>
                    <w:t>列权限和程序审查同意后，方可按照基本建设程序履行审批手续</w:t>
                  </w:r>
                  <w:r>
                    <w:rPr>
                      <w:rFonts w:hint="default" w:ascii="Times New Roman" w:hAnsi="Times New Roman" w:eastAsia="宋体" w:cs="Times New Roman"/>
                      <w:bCs/>
                      <w:color w:val="000000"/>
                      <w:spacing w:val="0"/>
                      <w:szCs w:val="21"/>
                      <w:lang w:eastAsia="zh-CN"/>
                    </w:rPr>
                    <w:t>：</w:t>
                  </w:r>
                </w:p>
                <w:p w14:paraId="3488C46F">
                  <w:pPr>
                    <w:keepNext w:val="0"/>
                    <w:keepLines w:val="0"/>
                    <w:suppressLineNumbers w:val="0"/>
                    <w:spacing w:before="0" w:beforeAutospacing="0" w:after="0" w:afterAutospacing="0"/>
                    <w:ind w:left="0" w:right="6" w:rightChars="0"/>
                    <w:rPr>
                      <w:rFonts w:hint="default" w:ascii="Times New Roman" w:hAnsi="Times New Roman" w:eastAsia="宋体" w:cs="Times New Roman"/>
                      <w:bCs/>
                      <w:color w:val="000000"/>
                      <w:spacing w:val="0"/>
                      <w:szCs w:val="21"/>
                    </w:rPr>
                  </w:pPr>
                  <w:r>
                    <w:rPr>
                      <w:rFonts w:hint="default" w:ascii="Times New Roman" w:hAnsi="Times New Roman" w:eastAsia="宋体" w:cs="Times New Roman"/>
                      <w:bCs/>
                      <w:color w:val="000000"/>
                      <w:spacing w:val="0"/>
                      <w:szCs w:val="21"/>
                    </w:rPr>
                    <w:t>（二）渭河其他支流河道管理范围内建设项目，由县（市、区）水行政主管部门受理审查同意，其中大中型建设项目，报设区的市水行政主管部门审查同意；</w:t>
                  </w:r>
                </w:p>
                <w:p w14:paraId="1F42E101">
                  <w:pPr>
                    <w:keepNext w:val="0"/>
                    <w:keepLines w:val="0"/>
                    <w:suppressLineNumbers w:val="0"/>
                    <w:spacing w:before="0" w:beforeAutospacing="0" w:after="0" w:afterAutospacing="0"/>
                    <w:ind w:left="0" w:right="6" w:rightChars="0"/>
                    <w:rPr>
                      <w:rFonts w:hint="default" w:ascii="Times New Roman" w:hAnsi="Times New Roman" w:eastAsia="宋体" w:cs="Times New Roman"/>
                      <w:bCs/>
                      <w:color w:val="000000"/>
                      <w:spacing w:val="0"/>
                      <w:szCs w:val="21"/>
                    </w:rPr>
                  </w:pPr>
                  <w:r>
                    <w:rPr>
                      <w:rFonts w:hint="default" w:ascii="Times New Roman" w:hAnsi="Times New Roman" w:eastAsia="宋体" w:cs="Times New Roman"/>
                      <w:bCs/>
                      <w:color w:val="000000"/>
                      <w:spacing w:val="0"/>
                      <w:szCs w:val="21"/>
                    </w:rPr>
                    <w:t>渭河流域河道管理范围内其他生产建设活动，按照建设项目审查权限管理。</w:t>
                  </w:r>
                </w:p>
              </w:tc>
              <w:tc>
                <w:tcPr>
                  <w:tcW w:w="1623" w:type="pct"/>
                  <w:vAlign w:val="center"/>
                </w:tcPr>
                <w:p w14:paraId="1B303FAA">
                  <w:pPr>
                    <w:keepNext w:val="0"/>
                    <w:keepLines w:val="0"/>
                    <w:suppressLineNumbers w:val="0"/>
                    <w:spacing w:before="0" w:beforeAutospacing="0" w:after="0" w:afterAutospacing="0"/>
                    <w:ind w:left="0" w:right="6" w:rightChars="0"/>
                    <w:rPr>
                      <w:rFonts w:hint="default" w:ascii="Times New Roman" w:hAnsi="Times New Roman" w:eastAsia="宋体" w:cs="Times New Roman"/>
                      <w:bCs/>
                      <w:color w:val="000000"/>
                      <w:spacing w:val="0"/>
                      <w:szCs w:val="21"/>
                      <w:lang w:eastAsia="zh-CN"/>
                    </w:rPr>
                  </w:pPr>
                  <w:r>
                    <w:rPr>
                      <w:rFonts w:hint="default" w:ascii="Times New Roman" w:hAnsi="Times New Roman" w:eastAsia="宋体" w:cs="Times New Roman"/>
                      <w:bCs/>
                      <w:color w:val="000000"/>
                      <w:spacing w:val="0"/>
                      <w:szCs w:val="21"/>
                      <w:lang w:eastAsia="zh-CN"/>
                    </w:rPr>
                    <w:t>本项目位于陇县经济技术开发区新材料产业园内，</w:t>
                  </w:r>
                  <w:r>
                    <w:rPr>
                      <w:rFonts w:hint="default" w:ascii="Times New Roman" w:hAnsi="Times New Roman" w:eastAsia="宋体" w:cs="Times New Roman"/>
                      <w:bCs/>
                      <w:color w:val="000000"/>
                      <w:spacing w:val="0"/>
                      <w:szCs w:val="21"/>
                      <w:lang w:val="en-US" w:eastAsia="zh-CN"/>
                    </w:rPr>
                    <w:t>不占用</w:t>
                  </w:r>
                  <w:r>
                    <w:rPr>
                      <w:rFonts w:hint="default" w:ascii="Times New Roman" w:hAnsi="Times New Roman" w:eastAsia="宋体" w:cs="Times New Roman"/>
                      <w:bCs/>
                      <w:color w:val="000000"/>
                      <w:spacing w:val="0"/>
                      <w:szCs w:val="21"/>
                      <w:lang w:eastAsia="zh-CN"/>
                    </w:rPr>
                    <w:t>河道保护范围</w:t>
                  </w:r>
                  <w:r>
                    <w:rPr>
                      <w:rFonts w:hint="default" w:ascii="Times New Roman" w:hAnsi="Times New Roman" w:eastAsia="宋体" w:cs="Times New Roman"/>
                      <w:bCs/>
                      <w:color w:val="000000"/>
                      <w:spacing w:val="0"/>
                      <w:szCs w:val="21"/>
                      <w:lang w:val="en-US" w:eastAsia="zh-CN"/>
                    </w:rPr>
                    <w:t>及管理范围</w:t>
                  </w:r>
                  <w:r>
                    <w:rPr>
                      <w:rFonts w:hint="default" w:ascii="Times New Roman" w:hAnsi="Times New Roman" w:eastAsia="宋体" w:cs="Times New Roman"/>
                      <w:bCs/>
                      <w:color w:val="000000"/>
                      <w:spacing w:val="0"/>
                      <w:szCs w:val="21"/>
                      <w:lang w:eastAsia="zh-CN"/>
                    </w:rPr>
                    <w:t>。</w:t>
                  </w:r>
                </w:p>
              </w:tc>
              <w:tc>
                <w:tcPr>
                  <w:tcW w:w="387" w:type="pct"/>
                  <w:vAlign w:val="center"/>
                </w:tcPr>
                <w:p w14:paraId="5C9E66D5">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kern w:val="0"/>
                      <w:sz w:val="21"/>
                      <w:szCs w:val="21"/>
                      <w:lang w:eastAsia="zh-CN"/>
                    </w:rPr>
                  </w:pPr>
                  <w:r>
                    <w:rPr>
                      <w:rFonts w:hint="default" w:ascii="Times New Roman" w:hAnsi="Times New Roman" w:eastAsia="宋体" w:cs="Times New Roman"/>
                      <w:color w:val="auto"/>
                      <w:spacing w:val="0"/>
                      <w:w w:val="100"/>
                      <w:kern w:val="0"/>
                      <w:sz w:val="21"/>
                      <w:szCs w:val="21"/>
                      <w:lang w:eastAsia="zh-CN"/>
                    </w:rPr>
                    <w:t>符合</w:t>
                  </w:r>
                </w:p>
              </w:tc>
            </w:tr>
            <w:tr w14:paraId="4DF1C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jc w:val="center"/>
              </w:trPr>
              <w:tc>
                <w:tcPr>
                  <w:tcW w:w="833" w:type="pct"/>
                  <w:vMerge w:val="restart"/>
                  <w:shd w:val="clear" w:color="auto" w:fill="auto"/>
                  <w:vAlign w:val="center"/>
                </w:tcPr>
                <w:p w14:paraId="456A8AA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《宝鸡市“十四五”生态环境保护规划》</w:t>
                  </w:r>
                </w:p>
              </w:tc>
              <w:tc>
                <w:tcPr>
                  <w:tcW w:w="2155" w:type="pct"/>
                  <w:shd w:val="clear" w:color="auto" w:fill="auto"/>
                  <w:vAlign w:val="center"/>
                </w:tcPr>
                <w:p w14:paraId="258D80C3">
                  <w:pPr>
                    <w:keepNext w:val="0"/>
                    <w:keepLines w:val="0"/>
                    <w:suppressLineNumbers w:val="0"/>
                    <w:spacing w:before="0" w:beforeAutospacing="0" w:after="0" w:afterAutospacing="0"/>
                    <w:ind w:left="0" w:right="6" w:rightChars="0"/>
                    <w:rPr>
                      <w:rFonts w:hint="default" w:ascii="Times New Roman" w:hAnsi="Times New Roman" w:eastAsia="宋体" w:cs="Times New Roman"/>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严格控制施工扬尘。认真执行《陕西地区施工现场扬尘专项治理方案》，禁止城市建成区建筑工地现场搅拌混凝土。严格执行《建筑施工扬尘治理措施16条》，将扬尘污染防治纳入建筑工地开工审批条件并严格把关，将防治扬尘污染费用列入工程造价，对落实建设项目“洒水、覆盖、硬化、冲洗、绿化、围挡”六个100%措施不力的企业，在建筑市场监管与诚信信息平台进行曝光，记录企业不良信用记录</w:t>
                  </w:r>
                </w:p>
              </w:tc>
              <w:tc>
                <w:tcPr>
                  <w:tcW w:w="1623" w:type="pct"/>
                  <w:shd w:val="clear" w:color="auto" w:fill="auto"/>
                  <w:vAlign w:val="center"/>
                </w:tcPr>
                <w:p w14:paraId="3990C2B0">
                  <w:pPr>
                    <w:keepNext w:val="0"/>
                    <w:keepLines w:val="0"/>
                    <w:suppressLineNumbers w:val="0"/>
                    <w:spacing w:before="0" w:beforeAutospacing="0" w:after="0" w:afterAutospacing="0"/>
                    <w:ind w:left="0" w:right="6" w:rightChars="0"/>
                    <w:rPr>
                      <w:rFonts w:hint="default" w:ascii="Times New Roman" w:hAnsi="Times New Roman" w:eastAsia="宋体" w:cs="Times New Roman"/>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本项目使用商品混凝土；设计阶段将扬尘污染费用列入工程造价；工程实施绿色施工，分段建设，施工期物料运输全密闭，施工时采取围挡、洒水抑尘等措施减少扬尘</w:t>
                  </w:r>
                </w:p>
              </w:tc>
              <w:tc>
                <w:tcPr>
                  <w:tcW w:w="387" w:type="pct"/>
                  <w:shd w:val="clear" w:color="auto" w:fill="auto"/>
                  <w:vAlign w:val="center"/>
                </w:tcPr>
                <w:p w14:paraId="37FD6A1D">
                  <w:pPr>
                    <w:keepNext w:val="0"/>
                    <w:keepLines w:val="0"/>
                    <w:suppressLineNumbers w:val="0"/>
                    <w:spacing w:before="0" w:beforeAutospacing="0" w:after="0" w:afterAutospacing="0"/>
                    <w:ind w:left="0" w:right="6" w:rightChars="0"/>
                    <w:jc w:val="center"/>
                    <w:rPr>
                      <w:rFonts w:hint="default" w:ascii="Times New Roman" w:hAnsi="Times New Roman" w:eastAsia="宋体" w:cs="Times New Roman"/>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符合</w:t>
                  </w:r>
                </w:p>
              </w:tc>
            </w:tr>
            <w:tr w14:paraId="1F6D0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833" w:type="pct"/>
                  <w:vMerge w:val="continue"/>
                  <w:vAlign w:val="center"/>
                </w:tcPr>
                <w:p w14:paraId="3690F0E7">
                  <w:pPr>
                    <w:pStyle w:val="19"/>
                    <w:keepNext w:val="0"/>
                    <w:keepLines w:val="0"/>
                    <w:pageBreakBefore w:val="0"/>
                    <w:widowControl/>
                    <w:shd w:val="clear" w:color="auto" w:fill="FFFFFF"/>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shd w:val="clear" w:color="auto" w:fill="FFFFFF"/>
                    </w:rPr>
                  </w:pPr>
                </w:p>
              </w:tc>
              <w:tc>
                <w:tcPr>
                  <w:tcW w:w="2155" w:type="pct"/>
                  <w:shd w:val="clear" w:color="auto" w:fill="auto"/>
                  <w:vAlign w:val="center"/>
                </w:tcPr>
                <w:p w14:paraId="7153FB36">
                  <w:pPr>
                    <w:keepNext w:val="0"/>
                    <w:keepLines w:val="0"/>
                    <w:suppressLineNumbers w:val="0"/>
                    <w:spacing w:before="0" w:beforeAutospacing="0" w:after="0" w:afterAutospacing="0"/>
                    <w:ind w:left="0" w:right="6" w:rightChars="0"/>
                    <w:rPr>
                      <w:rFonts w:hint="default" w:ascii="Times New Roman" w:hAnsi="Times New Roman" w:eastAsia="宋体" w:cs="Times New Roman"/>
                      <w:bCs/>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严格控制道路扬尘。强化砂石、渣土、泥土、垃圾等物料运输管理，对渣土运输车辆进行密闭化改装和加装电子信息标签，实行渣土车全面监控，严厉查处渣土运输车超量装载、沿途撒漏、随意倾倒等行为</w:t>
                  </w:r>
                </w:p>
              </w:tc>
              <w:tc>
                <w:tcPr>
                  <w:tcW w:w="1623" w:type="pct"/>
                  <w:shd w:val="clear" w:color="auto" w:fill="auto"/>
                  <w:vAlign w:val="center"/>
                </w:tcPr>
                <w:p w14:paraId="65921959">
                  <w:pPr>
                    <w:keepNext w:val="0"/>
                    <w:keepLines w:val="0"/>
                    <w:suppressLineNumbers w:val="0"/>
                    <w:spacing w:before="0" w:beforeAutospacing="0" w:after="0" w:afterAutospacing="0"/>
                    <w:ind w:left="0" w:right="6" w:rightChars="0"/>
                    <w:rPr>
                      <w:rFonts w:hint="default" w:ascii="Times New Roman" w:hAnsi="Times New Roman" w:eastAsia="宋体" w:cs="Times New Roman"/>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施工期物料运输全密闭，</w:t>
                  </w:r>
                  <w:r>
                    <w:rPr>
                      <w:rFonts w:hint="default" w:ascii="Times New Roman" w:hAnsi="Times New Roman" w:eastAsia="宋体" w:cs="Times New Roman"/>
                      <w:bCs/>
                      <w:color w:val="000000"/>
                      <w:spacing w:val="0"/>
                      <w:szCs w:val="21"/>
                      <w:lang w:val="en-US" w:eastAsia="zh-CN"/>
                    </w:rPr>
                    <w:t>严禁超载，</w:t>
                  </w:r>
                  <w:r>
                    <w:rPr>
                      <w:rFonts w:hint="default" w:ascii="Times New Roman" w:hAnsi="Times New Roman" w:eastAsia="宋体" w:cs="Times New Roman"/>
                      <w:bCs/>
                      <w:color w:val="000000"/>
                      <w:spacing w:val="0"/>
                      <w:szCs w:val="21"/>
                    </w:rPr>
                    <w:t>并要求运输车辆加装有电子信息标签</w:t>
                  </w:r>
                </w:p>
              </w:tc>
              <w:tc>
                <w:tcPr>
                  <w:tcW w:w="387" w:type="pct"/>
                  <w:shd w:val="clear" w:color="auto" w:fill="auto"/>
                  <w:vAlign w:val="center"/>
                </w:tcPr>
                <w:p w14:paraId="0EDAD2FD">
                  <w:pPr>
                    <w:keepNext w:val="0"/>
                    <w:keepLines w:val="0"/>
                    <w:suppressLineNumbers w:val="0"/>
                    <w:spacing w:before="0" w:beforeAutospacing="0" w:after="0" w:afterAutospacing="0"/>
                    <w:ind w:left="0" w:right="6" w:rightChars="0"/>
                    <w:jc w:val="center"/>
                    <w:rPr>
                      <w:rFonts w:hint="default" w:ascii="Times New Roman" w:hAnsi="Times New Roman" w:eastAsia="宋体" w:cs="Times New Roman"/>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符合</w:t>
                  </w:r>
                </w:p>
              </w:tc>
            </w:tr>
            <w:tr w14:paraId="348EF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833" w:type="pct"/>
                  <w:vMerge w:val="restart"/>
                  <w:vAlign w:val="center"/>
                </w:tcPr>
                <w:p w14:paraId="4E834D0A">
                  <w:pPr>
                    <w:pStyle w:val="19"/>
                    <w:keepNext w:val="0"/>
                    <w:keepLines w:val="0"/>
                    <w:pageBreakBefore w:val="0"/>
                    <w:widowControl/>
                    <w:shd w:val="clear" w:color="auto" w:fill="FFFFFF"/>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shd w:val="clear" w:color="auto" w:fill="FFFFFF"/>
                    </w:rPr>
                  </w:pPr>
                  <w:r>
                    <w:rPr>
                      <w:rFonts w:hint="default" w:ascii="Times New Roman" w:hAnsi="Times New Roman" w:eastAsia="宋体" w:cs="Times New Roman"/>
                      <w:color w:val="auto"/>
                      <w:spacing w:val="0"/>
                      <w:w w:val="100"/>
                      <w:sz w:val="21"/>
                      <w:szCs w:val="21"/>
                      <w:shd w:val="clear" w:color="auto" w:fill="FFFFFF"/>
                      <w:lang w:eastAsia="zh-CN"/>
                    </w:rPr>
                    <w:t>《</w:t>
                  </w:r>
                  <w:r>
                    <w:rPr>
                      <w:rFonts w:hint="default" w:ascii="Times New Roman" w:hAnsi="Times New Roman" w:eastAsia="宋体" w:cs="Times New Roman"/>
                      <w:color w:val="auto"/>
                      <w:spacing w:val="0"/>
                      <w:w w:val="100"/>
                      <w:sz w:val="21"/>
                      <w:szCs w:val="21"/>
                      <w:shd w:val="clear" w:color="auto" w:fill="FFFFFF"/>
                    </w:rPr>
                    <w:t>陇县大气污染治理专项行动方案</w:t>
                  </w:r>
                  <w:r>
                    <w:rPr>
                      <w:rFonts w:hint="default" w:ascii="Times New Roman" w:hAnsi="Times New Roman" w:eastAsia="宋体" w:cs="Times New Roman"/>
                      <w:color w:val="auto"/>
                      <w:spacing w:val="0"/>
                      <w:w w:val="100"/>
                      <w:sz w:val="21"/>
                      <w:szCs w:val="21"/>
                      <w:shd w:val="clear" w:color="auto" w:fill="FFFFFF"/>
                      <w:lang w:eastAsia="zh-CN"/>
                    </w:rPr>
                    <w:t>（</w:t>
                  </w:r>
                  <w:r>
                    <w:rPr>
                      <w:rFonts w:hint="default" w:ascii="Times New Roman" w:hAnsi="Times New Roman" w:eastAsia="宋体" w:cs="Times New Roman"/>
                      <w:color w:val="auto"/>
                      <w:spacing w:val="0"/>
                      <w:w w:val="100"/>
                      <w:sz w:val="21"/>
                      <w:szCs w:val="21"/>
                      <w:shd w:val="clear" w:color="auto" w:fill="FFFFFF"/>
                    </w:rPr>
                    <w:t>2023-2027年</w:t>
                  </w:r>
                  <w:r>
                    <w:rPr>
                      <w:rFonts w:hint="default" w:ascii="Times New Roman" w:hAnsi="Times New Roman" w:eastAsia="宋体" w:cs="Times New Roman"/>
                      <w:color w:val="auto"/>
                      <w:spacing w:val="0"/>
                      <w:w w:val="100"/>
                      <w:sz w:val="21"/>
                      <w:szCs w:val="21"/>
                      <w:shd w:val="clear" w:color="auto" w:fill="FFFFFF"/>
                      <w:lang w:eastAsia="zh-CN"/>
                    </w:rPr>
                    <w:t>）》陇发〔2023〕9号</w:t>
                  </w:r>
                </w:p>
              </w:tc>
              <w:tc>
                <w:tcPr>
                  <w:tcW w:w="2155" w:type="pct"/>
                  <w:shd w:val="clear" w:color="auto" w:fill="auto"/>
                  <w:vAlign w:val="center"/>
                </w:tcPr>
                <w:p w14:paraId="40B65C2C">
                  <w:pPr>
                    <w:keepNext w:val="0"/>
                    <w:keepLines w:val="0"/>
                    <w:suppressLineNumbers w:val="0"/>
                    <w:spacing w:before="0" w:beforeAutospacing="0" w:after="0" w:afterAutospacing="0"/>
                    <w:ind w:left="0" w:right="6" w:rightChars="0"/>
                    <w:rPr>
                      <w:rFonts w:hint="default" w:ascii="Times New Roman" w:hAnsi="Times New Roman" w:eastAsia="宋体" w:cs="Times New Roman"/>
                      <w:bCs/>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7.车辆优化工程。推进渣土车、商砼车新能源或国六排放标准替代，逐步淘汰渣土清运行业国五及以下排放标准柴油车辆。强化非道路移动机械排放控制区管控，完善非道路移动机械编码登记，到2025年不符合国三阶段和在用非道路移动机械排放标准三类限值的机械禁止使用，具备条件的可更换国四及以上排放标准的发动机。</w:t>
                  </w:r>
                </w:p>
              </w:tc>
              <w:tc>
                <w:tcPr>
                  <w:tcW w:w="1623" w:type="pct"/>
                  <w:shd w:val="clear" w:color="auto" w:fill="auto"/>
                  <w:vAlign w:val="center"/>
                </w:tcPr>
                <w:p w14:paraId="31471267">
                  <w:pPr>
                    <w:keepNext w:val="0"/>
                    <w:keepLines w:val="0"/>
                    <w:suppressLineNumbers w:val="0"/>
                    <w:spacing w:before="0" w:beforeAutospacing="0" w:after="0" w:afterAutospacing="0"/>
                    <w:ind w:left="0" w:right="6" w:rightChars="0"/>
                    <w:rPr>
                      <w:rFonts w:hint="default" w:ascii="Times New Roman" w:hAnsi="Times New Roman" w:eastAsia="宋体" w:cs="Times New Roman"/>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本项目施工场内非道路移动机械符合非道路移动柴油机械第四阶段排放标准</w:t>
                  </w:r>
                </w:p>
              </w:tc>
              <w:tc>
                <w:tcPr>
                  <w:tcW w:w="387" w:type="pct"/>
                  <w:shd w:val="clear" w:color="auto" w:fill="auto"/>
                  <w:vAlign w:val="center"/>
                </w:tcPr>
                <w:p w14:paraId="6C7A9C64">
                  <w:pPr>
                    <w:keepNext w:val="0"/>
                    <w:keepLines w:val="0"/>
                    <w:suppressLineNumbers w:val="0"/>
                    <w:spacing w:before="0" w:beforeAutospacing="0" w:after="0" w:afterAutospacing="0"/>
                    <w:ind w:left="0" w:right="6" w:rightChars="0"/>
                    <w:jc w:val="center"/>
                    <w:rPr>
                      <w:rFonts w:hint="default" w:ascii="Times New Roman" w:hAnsi="Times New Roman" w:eastAsia="宋体" w:cs="Times New Roman"/>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符合</w:t>
                  </w:r>
                </w:p>
              </w:tc>
            </w:tr>
            <w:tr w14:paraId="533A4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jc w:val="center"/>
              </w:trPr>
              <w:tc>
                <w:tcPr>
                  <w:tcW w:w="833" w:type="pct"/>
                  <w:vMerge w:val="continue"/>
                </w:tcPr>
                <w:p w14:paraId="3602739F">
                  <w:pPr>
                    <w:pStyle w:val="19"/>
                    <w:keepNext w:val="0"/>
                    <w:keepLines w:val="0"/>
                    <w:pageBreakBefore w:val="0"/>
                    <w:widowControl/>
                    <w:shd w:val="clear" w:color="auto" w:fill="FFFFFF"/>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shd w:val="clear" w:color="auto" w:fill="FFFFFF"/>
                    </w:rPr>
                  </w:pPr>
                </w:p>
              </w:tc>
              <w:tc>
                <w:tcPr>
                  <w:tcW w:w="2155" w:type="pct"/>
                  <w:shd w:val="clear" w:color="auto" w:fill="auto"/>
                  <w:vAlign w:val="center"/>
                </w:tcPr>
                <w:p w14:paraId="2A27837B">
                  <w:pPr>
                    <w:keepNext w:val="0"/>
                    <w:keepLines w:val="0"/>
                    <w:suppressLineNumbers w:val="0"/>
                    <w:spacing w:before="0" w:beforeAutospacing="0" w:after="0" w:afterAutospacing="0"/>
                    <w:ind w:left="0" w:right="0"/>
                    <w:rPr>
                      <w:rFonts w:hint="default" w:ascii="Times New Roman" w:hAnsi="Times New Roman" w:eastAsia="宋体" w:cs="Times New Roman"/>
                      <w:bCs/>
                      <w:color w:val="000000"/>
                      <w:spacing w:val="0"/>
                      <w:szCs w:val="21"/>
                    </w:rPr>
                  </w:pPr>
                  <w:r>
                    <w:rPr>
                      <w:rFonts w:hint="default" w:ascii="Times New Roman" w:hAnsi="Times New Roman" w:eastAsia="宋体" w:cs="Times New Roman"/>
                      <w:bCs/>
                      <w:color w:val="000000"/>
                      <w:spacing w:val="0"/>
                      <w:szCs w:val="21"/>
                    </w:rPr>
                    <w:t>8.扬尘治理工程。严格执行施工场地“六个百分百”，施工工地扬尘排放超过《施工场界扬尘排放限值（GB61/1078-2017）》的立即停工整改。除沙尘天气影响外，PM</w:t>
                  </w:r>
                  <w:r>
                    <w:rPr>
                      <w:rFonts w:hint="default" w:ascii="Times New Roman" w:hAnsi="Times New Roman" w:eastAsia="宋体" w:cs="Times New Roman"/>
                      <w:bCs/>
                      <w:color w:val="000000"/>
                      <w:spacing w:val="0"/>
                      <w:szCs w:val="21"/>
                      <w:vertAlign w:val="subscript"/>
                    </w:rPr>
                    <w:t>10</w:t>
                  </w:r>
                  <w:r>
                    <w:rPr>
                      <w:rFonts w:hint="default" w:ascii="Times New Roman" w:hAnsi="Times New Roman" w:eastAsia="宋体" w:cs="Times New Roman"/>
                      <w:bCs/>
                      <w:color w:val="000000"/>
                      <w:spacing w:val="0"/>
                      <w:szCs w:val="21"/>
                    </w:rPr>
                    <w:t>小时浓度连续3小时超过150微克/立方米时，暂停超过环境质量监测值2.5倍以上施工工地作业。</w:t>
                  </w:r>
                </w:p>
                <w:p w14:paraId="4E9BDFAB">
                  <w:pPr>
                    <w:keepNext w:val="0"/>
                    <w:keepLines w:val="0"/>
                    <w:suppressLineNumbers w:val="0"/>
                    <w:spacing w:before="0" w:beforeAutospacing="0" w:after="0" w:afterAutospacing="0"/>
                    <w:ind w:left="0" w:right="6" w:rightChars="0"/>
                    <w:rPr>
                      <w:rFonts w:hint="default" w:ascii="Times New Roman" w:hAnsi="Times New Roman" w:eastAsia="宋体" w:cs="Times New Roman"/>
                      <w:bCs/>
                      <w:color w:val="000000"/>
                      <w:spacing w:val="0"/>
                      <w:kern w:val="2"/>
                      <w:sz w:val="21"/>
                      <w:szCs w:val="21"/>
                      <w:lang w:val="en-US" w:eastAsia="zh-CN" w:bidi="ar-SA"/>
                    </w:rPr>
                  </w:pPr>
                  <w:r>
                    <w:rPr>
                      <w:rFonts w:hint="default" w:ascii="Times New Roman" w:hAnsi="Times New Roman" w:eastAsia="宋体" w:cs="Times New Roman"/>
                      <w:bCs/>
                      <w:color w:val="000000"/>
                      <w:spacing w:val="0"/>
                      <w:szCs w:val="21"/>
                    </w:rPr>
                    <w:t>强化渣土车运输管理，依法从严查处无证运输、冒尖运输、不按规定路线和时间运输、带泥上路、沿街抛洒等行为。城市建成区、城乡结合部等区域易产生扬尘物料堆放及裸露地块应采取苫盖、植绿等有效抑尘措施。</w:t>
                  </w:r>
                </w:p>
              </w:tc>
              <w:tc>
                <w:tcPr>
                  <w:tcW w:w="1623" w:type="pct"/>
                  <w:shd w:val="clear" w:color="auto" w:fill="auto"/>
                  <w:vAlign w:val="center"/>
                </w:tcPr>
                <w:p w14:paraId="08DED484">
                  <w:pPr>
                    <w:keepNext w:val="0"/>
                    <w:keepLines w:val="0"/>
                    <w:suppressLineNumbers w:val="0"/>
                    <w:spacing w:before="0" w:beforeAutospacing="0" w:after="0" w:afterAutospacing="0"/>
                    <w:ind w:left="0" w:right="6"/>
                    <w:rPr>
                      <w:rFonts w:hint="default" w:ascii="Times New Roman" w:hAnsi="Times New Roman" w:eastAsia="宋体" w:cs="Times New Roman"/>
                      <w:bCs/>
                      <w:color w:val="000000"/>
                      <w:spacing w:val="0"/>
                      <w:szCs w:val="21"/>
                    </w:rPr>
                  </w:pPr>
                  <w:r>
                    <w:rPr>
                      <w:rFonts w:hint="default" w:ascii="Times New Roman" w:hAnsi="Times New Roman" w:eastAsia="宋体" w:cs="Times New Roman"/>
                      <w:bCs/>
                      <w:color w:val="000000"/>
                      <w:spacing w:val="0"/>
                      <w:szCs w:val="21"/>
                    </w:rPr>
                    <w:t>本项目施工场地执行“六个百分百”要求，可满足《施工场界扬尘排放限值》（DB61/1078-2017）要求；遇特殊天气将根据要求停止相应施工作业；</w:t>
                  </w:r>
                </w:p>
                <w:p w14:paraId="02BD3A98">
                  <w:pPr>
                    <w:keepNext w:val="0"/>
                    <w:keepLines w:val="0"/>
                    <w:suppressLineNumbers w:val="0"/>
                    <w:spacing w:before="0" w:beforeAutospacing="0" w:after="0" w:afterAutospacing="0"/>
                    <w:ind w:left="0" w:right="6" w:rightChars="0"/>
                    <w:rPr>
                      <w:rFonts w:hint="default" w:ascii="Times New Roman" w:hAnsi="Times New Roman" w:eastAsia="宋体" w:cs="Times New Roman"/>
                      <w:color w:val="000000"/>
                      <w:spacing w:val="0"/>
                      <w:kern w:val="2"/>
                      <w:sz w:val="21"/>
                      <w:szCs w:val="24"/>
                      <w:lang w:val="en-US" w:eastAsia="zh-CN" w:bidi="ar-SA"/>
                    </w:rPr>
                  </w:pPr>
                  <w:r>
                    <w:rPr>
                      <w:rFonts w:hint="default" w:ascii="Times New Roman" w:hAnsi="Times New Roman" w:eastAsia="宋体" w:cs="Times New Roman"/>
                      <w:bCs/>
                      <w:color w:val="000000"/>
                      <w:spacing w:val="0"/>
                      <w:szCs w:val="21"/>
                    </w:rPr>
                    <w:t>本项目为</w:t>
                  </w:r>
                  <w:r>
                    <w:rPr>
                      <w:rFonts w:hint="eastAsia" w:ascii="Times New Roman" w:hAnsi="Times New Roman" w:eastAsia="宋体" w:cs="Times New Roman"/>
                      <w:bCs/>
                      <w:color w:val="000000"/>
                      <w:spacing w:val="0"/>
                      <w:szCs w:val="21"/>
                      <w:lang w:eastAsia="zh-CN"/>
                    </w:rPr>
                    <w:t>污水处理项目</w:t>
                  </w:r>
                  <w:r>
                    <w:rPr>
                      <w:rFonts w:hint="default" w:ascii="Times New Roman" w:hAnsi="Times New Roman" w:eastAsia="宋体" w:cs="Times New Roman"/>
                      <w:bCs/>
                      <w:color w:val="000000"/>
                      <w:spacing w:val="0"/>
                      <w:szCs w:val="21"/>
                    </w:rPr>
                    <w:t>，无渣土外运；施工物料、裸露地块采取苫盖、植绿等有效抑尘措施</w:t>
                  </w:r>
                </w:p>
              </w:tc>
              <w:tc>
                <w:tcPr>
                  <w:tcW w:w="387" w:type="pct"/>
                  <w:shd w:val="clear" w:color="auto" w:fill="auto"/>
                  <w:vAlign w:val="center"/>
                </w:tcPr>
                <w:p w14:paraId="3CC35B3A">
                  <w:pPr>
                    <w:keepNext w:val="0"/>
                    <w:keepLines w:val="0"/>
                    <w:suppressLineNumbers w:val="0"/>
                    <w:spacing w:before="0" w:beforeAutospacing="0" w:after="0" w:afterAutospacing="0"/>
                    <w:ind w:left="0" w:right="6" w:rightChars="0"/>
                    <w:jc w:val="center"/>
                    <w:rPr>
                      <w:rFonts w:hint="default" w:ascii="Times New Roman" w:hAnsi="Times New Roman" w:eastAsia="宋体" w:cs="Times New Roman"/>
                      <w:color w:val="000000"/>
                      <w:spacing w:val="0"/>
                      <w:kern w:val="2"/>
                      <w:sz w:val="21"/>
                      <w:szCs w:val="24"/>
                      <w:lang w:val="en-US" w:eastAsia="zh-CN" w:bidi="ar-SA"/>
                    </w:rPr>
                  </w:pPr>
                  <w:r>
                    <w:rPr>
                      <w:rFonts w:hint="default" w:ascii="Times New Roman" w:hAnsi="Times New Roman" w:eastAsia="宋体" w:cs="Times New Roman"/>
                      <w:bCs/>
                      <w:color w:val="000000"/>
                      <w:spacing w:val="0"/>
                      <w:szCs w:val="21"/>
                    </w:rPr>
                    <w:t>符合</w:t>
                  </w:r>
                </w:p>
              </w:tc>
            </w:tr>
          </w:tbl>
          <w:p w14:paraId="428F0ABB">
            <w:pPr>
              <w:keepNext w:val="0"/>
              <w:keepLines w:val="0"/>
              <w:suppressLineNumbers w:val="0"/>
              <w:spacing w:before="0" w:beforeAutospacing="0" w:after="0" w:afterAutospacing="0" w:line="360" w:lineRule="auto"/>
              <w:ind w:left="482" w:right="0"/>
              <w:rPr>
                <w:rFonts w:hint="default"/>
                <w:b/>
                <w:color w:val="000000"/>
                <w:spacing w:val="0"/>
                <w:sz w:val="24"/>
                <w:lang w:bidi="ar"/>
              </w:rPr>
            </w:pPr>
            <w:r>
              <w:rPr>
                <w:rFonts w:hint="eastAsia"/>
                <w:b/>
                <w:color w:val="000000"/>
                <w:spacing w:val="0"/>
                <w:sz w:val="24"/>
                <w:lang w:val="en-US" w:eastAsia="zh-CN" w:bidi="ar"/>
              </w:rPr>
              <w:t>2</w:t>
            </w:r>
            <w:r>
              <w:rPr>
                <w:rFonts w:hint="eastAsia"/>
                <w:b/>
                <w:color w:val="000000"/>
                <w:spacing w:val="0"/>
                <w:sz w:val="24"/>
                <w:lang w:bidi="ar"/>
              </w:rPr>
              <w:t>、与“三线一单”的符合性分析</w:t>
            </w:r>
          </w:p>
          <w:p w14:paraId="484D97D8">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000000"/>
                <w:spacing w:val="0"/>
                <w:kern w:val="0"/>
                <w:sz w:val="24"/>
                <w:szCs w:val="24"/>
                <w:lang w:val="en-US" w:eastAsia="zh-CN" w:bidi="ar"/>
              </w:rPr>
            </w:pPr>
            <w:r>
              <w:rPr>
                <w:rFonts w:hint="default"/>
                <w:color w:val="000000"/>
                <w:spacing w:val="0"/>
                <w:sz w:val="24"/>
              </w:rPr>
              <w:t>根据</w:t>
            </w:r>
            <w:r>
              <w:rPr>
                <w:rFonts w:hint="eastAsia" w:ascii="宋体" w:hAnsi="宋体" w:eastAsia="宋体" w:cs="宋体"/>
                <w:color w:val="000000"/>
                <w:spacing w:val="0"/>
                <w:kern w:val="0"/>
                <w:sz w:val="24"/>
                <w:szCs w:val="24"/>
                <w:lang w:val="en-US" w:eastAsia="zh-CN" w:bidi="ar"/>
              </w:rPr>
              <w:t>陕西省生态环境厅文件陕环办发〔</w:t>
            </w:r>
            <w:r>
              <w:rPr>
                <w:rFonts w:hint="default" w:ascii="Times New Roman" w:hAnsi="Times New Roman" w:eastAsia="宋体" w:cs="Times New Roman"/>
                <w:color w:val="000000"/>
                <w:spacing w:val="0"/>
                <w:kern w:val="0"/>
                <w:sz w:val="24"/>
                <w:szCs w:val="24"/>
                <w:lang w:val="en-US" w:eastAsia="zh-CN" w:bidi="ar"/>
              </w:rPr>
              <w:t>2022</w:t>
            </w:r>
            <w:r>
              <w:rPr>
                <w:rFonts w:hint="eastAsia" w:ascii="宋体" w:hAnsi="宋体" w:eastAsia="宋体" w:cs="宋体"/>
                <w:color w:val="000000"/>
                <w:spacing w:val="0"/>
                <w:kern w:val="0"/>
                <w:sz w:val="24"/>
                <w:szCs w:val="24"/>
                <w:lang w:val="en-US" w:eastAsia="zh-CN" w:bidi="ar"/>
              </w:rPr>
              <w:t>〕</w:t>
            </w:r>
            <w:r>
              <w:rPr>
                <w:rFonts w:hint="default" w:ascii="Times New Roman" w:hAnsi="Times New Roman" w:eastAsia="宋体" w:cs="Times New Roman"/>
                <w:color w:val="000000"/>
                <w:spacing w:val="0"/>
                <w:kern w:val="0"/>
                <w:sz w:val="24"/>
                <w:szCs w:val="24"/>
                <w:lang w:val="en-US" w:eastAsia="zh-CN" w:bidi="ar"/>
              </w:rPr>
              <w:t>76</w:t>
            </w:r>
            <w:r>
              <w:rPr>
                <w:rFonts w:hint="eastAsia" w:ascii="宋体" w:hAnsi="宋体" w:eastAsia="宋体" w:cs="宋体"/>
                <w:color w:val="000000"/>
                <w:spacing w:val="0"/>
                <w:kern w:val="0"/>
                <w:sz w:val="24"/>
                <w:szCs w:val="24"/>
                <w:lang w:val="en-US" w:eastAsia="zh-CN" w:bidi="ar"/>
              </w:rPr>
              <w:t>号文件，《陕西省</w:t>
            </w:r>
            <w:r>
              <w:rPr>
                <w:rFonts w:hint="default" w:ascii="Times New Roman" w:hAnsi="Times New Roman" w:eastAsia="宋体" w:cs="Times New Roman"/>
                <w:color w:val="000000"/>
                <w:spacing w:val="0"/>
                <w:kern w:val="0"/>
                <w:sz w:val="24"/>
                <w:szCs w:val="24"/>
                <w:lang w:val="en-US" w:eastAsia="zh-CN" w:bidi="ar"/>
              </w:rPr>
              <w:t>“</w:t>
            </w:r>
            <w:r>
              <w:rPr>
                <w:rFonts w:hint="eastAsia" w:ascii="宋体" w:hAnsi="宋体" w:eastAsia="宋体" w:cs="宋体"/>
                <w:color w:val="000000"/>
                <w:spacing w:val="0"/>
                <w:kern w:val="0"/>
                <w:sz w:val="24"/>
                <w:szCs w:val="24"/>
                <w:lang w:val="en-US" w:eastAsia="zh-CN" w:bidi="ar"/>
              </w:rPr>
              <w:t>三线一单</w:t>
            </w:r>
            <w:r>
              <w:rPr>
                <w:rFonts w:hint="default" w:ascii="Times New Roman" w:hAnsi="Times New Roman" w:eastAsia="宋体" w:cs="Times New Roman"/>
                <w:color w:val="000000"/>
                <w:spacing w:val="0"/>
                <w:kern w:val="0"/>
                <w:sz w:val="24"/>
                <w:szCs w:val="24"/>
                <w:lang w:val="en-US" w:eastAsia="zh-CN" w:bidi="ar"/>
              </w:rPr>
              <w:t>”</w:t>
            </w:r>
            <w:r>
              <w:rPr>
                <w:rFonts w:hint="eastAsia" w:ascii="宋体" w:hAnsi="宋体" w:eastAsia="宋体" w:cs="宋体"/>
                <w:color w:val="000000"/>
                <w:spacing w:val="0"/>
                <w:kern w:val="0"/>
                <w:sz w:val="24"/>
                <w:szCs w:val="24"/>
                <w:lang w:val="en-US" w:eastAsia="zh-CN" w:bidi="ar"/>
              </w:rPr>
              <w:t>生态环境分区管理应用技术指南》：环境影响评价（试行）通知，进行建设项目与</w:t>
            </w:r>
            <w:r>
              <w:rPr>
                <w:rFonts w:hint="default" w:ascii="Times New Roman" w:hAnsi="Times New Roman" w:eastAsia="宋体" w:cs="Times New Roman"/>
                <w:color w:val="000000"/>
                <w:spacing w:val="0"/>
                <w:kern w:val="0"/>
                <w:sz w:val="24"/>
                <w:szCs w:val="24"/>
                <w:lang w:val="en-US" w:eastAsia="zh-CN" w:bidi="ar"/>
              </w:rPr>
              <w:t>“</w:t>
            </w:r>
            <w:r>
              <w:rPr>
                <w:rFonts w:hint="eastAsia" w:ascii="宋体" w:hAnsi="宋体" w:eastAsia="宋体" w:cs="宋体"/>
                <w:color w:val="000000"/>
                <w:spacing w:val="0"/>
                <w:kern w:val="0"/>
                <w:sz w:val="24"/>
                <w:szCs w:val="24"/>
                <w:lang w:val="en-US" w:eastAsia="zh-CN" w:bidi="ar"/>
              </w:rPr>
              <w:t>三线一单</w:t>
            </w:r>
            <w:r>
              <w:rPr>
                <w:rFonts w:hint="default" w:ascii="Times New Roman" w:hAnsi="Times New Roman" w:eastAsia="宋体" w:cs="Times New Roman"/>
                <w:color w:val="000000"/>
                <w:spacing w:val="0"/>
                <w:kern w:val="0"/>
                <w:sz w:val="24"/>
                <w:szCs w:val="24"/>
                <w:lang w:val="en-US" w:eastAsia="zh-CN" w:bidi="ar"/>
              </w:rPr>
              <w:t>”</w:t>
            </w:r>
            <w:r>
              <w:rPr>
                <w:rFonts w:hint="eastAsia" w:ascii="宋体" w:hAnsi="宋体" w:eastAsia="宋体" w:cs="宋体"/>
                <w:color w:val="000000"/>
                <w:spacing w:val="0"/>
                <w:kern w:val="0"/>
                <w:sz w:val="24"/>
                <w:szCs w:val="24"/>
                <w:lang w:val="en-US" w:eastAsia="zh-CN" w:bidi="ar"/>
              </w:rPr>
              <w:t>生态环境分区管控符合性分析，采用一图、一表、一说明的形式表达。本项目通过陕西省</w:t>
            </w:r>
            <w:r>
              <w:rPr>
                <w:rFonts w:hint="default" w:ascii="Times New Roman" w:hAnsi="Times New Roman" w:eastAsia="宋体" w:cs="Times New Roman"/>
                <w:color w:val="000000"/>
                <w:spacing w:val="0"/>
                <w:kern w:val="0"/>
                <w:sz w:val="24"/>
                <w:szCs w:val="24"/>
                <w:lang w:val="en-US" w:eastAsia="zh-CN" w:bidi="ar"/>
              </w:rPr>
              <w:t>“</w:t>
            </w:r>
            <w:r>
              <w:rPr>
                <w:rFonts w:hint="eastAsia" w:ascii="宋体" w:hAnsi="宋体" w:eastAsia="宋体" w:cs="宋体"/>
                <w:color w:val="000000"/>
                <w:spacing w:val="0"/>
                <w:kern w:val="0"/>
                <w:sz w:val="24"/>
                <w:szCs w:val="24"/>
                <w:lang w:val="en-US" w:eastAsia="zh-CN" w:bidi="ar"/>
              </w:rPr>
              <w:t>三线一单</w:t>
            </w:r>
            <w:r>
              <w:rPr>
                <w:rFonts w:hint="default" w:ascii="Times New Roman" w:hAnsi="Times New Roman" w:eastAsia="宋体" w:cs="Times New Roman"/>
                <w:color w:val="000000"/>
                <w:spacing w:val="0"/>
                <w:kern w:val="0"/>
                <w:sz w:val="24"/>
                <w:szCs w:val="24"/>
                <w:lang w:val="en-US" w:eastAsia="zh-CN" w:bidi="ar"/>
              </w:rPr>
              <w:t>”</w:t>
            </w:r>
            <w:r>
              <w:rPr>
                <w:rFonts w:hint="eastAsia" w:ascii="宋体" w:hAnsi="宋体" w:eastAsia="宋体" w:cs="宋体"/>
                <w:color w:val="000000"/>
                <w:spacing w:val="0"/>
                <w:kern w:val="0"/>
                <w:sz w:val="24"/>
                <w:szCs w:val="24"/>
                <w:lang w:val="en-US" w:eastAsia="zh-CN" w:bidi="ar"/>
              </w:rPr>
              <w:t>数据应用分析平台（</w:t>
            </w:r>
            <w:r>
              <w:rPr>
                <w:rFonts w:hint="default" w:ascii="Times New Roman" w:hAnsi="Times New Roman" w:eastAsia="宋体" w:cs="Times New Roman"/>
                <w:color w:val="000000"/>
                <w:spacing w:val="0"/>
                <w:kern w:val="0"/>
                <w:sz w:val="24"/>
                <w:szCs w:val="24"/>
                <w:lang w:val="en-US" w:eastAsia="zh-CN" w:bidi="ar"/>
              </w:rPr>
              <w:t>V1.0</w:t>
            </w:r>
            <w:r>
              <w:rPr>
                <w:rFonts w:hint="eastAsia" w:ascii="宋体" w:hAnsi="宋体" w:eastAsia="宋体" w:cs="宋体"/>
                <w:color w:val="000000"/>
                <w:spacing w:val="0"/>
                <w:kern w:val="0"/>
                <w:sz w:val="24"/>
                <w:szCs w:val="24"/>
                <w:lang w:val="en-US" w:eastAsia="zh-CN" w:bidi="ar"/>
              </w:rPr>
              <w:t>）冲突分析可知，本项目位于重点管控单元、一般管控单元。</w:t>
            </w:r>
          </w:p>
          <w:p w14:paraId="6480B447">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000000"/>
                <w:spacing w:val="0"/>
                <w:kern w:val="24"/>
                <w:szCs w:val="21"/>
              </w:rPr>
            </w:pPr>
            <w:r>
              <w:rPr>
                <w:rFonts w:hint="eastAsia" w:ascii="Times New Roman" w:hAnsi="Times New Roman" w:eastAsia="宋体" w:cs="Times New Roman"/>
                <w:b/>
                <w:bCs/>
                <w:color w:val="000000"/>
                <w:spacing w:val="0"/>
                <w:kern w:val="24"/>
                <w:szCs w:val="21"/>
                <w:lang w:val="en-US" w:eastAsia="zh-CN"/>
              </w:rPr>
              <w:t>表</w:t>
            </w:r>
            <w:r>
              <w:rPr>
                <w:rFonts w:hint="default" w:ascii="Times New Roman" w:hAnsi="Times New Roman" w:eastAsia="宋体" w:cs="Times New Roman"/>
                <w:b/>
                <w:bCs/>
                <w:color w:val="000000"/>
                <w:spacing w:val="0"/>
                <w:kern w:val="24"/>
                <w:szCs w:val="21"/>
                <w:lang w:val="en-US" w:eastAsia="zh-CN"/>
              </w:rPr>
              <w:t>1-</w:t>
            </w:r>
            <w:r>
              <w:rPr>
                <w:rFonts w:hint="eastAsia" w:ascii="Times New Roman" w:hAnsi="Times New Roman" w:eastAsia="宋体" w:cs="Times New Roman"/>
                <w:b/>
                <w:bCs/>
                <w:color w:val="000000"/>
                <w:spacing w:val="0"/>
                <w:kern w:val="24"/>
                <w:szCs w:val="21"/>
                <w:lang w:val="en-US" w:eastAsia="zh-CN"/>
              </w:rPr>
              <w:t>3</w:t>
            </w:r>
            <w:r>
              <w:rPr>
                <w:rFonts w:hint="default" w:ascii="Times New Roman" w:hAnsi="Times New Roman" w:eastAsia="宋体" w:cs="Times New Roman"/>
                <w:b/>
                <w:bCs/>
                <w:color w:val="000000"/>
                <w:spacing w:val="0"/>
                <w:kern w:val="24"/>
                <w:szCs w:val="21"/>
                <w:lang w:val="en-US" w:eastAsia="zh-CN"/>
              </w:rPr>
              <w:t xml:space="preserve"> </w:t>
            </w:r>
            <w:r>
              <w:rPr>
                <w:rFonts w:hint="eastAsia" w:ascii="Times New Roman" w:hAnsi="Times New Roman" w:eastAsia="宋体" w:cs="Times New Roman"/>
                <w:b/>
                <w:bCs/>
                <w:color w:val="000000"/>
                <w:spacing w:val="0"/>
                <w:kern w:val="24"/>
                <w:szCs w:val="21"/>
                <w:lang w:val="en-US" w:eastAsia="zh-CN"/>
              </w:rPr>
              <w:t xml:space="preserve"> 环境管控单元涉及情况一览表</w:t>
            </w:r>
          </w:p>
          <w:tbl>
            <w:tblPr>
              <w:tblStyle w:val="22"/>
              <w:tblW w:w="81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33"/>
              <w:gridCol w:w="2231"/>
              <w:gridCol w:w="2734"/>
            </w:tblGrid>
            <w:tr w14:paraId="65F2C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3233" w:type="dxa"/>
                  <w:noWrap w:val="0"/>
                  <w:vAlign w:val="center"/>
                </w:tcPr>
                <w:p w14:paraId="480C71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环境管控单元分类</w:t>
                  </w:r>
                </w:p>
              </w:tc>
              <w:tc>
                <w:tcPr>
                  <w:tcW w:w="2231" w:type="dxa"/>
                  <w:noWrap w:val="0"/>
                  <w:vAlign w:val="center"/>
                </w:tcPr>
                <w:p w14:paraId="7FCEC9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是否涉及</w:t>
                  </w:r>
                </w:p>
              </w:tc>
              <w:tc>
                <w:tcPr>
                  <w:tcW w:w="2734" w:type="dxa"/>
                  <w:noWrap w:val="0"/>
                  <w:vAlign w:val="center"/>
                </w:tcPr>
                <w:p w14:paraId="70EAB6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面积</w:t>
                  </w:r>
                  <w:r>
                    <w:rPr>
                      <w:rFonts w:hint="default" w:ascii="Times New Roman" w:hAnsi="Times New Roman" w:eastAsia="宋体" w:cs="Times New Roman"/>
                      <w:bCs/>
                      <w:color w:val="000000"/>
                      <w:spacing w:val="0"/>
                      <w:szCs w:val="21"/>
                      <w:lang w:val="en-US" w:eastAsia="zh-CN"/>
                    </w:rPr>
                    <w:t>/</w:t>
                  </w:r>
                  <w:r>
                    <w:rPr>
                      <w:rFonts w:hint="eastAsia" w:ascii="Times New Roman" w:hAnsi="Times New Roman" w:eastAsia="宋体" w:cs="Times New Roman"/>
                      <w:bCs/>
                      <w:color w:val="000000"/>
                      <w:spacing w:val="0"/>
                      <w:szCs w:val="21"/>
                      <w:lang w:val="en-US" w:eastAsia="zh-CN"/>
                    </w:rPr>
                    <w:t>长度</w:t>
                  </w:r>
                </w:p>
              </w:tc>
            </w:tr>
            <w:tr w14:paraId="5341E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3233" w:type="dxa"/>
                  <w:noWrap w:val="0"/>
                  <w:vAlign w:val="center"/>
                </w:tcPr>
                <w:p w14:paraId="62D3F6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优先保护单元</w:t>
                  </w:r>
                </w:p>
              </w:tc>
              <w:tc>
                <w:tcPr>
                  <w:tcW w:w="2231" w:type="dxa"/>
                  <w:noWrap w:val="0"/>
                  <w:vAlign w:val="center"/>
                </w:tcPr>
                <w:p w14:paraId="301BFC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否</w:t>
                  </w:r>
                </w:p>
              </w:tc>
              <w:tc>
                <w:tcPr>
                  <w:tcW w:w="2734" w:type="dxa"/>
                  <w:noWrap w:val="0"/>
                  <w:vAlign w:val="center"/>
                </w:tcPr>
                <w:p w14:paraId="709263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0平方米</w:t>
                  </w:r>
                </w:p>
              </w:tc>
            </w:tr>
            <w:tr w14:paraId="32052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3233" w:type="dxa"/>
                  <w:noWrap w:val="0"/>
                  <w:vAlign w:val="center"/>
                </w:tcPr>
                <w:p w14:paraId="70AE7E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重点管控单元</w:t>
                  </w:r>
                </w:p>
              </w:tc>
              <w:tc>
                <w:tcPr>
                  <w:tcW w:w="2231" w:type="dxa"/>
                  <w:noWrap w:val="0"/>
                  <w:vAlign w:val="center"/>
                </w:tcPr>
                <w:p w14:paraId="239801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是</w:t>
                  </w:r>
                </w:p>
              </w:tc>
              <w:tc>
                <w:tcPr>
                  <w:tcW w:w="2734" w:type="dxa"/>
                  <w:noWrap w:val="0"/>
                  <w:vAlign w:val="center"/>
                </w:tcPr>
                <w:p w14:paraId="3A3B52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14351.6平方米</w:t>
                  </w:r>
                </w:p>
              </w:tc>
            </w:tr>
            <w:tr w14:paraId="17941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3233" w:type="dxa"/>
                  <w:noWrap w:val="0"/>
                  <w:vAlign w:val="center"/>
                </w:tcPr>
                <w:p w14:paraId="7AFD0A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一般管控单元</w:t>
                  </w:r>
                </w:p>
              </w:tc>
              <w:tc>
                <w:tcPr>
                  <w:tcW w:w="2231" w:type="dxa"/>
                  <w:noWrap w:val="0"/>
                  <w:vAlign w:val="center"/>
                </w:tcPr>
                <w:p w14:paraId="43770F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否</w:t>
                  </w:r>
                </w:p>
              </w:tc>
              <w:tc>
                <w:tcPr>
                  <w:tcW w:w="2734" w:type="dxa"/>
                  <w:noWrap w:val="0"/>
                  <w:vAlign w:val="center"/>
                </w:tcPr>
                <w:p w14:paraId="5DDA1E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Cs/>
                      <w:color w:val="000000"/>
                      <w:spacing w:val="0"/>
                      <w:szCs w:val="21"/>
                      <w:lang w:val="en-US" w:eastAsia="zh-CN"/>
                    </w:rPr>
                  </w:pPr>
                  <w:r>
                    <w:rPr>
                      <w:rFonts w:hint="eastAsia" w:ascii="Times New Roman" w:hAnsi="Times New Roman" w:eastAsia="宋体" w:cs="Times New Roman"/>
                      <w:bCs/>
                      <w:color w:val="000000"/>
                      <w:spacing w:val="0"/>
                      <w:szCs w:val="21"/>
                      <w:lang w:val="en-US" w:eastAsia="zh-CN"/>
                    </w:rPr>
                    <w:t>0平方米</w:t>
                  </w:r>
                </w:p>
              </w:tc>
            </w:tr>
          </w:tbl>
          <w:p w14:paraId="73F25AC0">
            <w:pPr>
              <w:keepNext w:val="0"/>
              <w:keepLines w:val="0"/>
              <w:numPr>
                <w:ilvl w:val="0"/>
                <w:numId w:val="1"/>
              </w:numPr>
              <w:suppressLineNumbers w:val="0"/>
              <w:spacing w:before="0" w:beforeAutospacing="0" w:after="0" w:afterAutospacing="0" w:line="360" w:lineRule="auto"/>
              <w:ind w:left="0" w:right="0" w:firstLine="480" w:firstLineChars="200"/>
              <w:rPr>
                <w:rFonts w:hint="eastAsia"/>
                <w:color w:val="000000"/>
                <w:spacing w:val="0"/>
                <w:sz w:val="24"/>
              </w:rPr>
            </w:pPr>
            <w:r>
              <w:rPr>
                <w:rFonts w:hint="eastAsia"/>
                <w:color w:val="000000"/>
                <w:spacing w:val="0"/>
                <w:sz w:val="24"/>
              </w:rPr>
              <w:t>“一图”：空间冲突附图</w:t>
            </w:r>
          </w:p>
          <w:p w14:paraId="14D077B4">
            <w:pPr>
              <w:keepNext w:val="0"/>
              <w:keepLines w:val="0"/>
              <w:suppressLineNumbers w:val="0"/>
              <w:spacing w:before="0" w:beforeAutospacing="0" w:after="0" w:afterAutospacing="0" w:line="360" w:lineRule="auto"/>
              <w:ind w:left="0" w:right="0" w:firstLine="480" w:firstLineChars="200"/>
              <w:rPr>
                <w:rFonts w:hint="default"/>
                <w:color w:val="auto"/>
                <w:spacing w:val="0"/>
                <w:sz w:val="24"/>
              </w:rPr>
            </w:pPr>
            <w:r>
              <w:rPr>
                <w:rFonts w:hint="eastAsia"/>
                <w:color w:val="000000"/>
                <w:spacing w:val="0"/>
                <w:sz w:val="24"/>
              </w:rPr>
              <w:t>根据陕西省“三线一单”数据应用分析平台（V1.0）冲突分析形成空间冲突附图，图中所示本项</w:t>
            </w:r>
            <w:r>
              <w:rPr>
                <w:rFonts w:hint="eastAsia"/>
                <w:color w:val="auto"/>
                <w:spacing w:val="0"/>
                <w:sz w:val="24"/>
              </w:rPr>
              <w:t>目位于</w:t>
            </w:r>
            <w:r>
              <w:rPr>
                <w:rFonts w:hint="eastAsia"/>
                <w:i w:val="0"/>
                <w:iCs w:val="0"/>
                <w:color w:val="auto"/>
                <w:spacing w:val="0"/>
                <w:sz w:val="24"/>
                <w:lang w:val="en-US" w:eastAsia="zh-CN"/>
              </w:rPr>
              <w:t>陕西省宝鸡市陇县重点管控单元4</w:t>
            </w:r>
            <w:r>
              <w:rPr>
                <w:rFonts w:hint="eastAsia"/>
                <w:color w:val="auto"/>
                <w:spacing w:val="0"/>
                <w:sz w:val="24"/>
              </w:rPr>
              <w:t>。管控单元对照空间冲突附图如下</w:t>
            </w:r>
            <w:r>
              <w:rPr>
                <w:rFonts w:hint="default"/>
                <w:color w:val="auto"/>
                <w:spacing w:val="0"/>
                <w:sz w:val="24"/>
              </w:rPr>
              <w:t>。</w:t>
            </w:r>
          </w:p>
          <w:p w14:paraId="232A2B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color w:val="000000"/>
                <w:spacing w:val="0"/>
                <w:lang w:val="en-US" w:eastAsia="zh-CN"/>
              </w:rPr>
            </w:pPr>
            <w:r>
              <w:rPr>
                <w:rFonts w:hint="default"/>
                <w:spacing w:val="0"/>
              </w:rPr>
              <w:drawing>
                <wp:inline distT="0" distB="0" distL="114300" distR="114300">
                  <wp:extent cx="4934585" cy="5828665"/>
                  <wp:effectExtent l="0" t="0" r="18415" b="63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8"/>
                          <a:stretch>
                            <a:fillRect/>
                          </a:stretch>
                        </pic:blipFill>
                        <pic:spPr>
                          <a:xfrm>
                            <a:off x="0" y="0"/>
                            <a:ext cx="4934585" cy="5828665"/>
                          </a:xfrm>
                          <a:prstGeom prst="rect">
                            <a:avLst/>
                          </a:prstGeom>
                          <a:noFill/>
                          <a:ln>
                            <a:noFill/>
                          </a:ln>
                        </pic:spPr>
                      </pic:pic>
                    </a:graphicData>
                  </a:graphic>
                </wp:inline>
              </w:drawing>
            </w:r>
          </w:p>
          <w:p w14:paraId="354C48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textAlignment w:val="auto"/>
              <w:rPr>
                <w:rFonts w:hint="default" w:ascii="Times New Roman" w:hAnsi="Times New Roman" w:eastAsia="宋体" w:cs="Times New Roman"/>
                <w:color w:val="auto"/>
                <w:spacing w:val="0"/>
                <w:w w:val="100"/>
                <w:sz w:val="24"/>
                <w:szCs w:val="24"/>
                <w:lang w:eastAsia="zh-CN"/>
              </w:rPr>
            </w:pPr>
            <w:r>
              <w:rPr>
                <w:rFonts w:hint="eastAsia"/>
                <w:color w:val="000000"/>
                <w:spacing w:val="0"/>
                <w:lang w:val="en-US" w:eastAsia="zh-CN"/>
              </w:rPr>
              <w:t>图1-1</w:t>
            </w:r>
            <w:r>
              <w:rPr>
                <w:rFonts w:hint="eastAsia" w:ascii="Times New Roman" w:hAnsi="Times New Roman" w:eastAsia="宋体" w:cs="Times New Roman"/>
                <w:color w:val="000000"/>
                <w:spacing w:val="0"/>
                <w:sz w:val="24"/>
                <w:lang w:val="en-US" w:eastAsia="zh-CN"/>
              </w:rPr>
              <w:t xml:space="preserve">  项目“三线一单”空间冲突图</w:t>
            </w:r>
          </w:p>
          <w:p w14:paraId="36E7EC44">
            <w:pPr>
              <w:keepNext w:val="0"/>
              <w:keepLines w:val="0"/>
              <w:widowControl/>
              <w:numPr>
                <w:ilvl w:val="0"/>
                <w:numId w:val="1"/>
              </w:numPr>
              <w:suppressLineNumbers w:val="0"/>
              <w:spacing w:before="0" w:beforeAutospacing="0" w:after="0" w:afterAutospacing="0"/>
              <w:ind w:left="0" w:leftChars="0" w:right="0" w:firstLine="480" w:firstLineChars="200"/>
              <w:jc w:val="both"/>
              <w:rPr>
                <w:rFonts w:hint="default" w:ascii="Times New Roman" w:hAnsi="Times New Roman" w:eastAsia="宋体" w:cs="Times New Roman"/>
                <w:color w:val="000000"/>
                <w:spacing w:val="0"/>
                <w:sz w:val="24"/>
                <w:lang w:val="en-US" w:eastAsia="zh-CN"/>
              </w:rPr>
            </w:pPr>
            <w:r>
              <w:rPr>
                <w:rFonts w:hint="default" w:ascii="Times New Roman" w:hAnsi="Times New Roman" w:eastAsia="宋体" w:cs="Times New Roman"/>
                <w:color w:val="000000"/>
                <w:spacing w:val="0"/>
                <w:sz w:val="24"/>
                <w:lang w:val="en-US" w:eastAsia="zh-CN"/>
              </w:rPr>
              <w:t>“一表”：项目涉及的生态环境管控单元管控要求</w:t>
            </w:r>
          </w:p>
          <w:p w14:paraId="5730CEC4">
            <w:pPr>
              <w:keepNext w:val="0"/>
              <w:keepLines w:val="0"/>
              <w:suppressLineNumbers w:val="0"/>
              <w:spacing w:before="0" w:beforeAutospacing="0" w:after="0" w:afterAutospacing="0"/>
              <w:ind w:left="0" w:right="0"/>
              <w:jc w:val="center"/>
              <w:rPr>
                <w:rFonts w:hint="default"/>
                <w:b/>
                <w:color w:val="000000"/>
                <w:spacing w:val="0"/>
                <w:kern w:val="24"/>
                <w:szCs w:val="21"/>
              </w:rPr>
            </w:pPr>
            <w:r>
              <w:rPr>
                <w:rFonts w:hint="default"/>
                <w:b/>
                <w:color w:val="000000"/>
                <w:spacing w:val="0"/>
                <w:szCs w:val="21"/>
              </w:rPr>
              <w:t>表1-</w:t>
            </w:r>
            <w:r>
              <w:rPr>
                <w:rFonts w:hint="eastAsia"/>
                <w:b/>
                <w:color w:val="000000"/>
                <w:spacing w:val="0"/>
                <w:szCs w:val="21"/>
                <w:lang w:val="en-US" w:eastAsia="zh-CN"/>
              </w:rPr>
              <w:t>4</w:t>
            </w:r>
            <w:r>
              <w:rPr>
                <w:rFonts w:hint="default"/>
                <w:b/>
                <w:color w:val="000000"/>
                <w:spacing w:val="0"/>
                <w:szCs w:val="21"/>
              </w:rPr>
              <w:t xml:space="preserve">   </w:t>
            </w:r>
            <w:r>
              <w:rPr>
                <w:rFonts w:hint="default"/>
                <w:b/>
                <w:color w:val="000000"/>
                <w:spacing w:val="0"/>
                <w:kern w:val="24"/>
                <w:szCs w:val="21"/>
              </w:rPr>
              <w:t>生态环境管控单元对照分析结果一览表</w:t>
            </w:r>
          </w:p>
          <w:tbl>
            <w:tblPr>
              <w:tblStyle w:val="21"/>
              <w:tblW w:w="83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83"/>
              <w:gridCol w:w="317"/>
              <w:gridCol w:w="305"/>
              <w:gridCol w:w="388"/>
              <w:gridCol w:w="467"/>
              <w:gridCol w:w="621"/>
              <w:gridCol w:w="4025"/>
              <w:gridCol w:w="1609"/>
              <w:gridCol w:w="364"/>
            </w:tblGrid>
            <w:tr w14:paraId="40B63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34" w:hRule="atLeast"/>
                <w:jc w:val="center"/>
              </w:trPr>
              <w:tc>
                <w:tcPr>
                  <w:tcW w:w="168" w:type="pct"/>
                  <w:noWrap w:val="0"/>
                  <w:tcMar>
                    <w:left w:w="57" w:type="dxa"/>
                    <w:right w:w="57" w:type="dxa"/>
                  </w:tcMar>
                  <w:vAlign w:val="center"/>
                </w:tcPr>
                <w:p w14:paraId="569C980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spacing w:val="0"/>
                      <w:sz w:val="21"/>
                      <w:szCs w:val="21"/>
                    </w:rPr>
                  </w:pPr>
                  <w:r>
                    <w:rPr>
                      <w:rFonts w:hint="default" w:ascii="Times New Roman" w:hAnsi="Times New Roman" w:eastAsia="宋体" w:cs="Times New Roman"/>
                      <w:b/>
                      <w:bCs/>
                      <w:color w:val="000000"/>
                      <w:spacing w:val="0"/>
                      <w:sz w:val="21"/>
                      <w:szCs w:val="21"/>
                    </w:rPr>
                    <w:t>序号</w:t>
                  </w:r>
                </w:p>
              </w:tc>
              <w:tc>
                <w:tcPr>
                  <w:tcW w:w="189" w:type="pct"/>
                  <w:noWrap w:val="0"/>
                  <w:tcMar>
                    <w:left w:w="57" w:type="dxa"/>
                    <w:right w:w="57" w:type="dxa"/>
                  </w:tcMar>
                  <w:vAlign w:val="center"/>
                </w:tcPr>
                <w:p w14:paraId="0A8E3233">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spacing w:val="0"/>
                      <w:sz w:val="21"/>
                      <w:szCs w:val="21"/>
                    </w:rPr>
                  </w:pPr>
                  <w:r>
                    <w:rPr>
                      <w:rFonts w:hint="default" w:ascii="Times New Roman" w:hAnsi="Times New Roman" w:eastAsia="宋体" w:cs="Times New Roman"/>
                      <w:b/>
                      <w:bCs/>
                      <w:color w:val="000000"/>
                      <w:spacing w:val="0"/>
                      <w:sz w:val="21"/>
                      <w:szCs w:val="21"/>
                    </w:rPr>
                    <w:t>市</w:t>
                  </w:r>
                </w:p>
              </w:tc>
              <w:tc>
                <w:tcPr>
                  <w:tcW w:w="182" w:type="pct"/>
                  <w:noWrap w:val="0"/>
                  <w:tcMar>
                    <w:left w:w="57" w:type="dxa"/>
                    <w:right w:w="57" w:type="dxa"/>
                  </w:tcMar>
                  <w:vAlign w:val="center"/>
                </w:tcPr>
                <w:p w14:paraId="6192B89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spacing w:val="0"/>
                      <w:sz w:val="21"/>
                      <w:szCs w:val="21"/>
                    </w:rPr>
                  </w:pPr>
                  <w:r>
                    <w:rPr>
                      <w:rFonts w:hint="default" w:ascii="Times New Roman" w:hAnsi="Times New Roman" w:eastAsia="宋体" w:cs="Times New Roman"/>
                      <w:b/>
                      <w:bCs/>
                      <w:color w:val="000000"/>
                      <w:spacing w:val="0"/>
                      <w:sz w:val="21"/>
                      <w:szCs w:val="21"/>
                    </w:rPr>
                    <w:t>区县</w:t>
                  </w:r>
                </w:p>
              </w:tc>
              <w:tc>
                <w:tcPr>
                  <w:tcW w:w="231" w:type="pct"/>
                  <w:noWrap w:val="0"/>
                  <w:tcMar>
                    <w:left w:w="57" w:type="dxa"/>
                    <w:right w:w="57" w:type="dxa"/>
                  </w:tcMar>
                  <w:vAlign w:val="center"/>
                </w:tcPr>
                <w:p w14:paraId="656FD43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spacing w:val="0"/>
                      <w:sz w:val="21"/>
                      <w:szCs w:val="21"/>
                    </w:rPr>
                  </w:pPr>
                  <w:r>
                    <w:rPr>
                      <w:rFonts w:hint="default" w:ascii="Times New Roman" w:hAnsi="Times New Roman" w:eastAsia="宋体" w:cs="Times New Roman"/>
                      <w:b/>
                      <w:bCs/>
                      <w:color w:val="000000"/>
                      <w:spacing w:val="0"/>
                      <w:sz w:val="21"/>
                      <w:szCs w:val="21"/>
                    </w:rPr>
                    <w:t>环境管控单元名称</w:t>
                  </w:r>
                </w:p>
              </w:tc>
              <w:tc>
                <w:tcPr>
                  <w:tcW w:w="278" w:type="pct"/>
                  <w:noWrap w:val="0"/>
                  <w:tcMar>
                    <w:left w:w="57" w:type="dxa"/>
                    <w:right w:w="57" w:type="dxa"/>
                  </w:tcMar>
                  <w:vAlign w:val="center"/>
                </w:tcPr>
                <w:p w14:paraId="16836A4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spacing w:val="0"/>
                      <w:sz w:val="21"/>
                      <w:szCs w:val="21"/>
                    </w:rPr>
                  </w:pPr>
                  <w:r>
                    <w:rPr>
                      <w:rFonts w:hint="default" w:ascii="Times New Roman" w:hAnsi="Times New Roman" w:eastAsia="宋体" w:cs="Times New Roman"/>
                      <w:b/>
                      <w:bCs/>
                      <w:color w:val="000000"/>
                      <w:spacing w:val="0"/>
                      <w:sz w:val="21"/>
                      <w:szCs w:val="21"/>
                    </w:rPr>
                    <w:t>单元要素属性</w:t>
                  </w:r>
                </w:p>
              </w:tc>
              <w:tc>
                <w:tcPr>
                  <w:tcW w:w="370" w:type="pct"/>
                  <w:noWrap w:val="0"/>
                  <w:tcMar>
                    <w:left w:w="57" w:type="dxa"/>
                    <w:right w:w="57" w:type="dxa"/>
                  </w:tcMar>
                  <w:vAlign w:val="center"/>
                </w:tcPr>
                <w:p w14:paraId="0DBE1582">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spacing w:val="0"/>
                      <w:sz w:val="21"/>
                      <w:szCs w:val="21"/>
                    </w:rPr>
                  </w:pPr>
                  <w:r>
                    <w:rPr>
                      <w:rFonts w:hint="default" w:ascii="Times New Roman" w:hAnsi="Times New Roman" w:eastAsia="宋体" w:cs="Times New Roman"/>
                      <w:b/>
                      <w:bCs/>
                      <w:color w:val="000000"/>
                      <w:spacing w:val="0"/>
                      <w:sz w:val="21"/>
                      <w:szCs w:val="21"/>
                    </w:rPr>
                    <w:t>管控单元分类</w:t>
                  </w:r>
                </w:p>
              </w:tc>
              <w:tc>
                <w:tcPr>
                  <w:tcW w:w="2401" w:type="pct"/>
                  <w:noWrap w:val="0"/>
                  <w:tcMar>
                    <w:left w:w="57" w:type="dxa"/>
                    <w:right w:w="57" w:type="dxa"/>
                  </w:tcMar>
                  <w:vAlign w:val="center"/>
                </w:tcPr>
                <w:p w14:paraId="16C5B315">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spacing w:val="0"/>
                      <w:sz w:val="21"/>
                      <w:szCs w:val="21"/>
                    </w:rPr>
                  </w:pPr>
                  <w:r>
                    <w:rPr>
                      <w:rFonts w:hint="default" w:ascii="Times New Roman" w:hAnsi="Times New Roman" w:eastAsia="宋体" w:cs="Times New Roman"/>
                      <w:b/>
                      <w:bCs/>
                      <w:color w:val="000000"/>
                      <w:spacing w:val="0"/>
                      <w:sz w:val="21"/>
                      <w:szCs w:val="21"/>
                    </w:rPr>
                    <w:t>管控要求</w:t>
                  </w:r>
                </w:p>
              </w:tc>
              <w:tc>
                <w:tcPr>
                  <w:tcW w:w="960" w:type="pct"/>
                  <w:noWrap w:val="0"/>
                  <w:tcMar>
                    <w:left w:w="57" w:type="dxa"/>
                    <w:right w:w="57" w:type="dxa"/>
                  </w:tcMar>
                  <w:vAlign w:val="center"/>
                </w:tcPr>
                <w:p w14:paraId="28AC58D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spacing w:val="0"/>
                      <w:sz w:val="21"/>
                      <w:szCs w:val="21"/>
                    </w:rPr>
                  </w:pPr>
                  <w:r>
                    <w:rPr>
                      <w:rFonts w:hint="default" w:ascii="Times New Roman" w:hAnsi="Times New Roman" w:eastAsia="宋体" w:cs="Times New Roman"/>
                      <w:b/>
                      <w:bCs/>
                      <w:color w:val="000000"/>
                      <w:spacing w:val="0"/>
                      <w:sz w:val="21"/>
                      <w:szCs w:val="21"/>
                    </w:rPr>
                    <w:t>本项目内容</w:t>
                  </w:r>
                </w:p>
              </w:tc>
              <w:tc>
                <w:tcPr>
                  <w:tcW w:w="217" w:type="pct"/>
                  <w:noWrap w:val="0"/>
                  <w:tcMar>
                    <w:left w:w="57" w:type="dxa"/>
                    <w:right w:w="57" w:type="dxa"/>
                  </w:tcMar>
                  <w:vAlign w:val="center"/>
                </w:tcPr>
                <w:p w14:paraId="2152D7C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spacing w:val="0"/>
                      <w:sz w:val="21"/>
                      <w:szCs w:val="21"/>
                    </w:rPr>
                  </w:pPr>
                  <w:r>
                    <w:rPr>
                      <w:rFonts w:hint="default" w:ascii="Times New Roman" w:hAnsi="Times New Roman" w:eastAsia="宋体" w:cs="Times New Roman"/>
                      <w:b/>
                      <w:bCs/>
                      <w:color w:val="000000"/>
                      <w:spacing w:val="0"/>
                      <w:sz w:val="21"/>
                      <w:szCs w:val="21"/>
                    </w:rPr>
                    <w:t>结论</w:t>
                  </w:r>
                </w:p>
              </w:tc>
            </w:tr>
            <w:tr w14:paraId="7F7D2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1" w:hRule="atLeast"/>
                <w:jc w:val="center"/>
              </w:trPr>
              <w:tc>
                <w:tcPr>
                  <w:tcW w:w="168" w:type="pct"/>
                  <w:vMerge w:val="restart"/>
                  <w:noWrap w:val="0"/>
                  <w:tcMar>
                    <w:left w:w="57" w:type="dxa"/>
                    <w:right w:w="57" w:type="dxa"/>
                  </w:tcMar>
                  <w:vAlign w:val="center"/>
                </w:tcPr>
                <w:p w14:paraId="233DDD1C">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1</w:t>
                  </w:r>
                </w:p>
              </w:tc>
              <w:tc>
                <w:tcPr>
                  <w:tcW w:w="189" w:type="pct"/>
                  <w:vMerge w:val="restart"/>
                  <w:noWrap w:val="0"/>
                  <w:tcMar>
                    <w:left w:w="57" w:type="dxa"/>
                    <w:right w:w="57" w:type="dxa"/>
                  </w:tcMar>
                  <w:vAlign w:val="center"/>
                </w:tcPr>
                <w:p w14:paraId="3A3CF569">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宝鸡市</w:t>
                  </w:r>
                </w:p>
              </w:tc>
              <w:tc>
                <w:tcPr>
                  <w:tcW w:w="182" w:type="pct"/>
                  <w:vMerge w:val="restart"/>
                  <w:noWrap w:val="0"/>
                  <w:tcMar>
                    <w:left w:w="57" w:type="dxa"/>
                    <w:right w:w="57" w:type="dxa"/>
                  </w:tcMar>
                  <w:vAlign w:val="center"/>
                </w:tcPr>
                <w:p w14:paraId="3394D672">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eastAsia" w:ascii="Times New Roman" w:hAnsi="Times New Roman" w:eastAsia="宋体" w:cs="Times New Roman"/>
                      <w:bCs/>
                      <w:color w:val="000000"/>
                      <w:spacing w:val="0"/>
                      <w:sz w:val="21"/>
                      <w:szCs w:val="21"/>
                      <w:lang w:val="en-US" w:eastAsia="zh-CN"/>
                    </w:rPr>
                    <w:t>陇县</w:t>
                  </w:r>
                </w:p>
              </w:tc>
              <w:tc>
                <w:tcPr>
                  <w:tcW w:w="231" w:type="pct"/>
                  <w:vMerge w:val="restart"/>
                  <w:noWrap w:val="0"/>
                  <w:tcMar>
                    <w:left w:w="57" w:type="dxa"/>
                    <w:right w:w="57" w:type="dxa"/>
                  </w:tcMar>
                  <w:vAlign w:val="center"/>
                </w:tcPr>
                <w:p w14:paraId="4AC403FE">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陕西省宝鸡市陇县重点管控单元4</w:t>
                  </w:r>
                </w:p>
              </w:tc>
              <w:tc>
                <w:tcPr>
                  <w:tcW w:w="278" w:type="pct"/>
                  <w:vMerge w:val="restart"/>
                  <w:noWrap w:val="0"/>
                  <w:tcMar>
                    <w:left w:w="57" w:type="dxa"/>
                    <w:right w:w="57" w:type="dxa"/>
                  </w:tcMar>
                  <w:vAlign w:val="center"/>
                </w:tcPr>
                <w:p w14:paraId="130B75C1">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eastAsia" w:ascii="Times New Roman" w:hAnsi="Times New Roman" w:eastAsia="宋体" w:cs="Times New Roman"/>
                      <w:bCs/>
                      <w:color w:val="000000"/>
                      <w:spacing w:val="0"/>
                      <w:sz w:val="21"/>
                      <w:szCs w:val="21"/>
                      <w:lang w:val="en-US" w:eastAsia="zh-CN"/>
                    </w:rPr>
                    <w:t>大气环境布局</w:t>
                  </w:r>
                </w:p>
                <w:p w14:paraId="35231DE4">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eastAsia" w:ascii="Times New Roman" w:hAnsi="Times New Roman" w:eastAsia="宋体" w:cs="Times New Roman"/>
                      <w:bCs/>
                      <w:color w:val="000000"/>
                      <w:spacing w:val="0"/>
                      <w:sz w:val="21"/>
                      <w:szCs w:val="21"/>
                      <w:lang w:val="en-US" w:eastAsia="zh-CN"/>
                    </w:rPr>
                    <w:t>敏感</w:t>
                  </w:r>
                </w:p>
                <w:p w14:paraId="6AF10D63">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eastAsia" w:ascii="Times New Roman" w:hAnsi="Times New Roman" w:eastAsia="宋体" w:cs="Times New Roman"/>
                      <w:bCs/>
                      <w:color w:val="000000"/>
                      <w:spacing w:val="0"/>
                      <w:sz w:val="21"/>
                      <w:szCs w:val="21"/>
                      <w:lang w:val="en-US" w:eastAsia="zh-CN"/>
                    </w:rPr>
                    <w:t>重点</w:t>
                  </w:r>
                </w:p>
                <w:p w14:paraId="07673A8A">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eastAsia" w:ascii="Times New Roman" w:hAnsi="Times New Roman" w:eastAsia="宋体" w:cs="Times New Roman"/>
                      <w:bCs/>
                      <w:color w:val="000000"/>
                      <w:spacing w:val="0"/>
                      <w:sz w:val="21"/>
                      <w:szCs w:val="21"/>
                      <w:lang w:val="en-US" w:eastAsia="zh-CN"/>
                    </w:rPr>
                    <w:t>管控</w:t>
                  </w:r>
                </w:p>
                <w:p w14:paraId="1504124F">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eastAsia" w:ascii="Times New Roman" w:hAnsi="Times New Roman" w:eastAsia="宋体" w:cs="Times New Roman"/>
                      <w:bCs/>
                      <w:color w:val="000000"/>
                      <w:spacing w:val="0"/>
                      <w:sz w:val="21"/>
                      <w:szCs w:val="21"/>
                      <w:lang w:val="en-US" w:eastAsia="zh-CN"/>
                    </w:rPr>
                    <w:t>区</w:t>
                  </w:r>
                </w:p>
              </w:tc>
              <w:tc>
                <w:tcPr>
                  <w:tcW w:w="370" w:type="pct"/>
                  <w:noWrap w:val="0"/>
                  <w:tcMar>
                    <w:left w:w="57" w:type="dxa"/>
                    <w:right w:w="57" w:type="dxa"/>
                  </w:tcMar>
                  <w:vAlign w:val="center"/>
                </w:tcPr>
                <w:p w14:paraId="1764DE48">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空间布局约束</w:t>
                  </w:r>
                </w:p>
              </w:tc>
              <w:tc>
                <w:tcPr>
                  <w:tcW w:w="2401" w:type="pct"/>
                  <w:noWrap w:val="0"/>
                  <w:tcMar>
                    <w:left w:w="57" w:type="dxa"/>
                    <w:right w:w="57" w:type="dxa"/>
                  </w:tcMar>
                  <w:vAlign w:val="center"/>
                </w:tcPr>
                <w:p w14:paraId="5F65778B">
                  <w:pPr>
                    <w:keepNext w:val="0"/>
                    <w:keepLines w:val="0"/>
                    <w:suppressLineNumbers w:val="0"/>
                    <w:spacing w:before="0" w:beforeAutospacing="0" w:after="0" w:afterAutospacing="0"/>
                    <w:ind w:left="0" w:right="0"/>
                    <w:jc w:val="left"/>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大气环境布局敏感重点管控区：1.严格控制新增《陕西省“两高”项目管理暂行目录》行业项目（民生等项目除外，后续对“两高”范围国家如有新规定的，从其规定）。2.严禁新增钢铁、焦化、水泥熟料、平板玻璃、电解铝、氧化铝、煤化工产能。3.推动重污染企业搬迁入园或依法关闭，实施工业企业退城搬迁改造。</w:t>
                  </w:r>
                </w:p>
              </w:tc>
              <w:tc>
                <w:tcPr>
                  <w:tcW w:w="960" w:type="pct"/>
                  <w:noWrap w:val="0"/>
                  <w:tcMar>
                    <w:left w:w="57" w:type="dxa"/>
                    <w:right w:w="57" w:type="dxa"/>
                  </w:tcMar>
                  <w:vAlign w:val="center"/>
                </w:tcPr>
                <w:p w14:paraId="479600BE">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bCs/>
                      <w:color w:val="000000"/>
                      <w:spacing w:val="0"/>
                      <w:kern w:val="0"/>
                      <w:sz w:val="21"/>
                      <w:szCs w:val="21"/>
                      <w:lang w:val="en-US" w:eastAsia="zh-CN"/>
                    </w:rPr>
                  </w:pPr>
                  <w:r>
                    <w:rPr>
                      <w:rFonts w:hint="eastAsia" w:ascii="Times New Roman" w:hAnsi="Times New Roman" w:cs="Times New Roman"/>
                      <w:bCs/>
                      <w:color w:val="auto"/>
                      <w:spacing w:val="0"/>
                      <w:sz w:val="21"/>
                      <w:szCs w:val="21"/>
                      <w:shd w:val="clear" w:color="auto" w:fill="auto"/>
                      <w:lang w:val="en-US" w:eastAsia="zh-CN"/>
                    </w:rPr>
                    <w:t>本项目属于污水处理项目，</w:t>
                  </w:r>
                  <w:r>
                    <w:rPr>
                      <w:rFonts w:hint="default" w:ascii="Times New Roman" w:hAnsi="Times New Roman" w:cs="Times New Roman"/>
                      <w:bCs/>
                      <w:color w:val="auto"/>
                      <w:spacing w:val="0"/>
                      <w:sz w:val="21"/>
                      <w:szCs w:val="21"/>
                      <w:shd w:val="clear" w:color="auto" w:fill="auto"/>
                      <w:lang w:val="en-US" w:eastAsia="zh-CN"/>
                    </w:rPr>
                    <w:t>根据《陕西省</w:t>
                  </w:r>
                  <w:r>
                    <w:rPr>
                      <w:rFonts w:hint="eastAsia" w:ascii="Times New Roman" w:hAnsi="Times New Roman" w:cs="Times New Roman"/>
                      <w:bCs/>
                      <w:color w:val="auto"/>
                      <w:spacing w:val="0"/>
                      <w:sz w:val="21"/>
                      <w:szCs w:val="21"/>
                      <w:shd w:val="clear" w:color="auto" w:fill="auto"/>
                      <w:lang w:val="en-US" w:eastAsia="zh-CN"/>
                    </w:rPr>
                    <w:t>“两高”</w:t>
                  </w:r>
                  <w:r>
                    <w:rPr>
                      <w:rFonts w:hint="default" w:ascii="Times New Roman" w:hAnsi="Times New Roman" w:cs="Times New Roman"/>
                      <w:bCs/>
                      <w:color w:val="auto"/>
                      <w:spacing w:val="0"/>
                      <w:sz w:val="21"/>
                      <w:szCs w:val="21"/>
                      <w:shd w:val="clear" w:color="auto" w:fill="auto"/>
                      <w:lang w:val="en-US" w:eastAsia="zh-CN"/>
                    </w:rPr>
                    <w:t>项目管理暂行目录》（2022年版）可知，本项目不属于两高项目。</w:t>
                  </w:r>
                  <w:r>
                    <w:rPr>
                      <w:rFonts w:hint="eastAsia" w:ascii="Times New Roman" w:hAnsi="Times New Roman" w:cs="Times New Roman"/>
                      <w:bCs/>
                      <w:color w:val="auto"/>
                      <w:spacing w:val="0"/>
                      <w:sz w:val="21"/>
                      <w:szCs w:val="21"/>
                      <w:shd w:val="clear" w:color="auto" w:fill="auto"/>
                      <w:lang w:val="en-US" w:eastAsia="zh-CN"/>
                    </w:rPr>
                    <w:t>不属于重污染企业及禁止新增产业。</w:t>
                  </w:r>
                </w:p>
              </w:tc>
              <w:tc>
                <w:tcPr>
                  <w:tcW w:w="217" w:type="pct"/>
                  <w:noWrap w:val="0"/>
                  <w:tcMar>
                    <w:left w:w="57" w:type="dxa"/>
                    <w:right w:w="57" w:type="dxa"/>
                  </w:tcMar>
                  <w:vAlign w:val="center"/>
                </w:tcPr>
                <w:p w14:paraId="0746F184">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符合</w:t>
                  </w:r>
                </w:p>
              </w:tc>
            </w:tr>
            <w:tr w14:paraId="61093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68" w:type="pct"/>
                  <w:vMerge w:val="continue"/>
                  <w:noWrap w:val="0"/>
                  <w:tcMar>
                    <w:left w:w="57" w:type="dxa"/>
                    <w:right w:w="57" w:type="dxa"/>
                  </w:tcMar>
                  <w:vAlign w:val="center"/>
                </w:tcPr>
                <w:p w14:paraId="4D8D1F8C">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189" w:type="pct"/>
                  <w:vMerge w:val="continue"/>
                  <w:noWrap w:val="0"/>
                  <w:tcMar>
                    <w:left w:w="57" w:type="dxa"/>
                    <w:right w:w="57" w:type="dxa"/>
                  </w:tcMar>
                  <w:vAlign w:val="center"/>
                </w:tcPr>
                <w:p w14:paraId="5A78CF5D">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182" w:type="pct"/>
                  <w:vMerge w:val="continue"/>
                  <w:noWrap w:val="0"/>
                  <w:tcMar>
                    <w:left w:w="57" w:type="dxa"/>
                    <w:right w:w="57" w:type="dxa"/>
                  </w:tcMar>
                  <w:vAlign w:val="center"/>
                </w:tcPr>
                <w:p w14:paraId="53D3F52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231" w:type="pct"/>
                  <w:vMerge w:val="continue"/>
                  <w:noWrap w:val="0"/>
                  <w:tcMar>
                    <w:left w:w="57" w:type="dxa"/>
                    <w:right w:w="57" w:type="dxa"/>
                  </w:tcMar>
                  <w:vAlign w:val="center"/>
                </w:tcPr>
                <w:p w14:paraId="4B202BDC">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278" w:type="pct"/>
                  <w:vMerge w:val="continue"/>
                  <w:noWrap w:val="0"/>
                  <w:tcMar>
                    <w:left w:w="57" w:type="dxa"/>
                    <w:right w:w="57" w:type="dxa"/>
                  </w:tcMar>
                  <w:vAlign w:val="center"/>
                </w:tcPr>
                <w:p w14:paraId="12971FF0">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370" w:type="pct"/>
                  <w:noWrap w:val="0"/>
                  <w:tcMar>
                    <w:left w:w="57" w:type="dxa"/>
                    <w:right w:w="57" w:type="dxa"/>
                  </w:tcMar>
                  <w:vAlign w:val="center"/>
                </w:tcPr>
                <w:p w14:paraId="754C2198">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污染物排放管控</w:t>
                  </w:r>
                </w:p>
              </w:tc>
              <w:tc>
                <w:tcPr>
                  <w:tcW w:w="2401" w:type="pct"/>
                  <w:noWrap w:val="0"/>
                  <w:tcMar>
                    <w:left w:w="57" w:type="dxa"/>
                    <w:right w:w="57" w:type="dxa"/>
                  </w:tcMar>
                  <w:vAlign w:val="center"/>
                </w:tcPr>
                <w:p w14:paraId="71B89597">
                  <w:pPr>
                    <w:keepNext w:val="0"/>
                    <w:keepLines w:val="0"/>
                    <w:suppressLineNumbers w:val="0"/>
                    <w:spacing w:before="0" w:beforeAutospacing="0" w:after="0" w:afterAutospacing="0"/>
                    <w:ind w:left="0" w:right="0"/>
                    <w:jc w:val="left"/>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大气环境布局敏感重点管控区：1.鼓励将老旧车辆和非道路移动机械替换为清洁能源车辆。推进新能源或清洁能源汽车使用。2.巩固城市建成区、县（区）平原区域散煤动态清理成效。</w:t>
                  </w:r>
                </w:p>
              </w:tc>
              <w:tc>
                <w:tcPr>
                  <w:tcW w:w="960" w:type="pct"/>
                  <w:noWrap w:val="0"/>
                  <w:tcMar>
                    <w:left w:w="57" w:type="dxa"/>
                    <w:right w:w="57" w:type="dxa"/>
                  </w:tcMar>
                  <w:vAlign w:val="center"/>
                </w:tcPr>
                <w:p w14:paraId="44B7F48F">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bCs/>
                      <w:color w:val="000000"/>
                      <w:spacing w:val="0"/>
                      <w:kern w:val="0"/>
                      <w:sz w:val="21"/>
                      <w:szCs w:val="21"/>
                      <w:lang w:val="en-US" w:eastAsia="zh-CN"/>
                    </w:rPr>
                  </w:pPr>
                  <w:r>
                    <w:rPr>
                      <w:rFonts w:hint="default" w:ascii="Times New Roman" w:hAnsi="Times New Roman" w:cs="Times New Roman"/>
                      <w:bCs/>
                      <w:color w:val="auto"/>
                      <w:spacing w:val="0"/>
                      <w:sz w:val="21"/>
                      <w:szCs w:val="21"/>
                      <w:shd w:val="clear" w:color="auto" w:fill="auto"/>
                      <w:lang w:val="en-US" w:eastAsia="zh-CN"/>
                    </w:rPr>
                    <w:t>本项目生产设备均用电</w:t>
                  </w:r>
                  <w:r>
                    <w:rPr>
                      <w:rFonts w:hint="eastAsia" w:ascii="Times New Roman" w:hAnsi="Times New Roman" w:cs="Times New Roman"/>
                      <w:bCs/>
                      <w:color w:val="auto"/>
                      <w:spacing w:val="0"/>
                      <w:sz w:val="21"/>
                      <w:szCs w:val="21"/>
                      <w:shd w:val="clear" w:color="auto" w:fill="auto"/>
                      <w:lang w:val="en-US" w:eastAsia="zh-CN"/>
                    </w:rPr>
                    <w:t>。</w:t>
                  </w:r>
                </w:p>
              </w:tc>
              <w:tc>
                <w:tcPr>
                  <w:tcW w:w="217" w:type="pct"/>
                  <w:noWrap w:val="0"/>
                  <w:tcMar>
                    <w:left w:w="57" w:type="dxa"/>
                    <w:right w:w="57" w:type="dxa"/>
                  </w:tcMar>
                  <w:vAlign w:val="center"/>
                </w:tcPr>
                <w:p w14:paraId="11146190">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符合</w:t>
                  </w:r>
                </w:p>
              </w:tc>
            </w:tr>
            <w:tr w14:paraId="33344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6" w:hRule="atLeast"/>
                <w:jc w:val="center"/>
              </w:trPr>
              <w:tc>
                <w:tcPr>
                  <w:tcW w:w="168" w:type="pct"/>
                  <w:vMerge w:val="continue"/>
                  <w:noWrap w:val="0"/>
                  <w:tcMar>
                    <w:left w:w="57" w:type="dxa"/>
                    <w:right w:w="57" w:type="dxa"/>
                  </w:tcMar>
                  <w:vAlign w:val="center"/>
                </w:tcPr>
                <w:p w14:paraId="5C8DD1AD">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189" w:type="pct"/>
                  <w:vMerge w:val="continue"/>
                  <w:noWrap w:val="0"/>
                  <w:tcMar>
                    <w:left w:w="57" w:type="dxa"/>
                    <w:right w:w="57" w:type="dxa"/>
                  </w:tcMar>
                  <w:vAlign w:val="center"/>
                </w:tcPr>
                <w:p w14:paraId="36DCB0B8">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182" w:type="pct"/>
                  <w:vMerge w:val="continue"/>
                  <w:noWrap w:val="0"/>
                  <w:tcMar>
                    <w:left w:w="57" w:type="dxa"/>
                    <w:right w:w="57" w:type="dxa"/>
                  </w:tcMar>
                  <w:vAlign w:val="center"/>
                </w:tcPr>
                <w:p w14:paraId="66C1479E">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231" w:type="pct"/>
                  <w:vMerge w:val="continue"/>
                  <w:noWrap w:val="0"/>
                  <w:tcMar>
                    <w:left w:w="57" w:type="dxa"/>
                    <w:right w:w="57" w:type="dxa"/>
                  </w:tcMar>
                  <w:vAlign w:val="center"/>
                </w:tcPr>
                <w:p w14:paraId="3796DFB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278" w:type="pct"/>
                  <w:vMerge w:val="continue"/>
                  <w:noWrap w:val="0"/>
                  <w:tcMar>
                    <w:left w:w="57" w:type="dxa"/>
                    <w:right w:w="57" w:type="dxa"/>
                  </w:tcMar>
                  <w:vAlign w:val="center"/>
                </w:tcPr>
                <w:p w14:paraId="7F43BE4A">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370" w:type="pct"/>
                  <w:noWrap w:val="0"/>
                  <w:tcMar>
                    <w:left w:w="57" w:type="dxa"/>
                    <w:right w:w="57" w:type="dxa"/>
                  </w:tcMar>
                  <w:vAlign w:val="center"/>
                </w:tcPr>
                <w:p w14:paraId="56E963FA">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环境风险防控</w:t>
                  </w:r>
                </w:p>
              </w:tc>
              <w:tc>
                <w:tcPr>
                  <w:tcW w:w="2401" w:type="pct"/>
                  <w:noWrap w:val="0"/>
                  <w:tcMar>
                    <w:left w:w="57" w:type="dxa"/>
                    <w:right w:w="57" w:type="dxa"/>
                  </w:tcMar>
                  <w:vAlign w:val="center"/>
                </w:tcPr>
                <w:p w14:paraId="7ACCCEE3">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eastAsia" w:ascii="Times New Roman" w:hAnsi="Times New Roman" w:eastAsia="宋体" w:cs="Times New Roman"/>
                      <w:bCs/>
                      <w:color w:val="000000"/>
                      <w:spacing w:val="0"/>
                      <w:sz w:val="21"/>
                      <w:szCs w:val="21"/>
                      <w:lang w:val="en-US" w:eastAsia="zh-CN"/>
                    </w:rPr>
                    <w:t>/</w:t>
                  </w:r>
                </w:p>
              </w:tc>
              <w:tc>
                <w:tcPr>
                  <w:tcW w:w="960" w:type="pct"/>
                  <w:noWrap w:val="0"/>
                  <w:tcMar>
                    <w:left w:w="57" w:type="dxa"/>
                    <w:right w:w="57" w:type="dxa"/>
                  </w:tcMar>
                  <w:vAlign w:val="center"/>
                </w:tcPr>
                <w:p w14:paraId="5E341F4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Cs/>
                      <w:color w:val="000000"/>
                      <w:spacing w:val="0"/>
                      <w:kern w:val="0"/>
                      <w:sz w:val="21"/>
                      <w:szCs w:val="21"/>
                      <w:lang w:val="en-US" w:eastAsia="zh-CN"/>
                    </w:rPr>
                  </w:pPr>
                  <w:r>
                    <w:rPr>
                      <w:rFonts w:hint="eastAsia" w:ascii="Times New Roman" w:hAnsi="Times New Roman" w:eastAsia="宋体" w:cs="Times New Roman"/>
                      <w:bCs/>
                      <w:color w:val="000000"/>
                      <w:spacing w:val="0"/>
                      <w:kern w:val="0"/>
                      <w:sz w:val="21"/>
                      <w:szCs w:val="21"/>
                      <w:lang w:val="en-US" w:eastAsia="zh-CN"/>
                    </w:rPr>
                    <w:t>/</w:t>
                  </w:r>
                </w:p>
              </w:tc>
              <w:tc>
                <w:tcPr>
                  <w:tcW w:w="217" w:type="pct"/>
                  <w:noWrap w:val="0"/>
                  <w:tcMar>
                    <w:left w:w="57" w:type="dxa"/>
                    <w:right w:w="57" w:type="dxa"/>
                  </w:tcMar>
                  <w:vAlign w:val="center"/>
                </w:tcPr>
                <w:p w14:paraId="1AAB569A">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w:t>
                  </w:r>
                </w:p>
              </w:tc>
            </w:tr>
            <w:tr w14:paraId="680CB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 w:hRule="atLeast"/>
                <w:jc w:val="center"/>
              </w:trPr>
              <w:tc>
                <w:tcPr>
                  <w:tcW w:w="168" w:type="pct"/>
                  <w:vMerge w:val="continue"/>
                  <w:noWrap w:val="0"/>
                  <w:tcMar>
                    <w:left w:w="57" w:type="dxa"/>
                    <w:right w:w="57" w:type="dxa"/>
                  </w:tcMar>
                  <w:vAlign w:val="center"/>
                </w:tcPr>
                <w:p w14:paraId="595C6C71">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189" w:type="pct"/>
                  <w:vMerge w:val="continue"/>
                  <w:noWrap w:val="0"/>
                  <w:tcMar>
                    <w:left w:w="57" w:type="dxa"/>
                    <w:right w:w="57" w:type="dxa"/>
                  </w:tcMar>
                  <w:vAlign w:val="center"/>
                </w:tcPr>
                <w:p w14:paraId="4A61DAB3">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182" w:type="pct"/>
                  <w:vMerge w:val="continue"/>
                  <w:noWrap w:val="0"/>
                  <w:tcMar>
                    <w:left w:w="57" w:type="dxa"/>
                    <w:right w:w="57" w:type="dxa"/>
                  </w:tcMar>
                  <w:vAlign w:val="center"/>
                </w:tcPr>
                <w:p w14:paraId="3F27F9ED">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231" w:type="pct"/>
                  <w:vMerge w:val="continue"/>
                  <w:noWrap w:val="0"/>
                  <w:tcMar>
                    <w:left w:w="57" w:type="dxa"/>
                    <w:right w:w="57" w:type="dxa"/>
                  </w:tcMar>
                  <w:vAlign w:val="center"/>
                </w:tcPr>
                <w:p w14:paraId="033AD0A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278" w:type="pct"/>
                  <w:vMerge w:val="continue"/>
                  <w:noWrap w:val="0"/>
                  <w:tcMar>
                    <w:left w:w="57" w:type="dxa"/>
                    <w:right w:w="57" w:type="dxa"/>
                  </w:tcMar>
                  <w:vAlign w:val="center"/>
                </w:tcPr>
                <w:p w14:paraId="5707A726">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p>
              </w:tc>
              <w:tc>
                <w:tcPr>
                  <w:tcW w:w="370" w:type="pct"/>
                  <w:noWrap w:val="0"/>
                  <w:tcMar>
                    <w:left w:w="57" w:type="dxa"/>
                    <w:right w:w="57" w:type="dxa"/>
                  </w:tcMar>
                  <w:vAlign w:val="center"/>
                </w:tcPr>
                <w:p w14:paraId="50D2D8CB">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资源开发效率要求</w:t>
                  </w:r>
                </w:p>
              </w:tc>
              <w:tc>
                <w:tcPr>
                  <w:tcW w:w="2401" w:type="pct"/>
                  <w:noWrap w:val="0"/>
                  <w:tcMar>
                    <w:left w:w="57" w:type="dxa"/>
                    <w:right w:w="57" w:type="dxa"/>
                  </w:tcMar>
                  <w:vAlign w:val="center"/>
                </w:tcPr>
                <w:p w14:paraId="44CD2C80">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eastAsia" w:ascii="Times New Roman" w:hAnsi="Times New Roman" w:eastAsia="宋体" w:cs="Times New Roman"/>
                      <w:bCs/>
                      <w:color w:val="000000"/>
                      <w:spacing w:val="0"/>
                      <w:sz w:val="21"/>
                      <w:szCs w:val="21"/>
                      <w:lang w:val="en-US" w:eastAsia="zh-CN"/>
                    </w:rPr>
                    <w:t>/</w:t>
                  </w:r>
                </w:p>
              </w:tc>
              <w:tc>
                <w:tcPr>
                  <w:tcW w:w="960" w:type="pct"/>
                  <w:noWrap w:val="0"/>
                  <w:tcMar>
                    <w:left w:w="57" w:type="dxa"/>
                    <w:right w:w="57" w:type="dxa"/>
                  </w:tcMar>
                  <w:vAlign w:val="center"/>
                </w:tcPr>
                <w:p w14:paraId="65F0F2B3">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eastAsia" w:ascii="Times New Roman" w:hAnsi="Times New Roman" w:eastAsia="宋体" w:cs="Times New Roman"/>
                      <w:bCs/>
                      <w:color w:val="000000"/>
                      <w:spacing w:val="0"/>
                      <w:sz w:val="21"/>
                      <w:szCs w:val="21"/>
                      <w:lang w:val="en-US" w:eastAsia="zh-CN"/>
                    </w:rPr>
                    <w:t>/</w:t>
                  </w:r>
                </w:p>
              </w:tc>
              <w:tc>
                <w:tcPr>
                  <w:tcW w:w="217" w:type="pct"/>
                  <w:noWrap w:val="0"/>
                  <w:tcMar>
                    <w:left w:w="57" w:type="dxa"/>
                    <w:right w:w="57" w:type="dxa"/>
                  </w:tcMar>
                  <w:vAlign w:val="center"/>
                </w:tcPr>
                <w:p w14:paraId="2DD00D4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pacing w:val="0"/>
                      <w:sz w:val="21"/>
                      <w:szCs w:val="21"/>
                      <w:lang w:val="en-US" w:eastAsia="zh-CN"/>
                    </w:rPr>
                  </w:pPr>
                  <w:r>
                    <w:rPr>
                      <w:rFonts w:hint="default" w:ascii="Times New Roman" w:hAnsi="Times New Roman" w:eastAsia="宋体" w:cs="Times New Roman"/>
                      <w:bCs/>
                      <w:color w:val="000000"/>
                      <w:spacing w:val="0"/>
                      <w:sz w:val="21"/>
                      <w:szCs w:val="21"/>
                      <w:lang w:val="en-US" w:eastAsia="zh-CN"/>
                    </w:rPr>
                    <w:t>/</w:t>
                  </w:r>
                </w:p>
              </w:tc>
            </w:tr>
          </w:tbl>
          <w:p w14:paraId="4011C9C3">
            <w:pPr>
              <w:keepNext w:val="0"/>
              <w:keepLines w:val="0"/>
              <w:numPr>
                <w:ilvl w:val="0"/>
                <w:numId w:val="1"/>
              </w:numPr>
              <w:suppressLineNumbers w:val="0"/>
              <w:autoSpaceDE w:val="0"/>
              <w:autoSpaceDN w:val="0"/>
              <w:spacing w:before="0" w:beforeAutospacing="0" w:after="0" w:afterAutospacing="0" w:line="360" w:lineRule="auto"/>
              <w:ind w:left="0" w:leftChars="0" w:right="0" w:firstLine="480" w:firstLineChars="200"/>
              <w:rPr>
                <w:rFonts w:hint="eastAsia" w:ascii="Times New Roman" w:hAnsi="Times New Roman" w:eastAsia="宋体" w:cs="Times New Roman"/>
                <w:bCs/>
                <w:color w:val="000000"/>
                <w:spacing w:val="0"/>
                <w:kern w:val="24"/>
                <w:sz w:val="24"/>
                <w:lang w:val="en-US" w:eastAsia="zh-CN"/>
              </w:rPr>
            </w:pPr>
            <w:r>
              <w:rPr>
                <w:rFonts w:hint="eastAsia" w:ascii="Times New Roman" w:hAnsi="Times New Roman" w:eastAsia="宋体" w:cs="Times New Roman"/>
                <w:bCs/>
                <w:color w:val="000000"/>
                <w:spacing w:val="0"/>
                <w:kern w:val="24"/>
                <w:sz w:val="24"/>
                <w:lang w:val="en-US" w:eastAsia="zh-CN"/>
              </w:rPr>
              <w:t>“一说明”：项目与</w:t>
            </w:r>
            <w:r>
              <w:rPr>
                <w:rFonts w:hint="default" w:ascii="Times New Roman" w:hAnsi="Times New Roman" w:eastAsia="宋体" w:cs="Times New Roman"/>
                <w:bCs/>
                <w:color w:val="000000"/>
                <w:spacing w:val="0"/>
                <w:kern w:val="24"/>
                <w:sz w:val="24"/>
                <w:lang w:val="en-US" w:eastAsia="zh-CN"/>
              </w:rPr>
              <w:t>“</w:t>
            </w:r>
            <w:r>
              <w:rPr>
                <w:rFonts w:hint="eastAsia" w:ascii="Times New Roman" w:hAnsi="Times New Roman" w:eastAsia="宋体" w:cs="Times New Roman"/>
                <w:bCs/>
                <w:color w:val="000000"/>
                <w:spacing w:val="0"/>
                <w:kern w:val="24"/>
                <w:sz w:val="24"/>
                <w:lang w:val="en-US" w:eastAsia="zh-CN"/>
              </w:rPr>
              <w:t>三线一单</w:t>
            </w:r>
            <w:r>
              <w:rPr>
                <w:rFonts w:hint="default" w:ascii="Times New Roman" w:hAnsi="Times New Roman" w:eastAsia="宋体" w:cs="Times New Roman"/>
                <w:bCs/>
                <w:color w:val="000000"/>
                <w:spacing w:val="0"/>
                <w:kern w:val="24"/>
                <w:sz w:val="24"/>
                <w:lang w:val="en-US" w:eastAsia="zh-CN"/>
              </w:rPr>
              <w:t>”</w:t>
            </w:r>
            <w:r>
              <w:rPr>
                <w:rFonts w:hint="eastAsia" w:ascii="Times New Roman" w:hAnsi="Times New Roman" w:eastAsia="宋体" w:cs="Times New Roman"/>
                <w:bCs/>
                <w:color w:val="000000"/>
                <w:spacing w:val="0"/>
                <w:kern w:val="24"/>
                <w:sz w:val="24"/>
                <w:lang w:val="en-US" w:eastAsia="zh-CN"/>
              </w:rPr>
              <w:t>符合性说明</w:t>
            </w:r>
          </w:p>
          <w:p w14:paraId="5794E1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snapToGrid w:val="0"/>
                <w:color w:val="000000"/>
                <w:spacing w:val="0"/>
                <w:szCs w:val="21"/>
              </w:rPr>
            </w:pPr>
            <w:r>
              <w:rPr>
                <w:rFonts w:hint="eastAsia"/>
                <w:bCs/>
                <w:color w:val="000000"/>
                <w:spacing w:val="0"/>
                <w:kern w:val="24"/>
                <w:sz w:val="24"/>
              </w:rPr>
              <w:t>由上表可知，本项目</w:t>
            </w:r>
            <w:r>
              <w:rPr>
                <w:rFonts w:hint="eastAsia"/>
                <w:color w:val="000000"/>
                <w:spacing w:val="0"/>
                <w:kern w:val="0"/>
                <w:sz w:val="24"/>
                <w:lang w:val="zh-CN"/>
              </w:rPr>
              <w:t>符合《关于印发2023年宝鸡市生态环境分区管控调整方案的通知》（宝区环办〔2024〕1号）</w:t>
            </w:r>
            <w:r>
              <w:rPr>
                <w:rFonts w:hint="eastAsia"/>
                <w:color w:val="000000"/>
                <w:spacing w:val="0"/>
                <w:kern w:val="0"/>
                <w:sz w:val="24"/>
                <w:lang w:val="en-US" w:eastAsia="zh-CN"/>
              </w:rPr>
              <w:t>要求</w:t>
            </w:r>
            <w:r>
              <w:rPr>
                <w:rFonts w:hint="eastAsia"/>
                <w:color w:val="000000"/>
                <w:spacing w:val="0"/>
                <w:kern w:val="0"/>
                <w:sz w:val="24"/>
                <w:lang w:val="zh-CN"/>
              </w:rPr>
              <w:t>。</w:t>
            </w:r>
          </w:p>
          <w:p w14:paraId="39F2F9D0">
            <w:pPr>
              <w:keepNext w:val="0"/>
              <w:keepLines w:val="0"/>
              <w:suppressLineNumbers w:val="0"/>
              <w:spacing w:before="0" w:beforeAutospacing="0" w:after="0" w:afterAutospacing="0"/>
              <w:ind w:left="0" w:right="0"/>
              <w:rPr>
                <w:rFonts w:hint="default"/>
                <w:color w:val="auto"/>
                <w:spacing w:val="0"/>
              </w:rPr>
            </w:pPr>
          </w:p>
          <w:p w14:paraId="10F5DAAF">
            <w:pPr>
              <w:pStyle w:val="12"/>
              <w:keepNext w:val="0"/>
              <w:keepLines w:val="0"/>
              <w:suppressLineNumbers w:val="0"/>
              <w:spacing w:before="0" w:beforeAutospacing="0" w:after="0" w:afterAutospacing="0"/>
              <w:rPr>
                <w:rFonts w:hint="default"/>
                <w:color w:val="auto"/>
                <w:spacing w:val="0"/>
              </w:rPr>
            </w:pPr>
          </w:p>
          <w:p w14:paraId="5A63AB5E">
            <w:pPr>
              <w:keepNext w:val="0"/>
              <w:keepLines w:val="0"/>
              <w:suppressLineNumbers w:val="0"/>
              <w:spacing w:before="0" w:beforeAutospacing="0" w:after="0" w:afterAutospacing="0"/>
              <w:ind w:left="0" w:right="0"/>
              <w:rPr>
                <w:rFonts w:hint="default" w:ascii="Times New Roman" w:hAnsi="Times New Roman" w:cs="Times New Roman"/>
                <w:color w:val="auto"/>
                <w:spacing w:val="0"/>
                <w:w w:val="100"/>
              </w:rPr>
            </w:pPr>
          </w:p>
          <w:p w14:paraId="11A3CC12">
            <w:pPr>
              <w:keepNext w:val="0"/>
              <w:keepLines w:val="0"/>
              <w:widowControl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Cs w:val="21"/>
                <w:lang w:val="en-US"/>
              </w:rPr>
            </w:pPr>
          </w:p>
        </w:tc>
      </w:tr>
    </w:tbl>
    <w:p w14:paraId="5A049285">
      <w:pPr>
        <w:spacing w:line="360" w:lineRule="auto"/>
        <w:rPr>
          <w:rFonts w:hint="default" w:ascii="Times New Roman" w:hAnsi="Times New Roman" w:eastAsia="黑体" w:cs="Times New Roman"/>
          <w:color w:val="auto"/>
          <w:spacing w:val="0"/>
          <w:w w:val="100"/>
          <w:kern w:val="2"/>
          <w:sz w:val="30"/>
          <w:szCs w:val="24"/>
          <w:lang w:val="en-US" w:eastAsia="zh-CN" w:bidi="ar"/>
        </w:rPr>
        <w:sectPr>
          <w:headerReference r:id="rId3" w:type="default"/>
          <w:footerReference r:id="rId4" w:type="default"/>
          <w:pgSz w:w="11906" w:h="16838"/>
          <w:pgMar w:top="1440" w:right="1440" w:bottom="1440" w:left="1440" w:header="283" w:footer="850" w:gutter="0"/>
          <w:pgNumType w:fmt="decimal" w:start="1"/>
          <w:cols w:space="425" w:num="1"/>
          <w:docGrid w:type="lines" w:linePitch="312" w:charSpace="0"/>
        </w:sectPr>
      </w:pPr>
    </w:p>
    <w:p w14:paraId="2030D03A">
      <w:pPr>
        <w:pStyle w:val="19"/>
        <w:keepNext w:val="0"/>
        <w:keepLines w:val="0"/>
        <w:pageBreakBefore w:val="0"/>
        <w:widowControl/>
        <w:kinsoku/>
        <w:wordWrap/>
        <w:overflowPunct/>
        <w:topLinePunct w:val="0"/>
        <w:autoSpaceDE/>
        <w:autoSpaceDN/>
        <w:bidi w:val="0"/>
        <w:adjustRightInd/>
        <w:snapToGrid/>
        <w:spacing w:beforeAutospacing="0" w:afterAutospacing="0" w:line="360" w:lineRule="auto"/>
        <w:jc w:val="center"/>
        <w:textAlignment w:val="auto"/>
        <w:outlineLvl w:val="0"/>
        <w:rPr>
          <w:rFonts w:hint="default" w:ascii="Times New Roman" w:hAnsi="Times New Roman" w:eastAsia="黑体" w:cs="Times New Roman"/>
          <w:color w:val="auto"/>
          <w:spacing w:val="0"/>
          <w:w w:val="100"/>
          <w:sz w:val="30"/>
          <w:szCs w:val="30"/>
          <w:lang w:val="en-US"/>
        </w:rPr>
      </w:pPr>
      <w:r>
        <w:rPr>
          <w:rFonts w:hint="default" w:ascii="Times New Roman" w:hAnsi="Times New Roman" w:eastAsia="黑体" w:cs="Times New Roman"/>
          <w:snapToGrid w:val="0"/>
          <w:color w:val="auto"/>
          <w:spacing w:val="0"/>
          <w:w w:val="100"/>
          <w:sz w:val="30"/>
          <w:szCs w:val="30"/>
          <w:lang w:eastAsia="zh-CN"/>
        </w:rPr>
        <w:t>二、建设项目工程分析</w:t>
      </w:r>
    </w:p>
    <w:tbl>
      <w:tblPr>
        <w:tblStyle w:val="21"/>
        <w:tblW w:w="96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55"/>
        <w:gridCol w:w="8924"/>
      </w:tblGrid>
      <w:tr w14:paraId="311ECC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34" w:hRule="atLeast"/>
          <w:jc w:val="center"/>
        </w:trPr>
        <w:tc>
          <w:tcPr>
            <w:tcW w:w="755" w:type="dxa"/>
            <w:tcBorders>
              <w:top w:val="single" w:color="auto" w:sz="8" w:space="0"/>
              <w:left w:val="single" w:color="auto" w:sz="8" w:space="0"/>
              <w:bottom w:val="single" w:color="auto" w:sz="4" w:space="0"/>
              <w:right w:val="single" w:color="auto" w:sz="4" w:space="0"/>
            </w:tcBorders>
            <w:shd w:val="clear" w:color="auto" w:fill="auto"/>
            <w:vAlign w:val="center"/>
          </w:tcPr>
          <w:p w14:paraId="44691DDE">
            <w:pPr>
              <w:pStyle w:val="19"/>
              <w:widowControl/>
              <w:adjustRightInd w:val="0"/>
              <w:snapToGrid w:val="0"/>
              <w:spacing w:before="0" w:beforeAutospacing="0" w:after="0" w:afterAutospacing="0"/>
              <w:ind w:left="0" w:right="0"/>
              <w:jc w:val="center"/>
              <w:rPr>
                <w:rFonts w:hint="default" w:ascii="Times New Roman" w:hAnsi="Times New Roman" w:cs="Times New Roman"/>
                <w:color w:val="auto"/>
                <w:spacing w:val="0"/>
                <w:w w:val="100"/>
                <w:sz w:val="21"/>
                <w:szCs w:val="21"/>
                <w:lang w:val="en-US"/>
              </w:rPr>
            </w:pPr>
            <w:r>
              <w:rPr>
                <w:rFonts w:hint="default" w:ascii="Times New Roman" w:hAnsi="Times New Roman" w:cs="Times New Roman"/>
                <w:color w:val="auto"/>
                <w:spacing w:val="0"/>
                <w:w w:val="100"/>
                <w:sz w:val="24"/>
                <w:szCs w:val="24"/>
              </w:rPr>
              <w:t>建设内容</w:t>
            </w:r>
          </w:p>
        </w:tc>
        <w:tc>
          <w:tcPr>
            <w:tcW w:w="8924" w:type="dxa"/>
            <w:tcBorders>
              <w:top w:val="single" w:color="auto" w:sz="8" w:space="0"/>
              <w:left w:val="single" w:color="auto" w:sz="4" w:space="0"/>
              <w:bottom w:val="single" w:color="auto" w:sz="4" w:space="0"/>
              <w:right w:val="single" w:color="auto" w:sz="8" w:space="0"/>
            </w:tcBorders>
            <w:shd w:val="clear" w:color="auto" w:fill="auto"/>
            <w:vAlign w:val="top"/>
          </w:tcPr>
          <w:p w14:paraId="639F561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陕西陇县经济技术开发区是2024年6月经陕西省人民政府批复认定的省级经济技术开发区，前身为陇县工业园区。开发区总批准面积300.07公顷，由三个地块组成，主导产业为绿色食品、新材料和新能源。目前，经开区工业企业有80家，规上企业23家。</w:t>
            </w:r>
          </w:p>
          <w:p w14:paraId="504AE80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由于目前经开区尚未建设有工业污水处理厂及中水处理系统，现状企业污水预处理后直接排放，且企业用水多为自来水。不仅造成环境污染，而且企业的用水成本也比较高，因此项目单位提出建设陇县经济技术开发区</w:t>
            </w:r>
            <w:r>
              <w:rPr>
                <w:rFonts w:hint="eastAsia" w:ascii="Times New Roman" w:hAnsi="Times New Roman" w:eastAsia="宋体" w:cs="Times New Roman"/>
                <w:color w:val="auto"/>
                <w:spacing w:val="0"/>
                <w:w w:val="100"/>
                <w:sz w:val="24"/>
                <w:szCs w:val="24"/>
                <w:lang w:val="en-US" w:eastAsia="zh-CN"/>
              </w:rPr>
              <w:t>水污染</w:t>
            </w:r>
            <w:r>
              <w:rPr>
                <w:rFonts w:hint="default" w:ascii="Times New Roman" w:hAnsi="Times New Roman" w:eastAsia="宋体" w:cs="Times New Roman"/>
                <w:color w:val="auto"/>
                <w:spacing w:val="0"/>
                <w:w w:val="100"/>
                <w:sz w:val="24"/>
                <w:szCs w:val="24"/>
                <w:lang w:val="en-US" w:eastAsia="zh-CN"/>
              </w:rPr>
              <w:t>综合治理及再生水资源节约利用项目。</w:t>
            </w:r>
            <w:r>
              <w:rPr>
                <w:rFonts w:hint="default" w:ascii="Times New Roman" w:hAnsi="Times New Roman" w:eastAsia="宋体" w:cs="Times New Roman"/>
                <w:b w:val="0"/>
                <w:bCs w:val="0"/>
                <w:color w:val="auto"/>
                <w:spacing w:val="0"/>
                <w:w w:val="100"/>
                <w:sz w:val="24"/>
                <w:szCs w:val="24"/>
                <w:lang w:eastAsia="zh-CN"/>
              </w:rPr>
              <w:t>项目污水处理规模</w:t>
            </w:r>
            <w:r>
              <w:rPr>
                <w:rFonts w:hint="default" w:ascii="Times New Roman" w:hAnsi="Times New Roman" w:eastAsia="宋体" w:cs="Times New Roman"/>
                <w:b w:val="0"/>
                <w:bCs w:val="0"/>
                <w:color w:val="auto"/>
                <w:spacing w:val="0"/>
                <w:w w:val="100"/>
                <w:sz w:val="24"/>
                <w:szCs w:val="24"/>
                <w:lang w:val="en-US" w:eastAsia="zh-CN"/>
              </w:rPr>
              <w:t>2000m</w:t>
            </w:r>
            <w:r>
              <w:rPr>
                <w:rFonts w:hint="default" w:ascii="Times New Roman" w:hAnsi="Times New Roman" w:eastAsia="宋体" w:cs="Times New Roman"/>
                <w:b w:val="0"/>
                <w:bCs w:val="0"/>
                <w:color w:val="auto"/>
                <w:spacing w:val="0"/>
                <w:w w:val="100"/>
                <w:sz w:val="24"/>
                <w:szCs w:val="24"/>
                <w:highlight w:val="none"/>
                <w:vertAlign w:val="superscript"/>
                <w:lang w:val="en-US" w:eastAsia="zh-CN"/>
              </w:rPr>
              <w:t>3</w:t>
            </w:r>
            <w:r>
              <w:rPr>
                <w:rFonts w:hint="default" w:ascii="Times New Roman" w:hAnsi="Times New Roman" w:eastAsia="宋体" w:cs="Times New Roman"/>
                <w:b w:val="0"/>
                <w:bCs w:val="0"/>
                <w:color w:val="auto"/>
                <w:spacing w:val="0"/>
                <w:w w:val="100"/>
                <w:sz w:val="24"/>
                <w:szCs w:val="24"/>
                <w:lang w:eastAsia="zh-CN"/>
              </w:rPr>
              <w:t>/d</w:t>
            </w:r>
            <w:r>
              <w:rPr>
                <w:rFonts w:hint="default" w:ascii="Times New Roman" w:hAnsi="Times New Roman" w:eastAsia="宋体" w:cs="Times New Roman"/>
                <w:b w:val="0"/>
                <w:bCs w:val="0"/>
                <w:color w:val="auto"/>
                <w:spacing w:val="0"/>
                <w:w w:val="100"/>
                <w:sz w:val="24"/>
                <w:szCs w:val="24"/>
                <w:lang w:val="en-US" w:eastAsia="zh-CN"/>
              </w:rPr>
              <w:t>，回用水规模400m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b w:val="0"/>
                <w:bCs w:val="0"/>
                <w:color w:val="auto"/>
                <w:spacing w:val="0"/>
                <w:w w:val="100"/>
                <w:sz w:val="24"/>
                <w:szCs w:val="24"/>
                <w:lang w:val="en-US" w:eastAsia="zh-CN"/>
              </w:rPr>
              <w:t>/d，</w:t>
            </w:r>
            <w:r>
              <w:rPr>
                <w:rFonts w:hint="default" w:ascii="Times New Roman" w:hAnsi="Times New Roman" w:eastAsia="宋体" w:cs="Times New Roman"/>
                <w:color w:val="auto"/>
                <w:spacing w:val="0"/>
                <w:w w:val="100"/>
                <w:sz w:val="24"/>
                <w:szCs w:val="24"/>
                <w:lang w:val="en-US" w:eastAsia="zh-CN"/>
              </w:rPr>
              <w:t>出水水质可满足《陕西省黄河流域污水综合排放标准》（DB61/224-2018）中A标准。</w:t>
            </w:r>
          </w:p>
          <w:p w14:paraId="2F9BAB8E">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陇县工业园区管理委员会拟投资5200.91万元，新建一座污水处理厂及配套污水及中水管网，其中污水处理厂总投资约4430.84万元，日设计总处理规模为2000m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b w:val="0"/>
                <w:bCs w:val="0"/>
                <w:color w:val="auto"/>
                <w:spacing w:val="0"/>
                <w:w w:val="100"/>
                <w:sz w:val="24"/>
                <w:szCs w:val="24"/>
                <w:lang w:val="en-US" w:eastAsia="zh-CN"/>
              </w:rPr>
              <w:t>/d，回用水400m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b w:val="0"/>
                <w:bCs w:val="0"/>
                <w:color w:val="auto"/>
                <w:spacing w:val="0"/>
                <w:w w:val="100"/>
                <w:sz w:val="24"/>
                <w:szCs w:val="24"/>
                <w:lang w:val="en-US" w:eastAsia="zh-CN"/>
              </w:rPr>
              <w:t>/d，配套建设格栅间、沉砂池、调节池、AAO+MBR池、二氧化氯接触消毒池、变配电间、泵房、污泥脱水机房等建构筑物、污水处理设施以及自控电气等设备系统。</w:t>
            </w:r>
          </w:p>
          <w:p w14:paraId="79AF1AC2">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2" w:firstLineChars="200"/>
              <w:jc w:val="both"/>
              <w:textAlignment w:val="auto"/>
              <w:rPr>
                <w:rFonts w:hint="default" w:ascii="Times New Roman" w:hAnsi="Times New Roman" w:eastAsia="宋体" w:cs="Times New Roman"/>
                <w:b/>
                <w:bCs/>
                <w:color w:val="auto"/>
                <w:spacing w:val="0"/>
                <w:w w:val="100"/>
                <w:sz w:val="24"/>
                <w:szCs w:val="24"/>
                <w:lang w:val="en-US" w:eastAsia="zh-CN"/>
              </w:rPr>
            </w:pPr>
            <w:r>
              <w:rPr>
                <w:rFonts w:hint="default" w:ascii="Times New Roman" w:hAnsi="Times New Roman" w:eastAsia="宋体" w:cs="Times New Roman"/>
                <w:b/>
                <w:bCs/>
                <w:color w:val="auto"/>
                <w:spacing w:val="0"/>
                <w:w w:val="100"/>
                <w:sz w:val="24"/>
                <w:szCs w:val="24"/>
                <w:lang w:val="en-US" w:eastAsia="zh-CN"/>
              </w:rPr>
              <w:t>由于污水及中水管网设计部分内容未确定，因此本次环评仅针对污水处理厂建设进行评价，污水及中水管网另行评价，不在本次评价范围内。</w:t>
            </w:r>
          </w:p>
          <w:p w14:paraId="1DE59C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eastAsia="zh-CN"/>
              </w:rPr>
              <w:t>一</w:t>
            </w:r>
            <w:r>
              <w:rPr>
                <w:rFonts w:hint="default" w:ascii="Times New Roman" w:hAnsi="Times New Roman" w:eastAsia="宋体" w:cs="Times New Roman"/>
                <w:color w:val="auto"/>
                <w:spacing w:val="0"/>
                <w:w w:val="100"/>
                <w:sz w:val="24"/>
                <w:szCs w:val="24"/>
              </w:rPr>
              <w:t>、项目地点</w:t>
            </w:r>
          </w:p>
          <w:p w14:paraId="71C346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eastAsia="zh-CN"/>
              </w:rPr>
              <w:t>本项目位于陇县经济技术开发区新材料产业园内，项目为新建，具体地理位置坐标为：东经10</w:t>
            </w:r>
            <w:r>
              <w:rPr>
                <w:rFonts w:hint="default" w:ascii="Times New Roman" w:hAnsi="Times New Roman" w:eastAsia="宋体" w:cs="Times New Roman"/>
                <w:color w:val="auto"/>
                <w:spacing w:val="0"/>
                <w:w w:val="100"/>
                <w:sz w:val="24"/>
                <w:szCs w:val="24"/>
                <w:lang w:val="en-US" w:eastAsia="zh-CN"/>
              </w:rPr>
              <w:t>6</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54</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45.527</w:t>
            </w:r>
            <w:r>
              <w:rPr>
                <w:rFonts w:hint="default" w:ascii="Times New Roman" w:hAnsi="Times New Roman" w:eastAsia="宋体" w:cs="Times New Roman"/>
                <w:color w:val="auto"/>
                <w:spacing w:val="0"/>
                <w:w w:val="100"/>
                <w:sz w:val="24"/>
                <w:szCs w:val="24"/>
                <w:lang w:eastAsia="zh-CN"/>
              </w:rPr>
              <w:t>″，北纬34°5</w:t>
            </w:r>
            <w:r>
              <w:rPr>
                <w:rFonts w:hint="default" w:ascii="Times New Roman" w:hAnsi="Times New Roman" w:eastAsia="宋体" w:cs="Times New Roman"/>
                <w:color w:val="auto"/>
                <w:spacing w:val="0"/>
                <w:w w:val="100"/>
                <w:sz w:val="24"/>
                <w:szCs w:val="24"/>
                <w:lang w:val="en-US" w:eastAsia="zh-CN"/>
              </w:rPr>
              <w:t>1</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16.129</w:t>
            </w:r>
            <w:r>
              <w:rPr>
                <w:rFonts w:hint="default" w:ascii="Times New Roman" w:hAnsi="Times New Roman" w:eastAsia="宋体" w:cs="Times New Roman"/>
                <w:color w:val="auto"/>
                <w:spacing w:val="0"/>
                <w:w w:val="100"/>
                <w:sz w:val="24"/>
                <w:szCs w:val="24"/>
                <w:lang w:eastAsia="zh-CN"/>
              </w:rPr>
              <w:t>。具体详见项目地理位置图附图1。</w:t>
            </w:r>
          </w:p>
          <w:p w14:paraId="16B3EFC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color w:val="auto"/>
                <w:spacing w:val="0"/>
                <w:w w:val="100"/>
                <w:sz w:val="24"/>
                <w:lang w:eastAsia="zh-CN"/>
              </w:rPr>
            </w:pPr>
            <w:r>
              <w:rPr>
                <w:rFonts w:hint="default" w:ascii="Times New Roman" w:hAnsi="Times New Roman" w:eastAsia="宋体" w:cs="Times New Roman"/>
                <w:b w:val="0"/>
                <w:bCs/>
                <w:color w:val="auto"/>
                <w:spacing w:val="0"/>
                <w:w w:val="100"/>
                <w:sz w:val="24"/>
                <w:lang w:val="en-US" w:eastAsia="zh-CN"/>
              </w:rPr>
              <w:t>二、</w:t>
            </w:r>
            <w:r>
              <w:rPr>
                <w:rFonts w:hint="default" w:ascii="Times New Roman" w:hAnsi="Times New Roman" w:eastAsia="宋体" w:cs="Times New Roman"/>
                <w:color w:val="auto"/>
                <w:spacing w:val="0"/>
                <w:w w:val="100"/>
                <w:sz w:val="24"/>
                <w:szCs w:val="24"/>
                <w:lang w:eastAsia="zh-CN"/>
              </w:rPr>
              <w:t>工程服务范围、污水处理规模及进、</w:t>
            </w:r>
            <w:r>
              <w:rPr>
                <w:rFonts w:hint="default" w:ascii="Times New Roman" w:hAnsi="Times New Roman" w:eastAsia="宋体" w:cs="Times New Roman"/>
                <w:b w:val="0"/>
                <w:bCs/>
                <w:color w:val="auto"/>
                <w:spacing w:val="0"/>
                <w:w w:val="100"/>
                <w:sz w:val="24"/>
                <w:lang w:eastAsia="zh-CN"/>
              </w:rPr>
              <w:t>出水水质</w:t>
            </w:r>
          </w:p>
          <w:p w14:paraId="050D7D2C">
            <w:pPr>
              <w:keepNext w:val="0"/>
              <w:keepLines w:val="0"/>
              <w:suppressLineNumbers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color w:val="auto"/>
                <w:spacing w:val="0"/>
                <w:w w:val="100"/>
                <w:sz w:val="24"/>
                <w:szCs w:val="24"/>
                <w:lang w:eastAsia="zh-CN"/>
              </w:rPr>
            </w:pPr>
            <w:r>
              <w:rPr>
                <w:rFonts w:hint="default" w:ascii="Times New Roman" w:hAnsi="Times New Roman" w:eastAsia="宋体" w:cs="Times New Roman"/>
                <w:b w:val="0"/>
                <w:bCs/>
                <w:color w:val="auto"/>
                <w:spacing w:val="0"/>
                <w:w w:val="100"/>
                <w:sz w:val="24"/>
                <w:szCs w:val="24"/>
                <w:lang w:eastAsia="zh-CN"/>
              </w:rPr>
              <w:t>（</w:t>
            </w:r>
            <w:r>
              <w:rPr>
                <w:rFonts w:hint="default" w:ascii="Times New Roman" w:hAnsi="Times New Roman" w:eastAsia="宋体" w:cs="Times New Roman"/>
                <w:b w:val="0"/>
                <w:bCs/>
                <w:color w:val="auto"/>
                <w:spacing w:val="0"/>
                <w:w w:val="100"/>
                <w:sz w:val="24"/>
                <w:szCs w:val="24"/>
                <w:lang w:val="en-US" w:eastAsia="zh-CN"/>
              </w:rPr>
              <w:t>1</w:t>
            </w:r>
            <w:r>
              <w:rPr>
                <w:rFonts w:hint="default" w:ascii="Times New Roman" w:hAnsi="Times New Roman" w:eastAsia="宋体" w:cs="Times New Roman"/>
                <w:b w:val="0"/>
                <w:bCs/>
                <w:color w:val="auto"/>
                <w:spacing w:val="0"/>
                <w:w w:val="100"/>
                <w:sz w:val="24"/>
                <w:szCs w:val="24"/>
                <w:lang w:eastAsia="zh-CN"/>
              </w:rPr>
              <w:t>）项目服务范围及排水现状</w:t>
            </w:r>
          </w:p>
          <w:p w14:paraId="0C120310">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szCs w:val="24"/>
                <w:lang w:eastAsia="zh-CN"/>
              </w:rPr>
            </w:pPr>
            <w:r>
              <w:rPr>
                <w:rFonts w:hint="default" w:ascii="Times New Roman" w:hAnsi="Times New Roman" w:cs="Times New Roman"/>
                <w:color w:val="auto"/>
                <w:spacing w:val="0"/>
                <w:w w:val="100"/>
                <w:sz w:val="24"/>
                <w:szCs w:val="24"/>
              </w:rPr>
              <w:fldChar w:fldCharType="begin"/>
            </w:r>
            <w:r>
              <w:rPr>
                <w:rFonts w:hint="default" w:ascii="Times New Roman" w:hAnsi="Times New Roman" w:cs="Times New Roman"/>
                <w:color w:val="auto"/>
                <w:spacing w:val="0"/>
                <w:w w:val="100"/>
                <w:sz w:val="24"/>
                <w:szCs w:val="24"/>
              </w:rPr>
              <w:instrText xml:space="preserve"> = 1 \* GB3 \* MERGEFORMAT </w:instrText>
            </w:r>
            <w:r>
              <w:rPr>
                <w:rFonts w:hint="default" w:ascii="Times New Roman" w:hAnsi="Times New Roman" w:cs="Times New Roman"/>
                <w:color w:val="auto"/>
                <w:spacing w:val="0"/>
                <w:w w:val="100"/>
                <w:sz w:val="24"/>
                <w:szCs w:val="24"/>
              </w:rPr>
              <w:fldChar w:fldCharType="separate"/>
            </w:r>
            <w:r>
              <w:rPr>
                <w:rFonts w:hint="default" w:ascii="Times New Roman" w:hAnsi="Times New Roman" w:cs="Times New Roman"/>
                <w:color w:val="auto"/>
                <w:sz w:val="24"/>
                <w:szCs w:val="24"/>
              </w:rPr>
              <w:t>①</w:t>
            </w:r>
            <w:r>
              <w:rPr>
                <w:rFonts w:hint="default" w:ascii="Times New Roman" w:hAnsi="Times New Roman" w:cs="Times New Roman"/>
                <w:color w:val="auto"/>
                <w:spacing w:val="0"/>
                <w:w w:val="100"/>
                <w:sz w:val="24"/>
                <w:szCs w:val="24"/>
              </w:rPr>
              <w:fldChar w:fldCharType="end"/>
            </w:r>
            <w:r>
              <w:rPr>
                <w:rFonts w:hint="default" w:ascii="Times New Roman" w:hAnsi="Times New Roman" w:cs="Times New Roman"/>
                <w:color w:val="auto"/>
                <w:spacing w:val="0"/>
                <w:w w:val="100"/>
                <w:sz w:val="24"/>
                <w:szCs w:val="24"/>
                <w:lang w:eastAsia="zh-CN"/>
              </w:rPr>
              <w:t>服务范围</w:t>
            </w:r>
          </w:p>
          <w:p w14:paraId="567F9FF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szCs w:val="24"/>
              </w:rPr>
            </w:pPr>
            <w:r>
              <w:rPr>
                <w:rFonts w:hint="default" w:ascii="Times New Roman" w:hAnsi="Times New Roman" w:eastAsia="宋体" w:cs="Times New Roman"/>
                <w:b w:val="0"/>
                <w:bCs/>
                <w:color w:val="auto"/>
                <w:spacing w:val="0"/>
                <w:w w:val="100"/>
                <w:sz w:val="24"/>
                <w:szCs w:val="24"/>
                <w:lang w:eastAsia="zh-CN"/>
              </w:rPr>
              <w:t>项目服务范围</w:t>
            </w:r>
            <w:r>
              <w:rPr>
                <w:rFonts w:hint="default" w:ascii="Times New Roman" w:hAnsi="Times New Roman" w:cs="Times New Roman"/>
                <w:color w:val="auto"/>
                <w:spacing w:val="0"/>
                <w:w w:val="100"/>
                <w:sz w:val="24"/>
                <w:szCs w:val="24"/>
              </w:rPr>
              <w:t>为</w:t>
            </w:r>
            <w:r>
              <w:rPr>
                <w:rFonts w:hint="default" w:ascii="Times New Roman" w:hAnsi="Times New Roman" w:cs="Times New Roman"/>
                <w:color w:val="auto"/>
                <w:spacing w:val="0"/>
                <w:w w:val="100"/>
                <w:sz w:val="24"/>
                <w:szCs w:val="24"/>
                <w:lang w:val="en-US" w:eastAsia="zh-CN"/>
              </w:rPr>
              <w:t>陇县经济技术开发区范围内</w:t>
            </w:r>
            <w:r>
              <w:rPr>
                <w:rFonts w:hint="default" w:ascii="Times New Roman" w:hAnsi="Times New Roman" w:cs="Times New Roman"/>
                <w:color w:val="auto"/>
                <w:spacing w:val="0"/>
                <w:w w:val="100"/>
                <w:sz w:val="24"/>
                <w:szCs w:val="24"/>
                <w:lang w:eastAsia="zh-CN"/>
              </w:rPr>
              <w:t>产生的生活污水及部分工业废水</w:t>
            </w:r>
            <w:r>
              <w:rPr>
                <w:rFonts w:hint="default" w:ascii="Times New Roman" w:hAnsi="Times New Roman" w:cs="Times New Roman"/>
                <w:color w:val="auto"/>
                <w:spacing w:val="0"/>
                <w:w w:val="100"/>
                <w:sz w:val="24"/>
                <w:szCs w:val="24"/>
              </w:rPr>
              <w:t>，服务面积</w:t>
            </w:r>
            <w:r>
              <w:rPr>
                <w:rFonts w:hint="default" w:ascii="Times New Roman" w:hAnsi="Times New Roman" w:cs="Times New Roman"/>
                <w:bCs/>
                <w:color w:val="auto"/>
                <w:spacing w:val="0"/>
                <w:w w:val="100"/>
                <w:sz w:val="24"/>
                <w:szCs w:val="24"/>
                <w:lang w:val="en-US" w:eastAsia="zh-CN"/>
              </w:rPr>
              <w:t>300.07公顷</w:t>
            </w:r>
            <w:r>
              <w:rPr>
                <w:rFonts w:hint="default" w:ascii="Times New Roman" w:hAnsi="Times New Roman" w:cs="Times New Roman"/>
                <w:color w:val="auto"/>
                <w:spacing w:val="0"/>
                <w:w w:val="100"/>
                <w:sz w:val="24"/>
                <w:szCs w:val="24"/>
              </w:rPr>
              <w:t>。</w:t>
            </w:r>
          </w:p>
          <w:p w14:paraId="59C3FBDB">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szCs w:val="24"/>
                <w:lang w:val="en-US" w:eastAsia="zh-CN"/>
              </w:rPr>
            </w:pPr>
            <w:r>
              <w:rPr>
                <w:rFonts w:hint="default" w:ascii="Times New Roman" w:hAnsi="Times New Roman" w:cs="Times New Roman"/>
                <w:color w:val="auto"/>
                <w:spacing w:val="0"/>
                <w:w w:val="100"/>
                <w:sz w:val="24"/>
                <w:szCs w:val="24"/>
                <w:lang w:val="en-US" w:eastAsia="zh-CN"/>
              </w:rPr>
              <w:t>项目污水处理厂服务范围内主要为生活污水，还有部分经预处理后的生产废水，根据《可研》资料统计，生产废水占比约为30%，生活污水占比约为70%。</w:t>
            </w:r>
          </w:p>
          <w:p w14:paraId="7E6DE6FA">
            <w:pPr>
              <w:keepNext w:val="0"/>
              <w:keepLines w:val="0"/>
              <w:suppressLineNumbers w:val="0"/>
              <w:adjustRightInd w:val="0"/>
              <w:spacing w:before="0" w:beforeAutospacing="0" w:after="0" w:afterAutospacing="0" w:line="360" w:lineRule="auto"/>
              <w:ind w:left="0" w:right="0" w:firstLine="480" w:firstLineChars="200"/>
              <w:jc w:val="both"/>
              <w:rPr>
                <w:rFonts w:hint="default" w:ascii="Times New Roman" w:hAnsi="Times New Roman" w:cs="Times New Roman"/>
                <w:color w:val="auto"/>
                <w:spacing w:val="0"/>
                <w:w w:val="100"/>
                <w:sz w:val="24"/>
                <w:szCs w:val="24"/>
                <w:lang w:eastAsia="zh-CN"/>
              </w:rPr>
            </w:pPr>
            <w:r>
              <w:rPr>
                <w:rFonts w:hint="default" w:ascii="Times New Roman" w:hAnsi="Times New Roman" w:cs="Times New Roman"/>
                <w:color w:val="auto"/>
                <w:spacing w:val="0"/>
                <w:w w:val="100"/>
                <w:sz w:val="24"/>
                <w:szCs w:val="24"/>
                <w:lang w:eastAsia="zh-CN"/>
              </w:rPr>
              <w:fldChar w:fldCharType="begin"/>
            </w:r>
            <w:r>
              <w:rPr>
                <w:rFonts w:hint="default" w:ascii="Times New Roman" w:hAnsi="Times New Roman" w:cs="Times New Roman"/>
                <w:color w:val="auto"/>
                <w:spacing w:val="0"/>
                <w:w w:val="100"/>
                <w:sz w:val="24"/>
                <w:szCs w:val="24"/>
                <w:lang w:eastAsia="zh-CN"/>
              </w:rPr>
              <w:instrText xml:space="preserve"> = 2 \* GB3 \* MERGEFORMAT </w:instrText>
            </w:r>
            <w:r>
              <w:rPr>
                <w:rFonts w:hint="default" w:ascii="Times New Roman" w:hAnsi="Times New Roman" w:cs="Times New Roman"/>
                <w:color w:val="auto"/>
                <w:spacing w:val="0"/>
                <w:w w:val="100"/>
                <w:sz w:val="24"/>
                <w:szCs w:val="24"/>
                <w:lang w:eastAsia="zh-CN"/>
              </w:rPr>
              <w:fldChar w:fldCharType="separate"/>
            </w:r>
            <w:r>
              <w:rPr>
                <w:rFonts w:hint="default" w:ascii="Times New Roman" w:hAnsi="Times New Roman" w:cs="Times New Roman"/>
                <w:color w:val="auto"/>
                <w:sz w:val="24"/>
                <w:szCs w:val="24"/>
              </w:rPr>
              <w:t>②</w:t>
            </w:r>
            <w:r>
              <w:rPr>
                <w:rFonts w:hint="default" w:ascii="Times New Roman" w:hAnsi="Times New Roman" w:cs="Times New Roman"/>
                <w:color w:val="auto"/>
                <w:spacing w:val="0"/>
                <w:w w:val="100"/>
                <w:sz w:val="24"/>
                <w:szCs w:val="24"/>
                <w:lang w:eastAsia="zh-CN"/>
              </w:rPr>
              <w:fldChar w:fldCharType="end"/>
            </w:r>
            <w:r>
              <w:rPr>
                <w:rFonts w:hint="default" w:ascii="Times New Roman" w:hAnsi="Times New Roman" w:cs="Times New Roman"/>
                <w:color w:val="auto"/>
                <w:spacing w:val="0"/>
                <w:w w:val="100"/>
                <w:sz w:val="24"/>
                <w:szCs w:val="24"/>
                <w:lang w:eastAsia="zh-CN"/>
              </w:rPr>
              <w:t>排水现状</w:t>
            </w:r>
          </w:p>
          <w:p w14:paraId="35486758">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szCs w:val="24"/>
                <w:lang w:eastAsia="zh-CN"/>
              </w:rPr>
            </w:pPr>
            <w:r>
              <w:rPr>
                <w:rFonts w:hint="default" w:ascii="Times New Roman" w:hAnsi="Times New Roman" w:cs="Times New Roman"/>
                <w:color w:val="auto"/>
                <w:spacing w:val="0"/>
                <w:w w:val="100"/>
                <w:sz w:val="24"/>
                <w:szCs w:val="24"/>
                <w:lang w:eastAsia="zh-CN"/>
              </w:rPr>
              <w:t>根据《陕西陇县经济技术开发区总体规划（2022-2035）环境影响报告书》</w:t>
            </w:r>
            <w:r>
              <w:rPr>
                <w:rFonts w:hint="default" w:ascii="Times New Roman" w:hAnsi="Times New Roman" w:cs="Times New Roman"/>
                <w:color w:val="auto"/>
                <w:spacing w:val="0"/>
                <w:w w:val="100"/>
                <w:sz w:val="24"/>
                <w:szCs w:val="24"/>
                <w:lang w:val="en-US" w:eastAsia="zh-CN"/>
              </w:rPr>
              <w:t>及</w:t>
            </w:r>
            <w:r>
              <w:rPr>
                <w:rFonts w:hint="default" w:ascii="Times New Roman" w:hAnsi="Times New Roman" w:cs="Times New Roman"/>
                <w:color w:val="auto"/>
                <w:spacing w:val="0"/>
                <w:w w:val="100"/>
                <w:sz w:val="24"/>
                <w:szCs w:val="24"/>
                <w:lang w:eastAsia="zh-CN"/>
              </w:rPr>
              <w:t>现场调查，陇县经济技术开发区现有企业和单位均铺设有污水收水管网，覆盖率为100%，千河南岸至北岸的穿河管网已于2015年完成敷设，</w:t>
            </w:r>
            <w:r>
              <w:rPr>
                <w:rFonts w:hint="default" w:ascii="Times New Roman" w:hAnsi="Times New Roman" w:eastAsia="宋体" w:cs="Times New Roman"/>
                <w:color w:val="auto"/>
                <w:spacing w:val="0"/>
                <w:w w:val="100"/>
                <w:sz w:val="24"/>
                <w:szCs w:val="24"/>
                <w:lang w:val="en-US" w:eastAsia="zh-CN"/>
              </w:rPr>
              <w:t>规划区内废水首先经预处理</w:t>
            </w:r>
            <w:r>
              <w:rPr>
                <w:rFonts w:hint="default" w:ascii="Times New Roman" w:hAnsi="Times New Roman" w:cs="Times New Roman"/>
                <w:color w:val="auto"/>
                <w:spacing w:val="0"/>
                <w:w w:val="100"/>
                <w:sz w:val="24"/>
                <w:szCs w:val="24"/>
                <w:lang w:val="en-US" w:eastAsia="zh-CN"/>
              </w:rPr>
              <w:t>达到</w:t>
            </w:r>
            <w:r>
              <w:rPr>
                <w:rFonts w:hint="default" w:ascii="Times New Roman" w:hAnsi="Times New Roman" w:eastAsia="宋体" w:cs="Times New Roman"/>
                <w:color w:val="auto"/>
                <w:spacing w:val="0"/>
                <w:w w:val="100"/>
                <w:sz w:val="24"/>
                <w:szCs w:val="24"/>
                <w:lang w:val="en-US" w:eastAsia="zh-CN"/>
              </w:rPr>
              <w:t>集中处理要求，再进入污水处理厂，污水处理规模为1万m</w:t>
            </w:r>
            <w:r>
              <w:rPr>
                <w:rFonts w:hint="default" w:ascii="Times New Roman" w:hAnsi="Times New Roman" w:eastAsia="宋体" w:cs="Times New Roman"/>
                <w:color w:val="auto"/>
                <w:spacing w:val="0"/>
                <w:w w:val="100"/>
                <w:sz w:val="24"/>
                <w:szCs w:val="24"/>
                <w:vertAlign w:val="superscript"/>
                <w:lang w:val="en-US" w:eastAsia="zh-CN"/>
              </w:rPr>
              <w:t>3</w:t>
            </w:r>
            <w:r>
              <w:rPr>
                <w:rFonts w:hint="default" w:ascii="Times New Roman" w:hAnsi="Times New Roman" w:eastAsia="宋体" w:cs="Times New Roman"/>
                <w:color w:val="auto"/>
                <w:spacing w:val="0"/>
                <w:w w:val="100"/>
                <w:sz w:val="24"/>
                <w:szCs w:val="24"/>
                <w:lang w:val="en-US" w:eastAsia="zh-CN"/>
              </w:rPr>
              <w:t>/d，采用工艺为“粗格栅+细格栅及漩流沉沙+初沉池+BioDopp生化反应+过滤+消毒</w:t>
            </w:r>
            <w:r>
              <w:rPr>
                <w:rFonts w:hint="default" w:ascii="Times New Roman" w:hAnsi="Times New Roman" w:cs="Times New Roman"/>
                <w:color w:val="auto"/>
                <w:spacing w:val="0"/>
                <w:w w:val="100"/>
                <w:sz w:val="24"/>
                <w:szCs w:val="24"/>
                <w:lang w:val="en-US" w:eastAsia="zh-CN"/>
              </w:rPr>
              <w:t>”，</w:t>
            </w:r>
            <w:r>
              <w:rPr>
                <w:rFonts w:hint="default" w:ascii="Times New Roman" w:hAnsi="Times New Roman" w:cs="Times New Roman"/>
                <w:color w:val="auto"/>
                <w:spacing w:val="0"/>
                <w:w w:val="100"/>
                <w:sz w:val="24"/>
                <w:szCs w:val="24"/>
                <w:lang w:eastAsia="zh-CN"/>
              </w:rPr>
              <w:t>2020年陇县千河南岸新城污水处理厂进行提标改造，改造后处理规模为1万m</w:t>
            </w:r>
            <w:r>
              <w:rPr>
                <w:rFonts w:hint="default" w:ascii="Times New Roman" w:hAnsi="Times New Roman" w:cs="Times New Roman"/>
                <w:color w:val="auto"/>
                <w:spacing w:val="0"/>
                <w:w w:val="100"/>
                <w:sz w:val="24"/>
                <w:szCs w:val="24"/>
                <w:vertAlign w:val="superscript"/>
                <w:lang w:eastAsia="zh-CN"/>
              </w:rPr>
              <w:t>3</w:t>
            </w:r>
            <w:r>
              <w:rPr>
                <w:rFonts w:hint="default" w:ascii="Times New Roman" w:hAnsi="Times New Roman" w:cs="Times New Roman"/>
                <w:color w:val="auto"/>
                <w:spacing w:val="0"/>
                <w:w w:val="100"/>
                <w:sz w:val="24"/>
                <w:szCs w:val="24"/>
                <w:lang w:eastAsia="zh-CN"/>
              </w:rPr>
              <w:t>/d不变，改造后污水处理工艺采用“A</w:t>
            </w:r>
            <w:r>
              <w:rPr>
                <w:rFonts w:hint="default" w:ascii="Times New Roman" w:hAnsi="Times New Roman" w:cs="Times New Roman"/>
                <w:color w:val="auto"/>
                <w:spacing w:val="0"/>
                <w:w w:val="100"/>
                <w:sz w:val="24"/>
                <w:szCs w:val="24"/>
                <w:vertAlign w:val="superscript"/>
                <w:lang w:eastAsia="zh-CN"/>
              </w:rPr>
              <w:t>2</w:t>
            </w:r>
            <w:r>
              <w:rPr>
                <w:rFonts w:hint="default" w:ascii="Times New Roman" w:hAnsi="Times New Roman" w:cs="Times New Roman"/>
                <w:color w:val="auto"/>
                <w:spacing w:val="0"/>
                <w:w w:val="100"/>
                <w:sz w:val="24"/>
                <w:szCs w:val="24"/>
                <w:lang w:eastAsia="zh-CN"/>
              </w:rPr>
              <w:t>/O+纤维转盘滤池+紫外线消毒”。污</w:t>
            </w:r>
            <w:r>
              <w:rPr>
                <w:rFonts w:hint="default" w:ascii="Times New Roman" w:hAnsi="Times New Roman" w:cs="Times New Roman"/>
                <w:color w:val="auto"/>
                <w:spacing w:val="0"/>
                <w:w w:val="100"/>
                <w:sz w:val="24"/>
                <w:szCs w:val="24"/>
                <w:lang w:val="en-US" w:eastAsia="zh-CN"/>
              </w:rPr>
              <w:t>出</w:t>
            </w:r>
            <w:r>
              <w:rPr>
                <w:rFonts w:hint="default" w:ascii="Times New Roman" w:hAnsi="Times New Roman" w:eastAsia="宋体" w:cs="Times New Roman"/>
                <w:color w:val="000000"/>
                <w:kern w:val="0"/>
                <w:sz w:val="24"/>
                <w:szCs w:val="24"/>
                <w:lang w:val="en-US" w:eastAsia="zh-CN" w:bidi="ar"/>
              </w:rPr>
              <w:t>水水质执行《陕西省黄河流域污水综合排放标准》（DB61/224-2018）中的A标准，</w:t>
            </w:r>
            <w:r>
              <w:rPr>
                <w:rFonts w:hint="default" w:ascii="Times New Roman" w:hAnsi="Times New Roman" w:eastAsia="宋体" w:cs="Times New Roman"/>
                <w:color w:val="auto"/>
                <w:spacing w:val="0"/>
                <w:w w:val="100"/>
                <w:sz w:val="24"/>
                <w:szCs w:val="24"/>
                <w:lang w:val="en-US" w:eastAsia="zh-CN"/>
              </w:rPr>
              <w:t>处理后排放千河。</w:t>
            </w:r>
          </w:p>
          <w:p w14:paraId="5CE09D78">
            <w:pPr>
              <w:keepNext w:val="0"/>
              <w:keepLines w:val="0"/>
              <w:suppressLineNumbers w:val="0"/>
              <w:adjustRightInd w:val="0"/>
              <w:spacing w:before="0" w:beforeAutospacing="0" w:after="0" w:afterAutospacing="0" w:line="360" w:lineRule="auto"/>
              <w:ind w:left="0" w:right="0" w:firstLine="480" w:firstLineChars="200"/>
              <w:jc w:val="both"/>
              <w:rPr>
                <w:rFonts w:hint="default" w:ascii="Times New Roman" w:hAnsi="Times New Roman" w:cs="Times New Roman"/>
                <w:color w:val="auto"/>
                <w:spacing w:val="0"/>
                <w:w w:val="100"/>
                <w:sz w:val="24"/>
                <w:szCs w:val="24"/>
                <w:lang w:eastAsia="zh-CN"/>
              </w:rPr>
            </w:pPr>
            <w:r>
              <w:rPr>
                <w:rFonts w:hint="default"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lang w:val="en-US" w:eastAsia="zh-CN"/>
              </w:rPr>
              <w:t>2</w:t>
            </w:r>
            <w:r>
              <w:rPr>
                <w:rFonts w:hint="default" w:ascii="Times New Roman" w:hAnsi="Times New Roman" w:cs="Times New Roman"/>
                <w:color w:val="auto"/>
                <w:spacing w:val="0"/>
                <w:w w:val="100"/>
                <w:sz w:val="24"/>
                <w:szCs w:val="24"/>
                <w:lang w:eastAsia="zh-CN"/>
              </w:rPr>
              <w:t>）污水处理规模</w:t>
            </w:r>
          </w:p>
          <w:p w14:paraId="77EBC11C">
            <w:pPr>
              <w:keepNext w:val="0"/>
              <w:keepLines w:val="0"/>
              <w:suppressLineNumbers w:val="0"/>
              <w:spacing w:before="91" w:beforeAutospacing="0" w:after="0" w:afterAutospacing="0" w:line="376" w:lineRule="auto"/>
              <w:ind w:left="124" w:right="218" w:firstLine="560"/>
              <w:jc w:val="both"/>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现状园区入驻企业80家，根据《</w:t>
            </w:r>
            <w:r>
              <w:rPr>
                <w:rFonts w:hint="default" w:ascii="Times New Roman" w:hAnsi="Times New Roman" w:cs="Times New Roman"/>
                <w:color w:val="auto"/>
                <w:spacing w:val="0"/>
                <w:w w:val="100"/>
                <w:sz w:val="24"/>
                <w:szCs w:val="24"/>
                <w:lang w:eastAsia="zh-CN"/>
              </w:rPr>
              <w:t>陕西陇县经济技术开发区总体规划（2022-2035）</w:t>
            </w:r>
            <w:r>
              <w:rPr>
                <w:rFonts w:hint="default" w:ascii="Times New Roman" w:hAnsi="Times New Roman" w:eastAsia="宋体" w:cs="Times New Roman"/>
                <w:spacing w:val="-2"/>
                <w:sz w:val="24"/>
                <w:szCs w:val="24"/>
              </w:rPr>
              <w:t>》，到2035年，经济总量和质量全面提升，经开区总产值达到200亿元，入驻企业达300户以上，</w:t>
            </w:r>
            <w:r>
              <w:rPr>
                <w:rFonts w:hint="default" w:ascii="Times New Roman" w:hAnsi="Times New Roman" w:eastAsia="宋体" w:cs="Times New Roman"/>
                <w:spacing w:val="-6"/>
                <w:sz w:val="24"/>
                <w:szCs w:val="24"/>
              </w:rPr>
              <w:t>安置就业人数1.3万人。</w:t>
            </w:r>
          </w:p>
          <w:p w14:paraId="1B311030">
            <w:pPr>
              <w:keepNext w:val="0"/>
              <w:keepLines w:val="0"/>
              <w:suppressLineNumbers w:val="0"/>
              <w:spacing w:before="7" w:beforeAutospacing="0" w:after="0" w:afterAutospacing="0" w:line="376" w:lineRule="auto"/>
              <w:ind w:left="123" w:right="215" w:firstLine="561"/>
              <w:jc w:val="both"/>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按照规划，规划2035年经开区工业用地189.09h</w:t>
            </w:r>
            <w:r>
              <w:rPr>
                <w:rFonts w:hint="default" w:ascii="Times New Roman" w:hAnsi="Times New Roman" w:eastAsia="宋体" w:cs="Times New Roman"/>
                <w:b w:val="0"/>
                <w:bCs w:val="0"/>
                <w:color w:val="auto"/>
                <w:spacing w:val="0"/>
                <w:w w:val="100"/>
                <w:sz w:val="24"/>
                <w:szCs w:val="24"/>
                <w:lang w:val="en-US" w:eastAsia="zh-CN"/>
              </w:rPr>
              <w:t>m</w:t>
            </w:r>
            <w:r>
              <w:rPr>
                <w:rFonts w:hint="default" w:ascii="Times New Roman" w:hAnsi="Times New Roman" w:eastAsia="宋体" w:cs="Times New Roman"/>
                <w:b w:val="0"/>
                <w:bCs w:val="0"/>
                <w:color w:val="auto"/>
                <w:spacing w:val="0"/>
                <w:w w:val="100"/>
                <w:sz w:val="24"/>
                <w:szCs w:val="24"/>
                <w:vertAlign w:val="superscript"/>
                <w:lang w:val="en-US" w:eastAsia="zh-CN"/>
              </w:rPr>
              <w:t>2</w:t>
            </w:r>
            <w:r>
              <w:rPr>
                <w:rFonts w:hint="default" w:ascii="Times New Roman" w:hAnsi="Times New Roman" w:eastAsia="宋体" w:cs="Times New Roman"/>
                <w:spacing w:val="-4"/>
                <w:sz w:val="24"/>
                <w:szCs w:val="24"/>
              </w:rPr>
              <w:t>，《城市给水</w:t>
            </w:r>
            <w:r>
              <w:rPr>
                <w:rFonts w:hint="default" w:ascii="Times New Roman" w:hAnsi="Times New Roman" w:eastAsia="宋体" w:cs="Times New Roman"/>
                <w:sz w:val="24"/>
                <w:szCs w:val="24"/>
              </w:rPr>
              <w:t>工程规划规范》，规划年伴随工业节水技术的发展，工</w:t>
            </w:r>
            <w:r>
              <w:rPr>
                <w:rFonts w:hint="default" w:ascii="Times New Roman" w:hAnsi="Times New Roman" w:eastAsia="宋体" w:cs="Times New Roman"/>
                <w:spacing w:val="-1"/>
                <w:sz w:val="24"/>
                <w:szCs w:val="24"/>
              </w:rPr>
              <w:t>业用水指标取值</w:t>
            </w:r>
            <w:r>
              <w:rPr>
                <w:rFonts w:hint="default" w:ascii="Times New Roman" w:hAnsi="Times New Roman" w:eastAsia="宋体" w:cs="Times New Roman"/>
                <w:spacing w:val="-8"/>
                <w:sz w:val="24"/>
                <w:szCs w:val="24"/>
                <w:lang w:val="en-US" w:eastAsia="zh-CN"/>
              </w:rPr>
              <w:t>1</w:t>
            </w:r>
            <w:r>
              <w:rPr>
                <w:rFonts w:hint="default" w:ascii="Times New Roman" w:hAnsi="Times New Roman" w:eastAsia="宋体" w:cs="Times New Roman"/>
                <w:spacing w:val="-8"/>
                <w:sz w:val="24"/>
                <w:szCs w:val="24"/>
              </w:rPr>
              <w:t>0</w:t>
            </w:r>
            <w:r>
              <w:rPr>
                <w:rFonts w:hint="default" w:ascii="Times New Roman" w:hAnsi="Times New Roman" w:eastAsia="宋体" w:cs="Times New Roman"/>
                <w:b w:val="0"/>
                <w:bCs w:val="0"/>
                <w:color w:val="auto"/>
                <w:spacing w:val="0"/>
                <w:w w:val="100"/>
                <w:sz w:val="24"/>
                <w:szCs w:val="24"/>
                <w:lang w:val="en-US" w:eastAsia="zh-CN"/>
              </w:rPr>
              <w:t>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spacing w:val="-8"/>
                <w:sz w:val="24"/>
                <w:szCs w:val="24"/>
              </w:rPr>
              <w:t>/（h</w:t>
            </w:r>
            <w:r>
              <w:rPr>
                <w:rFonts w:hint="default" w:ascii="Times New Roman" w:hAnsi="Times New Roman" w:eastAsia="宋体" w:cs="Times New Roman"/>
                <w:b w:val="0"/>
                <w:bCs w:val="0"/>
                <w:color w:val="auto"/>
                <w:spacing w:val="0"/>
                <w:w w:val="100"/>
                <w:sz w:val="24"/>
                <w:szCs w:val="24"/>
                <w:lang w:val="en-US" w:eastAsia="zh-CN"/>
              </w:rPr>
              <w:t>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spacing w:val="-8"/>
                <w:sz w:val="24"/>
                <w:szCs w:val="24"/>
              </w:rPr>
              <w:t>·d</w:t>
            </w:r>
            <w:r>
              <w:rPr>
                <w:rFonts w:hint="default" w:ascii="Times New Roman" w:hAnsi="Times New Roman" w:eastAsia="宋体" w:cs="Times New Roman"/>
                <w:spacing w:val="-1"/>
                <w:sz w:val="24"/>
                <w:szCs w:val="24"/>
              </w:rPr>
              <w:t>），</w:t>
            </w:r>
            <w:r>
              <w:rPr>
                <w:rFonts w:hint="default" w:ascii="Times New Roman" w:hAnsi="Times New Roman" w:eastAsia="宋体" w:cs="Times New Roman"/>
                <w:spacing w:val="-8"/>
                <w:sz w:val="24"/>
                <w:szCs w:val="24"/>
              </w:rPr>
              <w:t>日变化系数取值1.1。</w:t>
            </w:r>
            <w:r>
              <w:rPr>
                <w:rFonts w:hint="default" w:ascii="Times New Roman" w:hAnsi="Times New Roman" w:eastAsia="宋体" w:cs="Times New Roman"/>
                <w:spacing w:val="-8"/>
                <w:sz w:val="24"/>
                <w:szCs w:val="24"/>
                <w:lang w:val="en-US" w:eastAsia="zh-CN"/>
              </w:rPr>
              <w:t>污</w:t>
            </w:r>
            <w:r>
              <w:rPr>
                <w:rFonts w:hint="default" w:ascii="Times New Roman" w:hAnsi="Times New Roman" w:eastAsia="宋体" w:cs="Times New Roman"/>
                <w:spacing w:val="-9"/>
                <w:sz w:val="24"/>
                <w:szCs w:val="24"/>
              </w:rPr>
              <w:t>水排放量按用水量的70%估算，日污水排放量为1947.61</w:t>
            </w:r>
            <w:r>
              <w:rPr>
                <w:rFonts w:hint="default" w:ascii="Times New Roman" w:hAnsi="Times New Roman" w:eastAsia="宋体" w:cs="Times New Roman"/>
                <w:b w:val="0"/>
                <w:bCs w:val="0"/>
                <w:color w:val="auto"/>
                <w:spacing w:val="0"/>
                <w:w w:val="100"/>
                <w:sz w:val="24"/>
                <w:szCs w:val="24"/>
                <w:lang w:val="en-US" w:eastAsia="zh-CN"/>
              </w:rPr>
              <w:t>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spacing w:val="-9"/>
                <w:sz w:val="24"/>
                <w:szCs w:val="24"/>
              </w:rPr>
              <w:t>/d。因此，本项目污水处理厂日设计污水处理规模按2000</w:t>
            </w:r>
            <w:r>
              <w:rPr>
                <w:rFonts w:hint="default" w:ascii="Times New Roman" w:hAnsi="Times New Roman" w:eastAsia="宋体" w:cs="Times New Roman"/>
                <w:b w:val="0"/>
                <w:bCs w:val="0"/>
                <w:color w:val="auto"/>
                <w:spacing w:val="0"/>
                <w:w w:val="100"/>
                <w:sz w:val="24"/>
                <w:szCs w:val="24"/>
                <w:lang w:val="en-US" w:eastAsia="zh-CN"/>
              </w:rPr>
              <w:t>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spacing w:val="-9"/>
                <w:sz w:val="24"/>
                <w:szCs w:val="24"/>
              </w:rPr>
              <w:t>/d考虑</w:t>
            </w:r>
            <w:r>
              <w:rPr>
                <w:rFonts w:hint="default" w:ascii="Times New Roman" w:hAnsi="Times New Roman" w:eastAsia="宋体" w:cs="Times New Roman"/>
                <w:spacing w:val="-2"/>
                <w:sz w:val="24"/>
                <w:szCs w:val="24"/>
              </w:rPr>
              <w:t>。</w:t>
            </w:r>
          </w:p>
          <w:p w14:paraId="1A2C256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3</w:t>
            </w:r>
            <w:r>
              <w:rPr>
                <w:rFonts w:hint="default" w:ascii="Times New Roman" w:hAnsi="Times New Roman" w:eastAsia="宋体" w:cs="Times New Roman"/>
                <w:color w:val="auto"/>
                <w:spacing w:val="0"/>
                <w:w w:val="100"/>
                <w:sz w:val="24"/>
                <w:szCs w:val="24"/>
                <w:lang w:eastAsia="zh-CN"/>
              </w:rPr>
              <w:t>）工程进、</w:t>
            </w:r>
            <w:r>
              <w:rPr>
                <w:rFonts w:hint="default" w:ascii="Times New Roman" w:hAnsi="Times New Roman" w:eastAsia="宋体" w:cs="Times New Roman"/>
                <w:b w:val="0"/>
                <w:bCs/>
                <w:color w:val="auto"/>
                <w:spacing w:val="0"/>
                <w:w w:val="100"/>
                <w:sz w:val="24"/>
                <w:szCs w:val="24"/>
                <w:lang w:eastAsia="zh-CN"/>
              </w:rPr>
              <w:t>出水水质</w:t>
            </w:r>
          </w:p>
          <w:p w14:paraId="4BDF9A1E">
            <w:pPr>
              <w:keepNext w:val="0"/>
              <w:keepLines w:val="0"/>
              <w:suppressLineNumbers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color w:val="auto"/>
                <w:spacing w:val="0"/>
                <w:w w:val="100"/>
                <w:sz w:val="24"/>
                <w:lang w:val="en-US" w:eastAsia="zh-CN"/>
              </w:rPr>
            </w:pPr>
            <w:r>
              <w:rPr>
                <w:rFonts w:hint="default" w:ascii="Times New Roman" w:hAnsi="Times New Roman" w:cs="Times New Roman"/>
                <w:color w:val="auto"/>
                <w:spacing w:val="0"/>
                <w:w w:val="100"/>
                <w:sz w:val="24"/>
                <w:szCs w:val="24"/>
              </w:rPr>
              <w:fldChar w:fldCharType="begin"/>
            </w:r>
            <w:r>
              <w:rPr>
                <w:rFonts w:hint="default" w:ascii="Times New Roman" w:hAnsi="Times New Roman" w:cs="Times New Roman"/>
                <w:color w:val="auto"/>
                <w:spacing w:val="0"/>
                <w:w w:val="100"/>
                <w:sz w:val="24"/>
                <w:szCs w:val="24"/>
              </w:rPr>
              <w:instrText xml:space="preserve"> = 1 \* GB3 \* MERGEFORMAT </w:instrText>
            </w:r>
            <w:r>
              <w:rPr>
                <w:rFonts w:hint="default" w:ascii="Times New Roman" w:hAnsi="Times New Roman" w:cs="Times New Roman"/>
                <w:color w:val="auto"/>
                <w:spacing w:val="0"/>
                <w:w w:val="100"/>
                <w:sz w:val="24"/>
                <w:szCs w:val="24"/>
              </w:rPr>
              <w:fldChar w:fldCharType="separate"/>
            </w:r>
            <w:r>
              <w:rPr>
                <w:rFonts w:hint="default" w:ascii="Times New Roman" w:hAnsi="Times New Roman" w:cs="Times New Roman"/>
                <w:color w:val="auto"/>
                <w:sz w:val="24"/>
                <w:szCs w:val="24"/>
              </w:rPr>
              <w:t>①</w:t>
            </w:r>
            <w:r>
              <w:rPr>
                <w:rFonts w:hint="default" w:ascii="Times New Roman" w:hAnsi="Times New Roman" w:cs="Times New Roman"/>
                <w:color w:val="auto"/>
                <w:spacing w:val="0"/>
                <w:w w:val="100"/>
                <w:sz w:val="24"/>
                <w:szCs w:val="24"/>
              </w:rPr>
              <w:fldChar w:fldCharType="end"/>
            </w:r>
            <w:r>
              <w:rPr>
                <w:rFonts w:hint="default" w:ascii="Times New Roman" w:hAnsi="Times New Roman" w:eastAsia="宋体" w:cs="Times New Roman"/>
                <w:b w:val="0"/>
                <w:bCs/>
                <w:color w:val="auto"/>
                <w:spacing w:val="0"/>
                <w:w w:val="100"/>
                <w:sz w:val="24"/>
                <w:lang w:val="en-US" w:eastAsia="zh-CN"/>
              </w:rPr>
              <w:t>进水水质</w:t>
            </w:r>
          </w:p>
          <w:p w14:paraId="5D215978">
            <w:pPr>
              <w:keepNext w:val="0"/>
              <w:keepLines w:val="0"/>
              <w:suppressLineNumbers w:val="0"/>
              <w:adjustRightInd w:val="0"/>
              <w:spacing w:before="0" w:beforeAutospacing="0" w:after="0" w:afterAutospacing="0" w:line="360" w:lineRule="auto"/>
              <w:ind w:left="0" w:right="0" w:firstLine="480" w:firstLineChars="200"/>
              <w:jc w:val="both"/>
              <w:rPr>
                <w:rFonts w:hint="default" w:ascii="Times New Roman" w:hAnsi="Times New Roman" w:cs="Times New Roman"/>
                <w:color w:val="auto"/>
              </w:rPr>
            </w:pPr>
            <w:r>
              <w:rPr>
                <w:rFonts w:hint="default" w:ascii="Times New Roman" w:hAnsi="Times New Roman" w:eastAsia="宋体" w:cs="Times New Roman"/>
                <w:b w:val="0"/>
                <w:bCs/>
                <w:color w:val="auto"/>
                <w:spacing w:val="0"/>
                <w:w w:val="100"/>
                <w:sz w:val="24"/>
                <w:lang w:val="en-US" w:eastAsia="zh-CN"/>
              </w:rPr>
              <w:t>根据经济技术开发区的产业规划及项目可研报告，结合不同产业进行开发区布局，企业产生的生产废水通过自家预处理设施处理后，达到《污水排入城镇下水道水质标准》（GB/T31962-2015）的C级标准要求排入污水处理管网，因此预测设计进水水质。</w:t>
            </w:r>
          </w:p>
          <w:p w14:paraId="03C799CB">
            <w:pPr>
              <w:keepNext w:val="0"/>
              <w:keepLines w:val="0"/>
              <w:suppressLineNumbers w:val="0"/>
              <w:adjustRightInd w:val="0"/>
              <w:spacing w:before="0" w:beforeAutospacing="0" w:after="0" w:afterAutospacing="0" w:line="360" w:lineRule="auto"/>
              <w:ind w:left="0" w:right="0" w:firstLine="480" w:firstLineChars="200"/>
              <w:jc w:val="both"/>
              <w:rPr>
                <w:rFonts w:hint="default" w:ascii="Times New Roman" w:hAnsi="Times New Roman" w:cs="Times New Roman"/>
                <w:color w:val="auto"/>
                <w:spacing w:val="0"/>
                <w:w w:val="100"/>
                <w:sz w:val="24"/>
                <w:szCs w:val="24"/>
                <w:lang w:val="en-US" w:eastAsia="zh-CN"/>
              </w:rPr>
            </w:pPr>
            <w:r>
              <w:rPr>
                <w:rFonts w:hint="default" w:ascii="Times New Roman" w:hAnsi="Times New Roman" w:cs="Times New Roman"/>
                <w:color w:val="auto"/>
                <w:spacing w:val="0"/>
                <w:w w:val="100"/>
                <w:sz w:val="24"/>
                <w:szCs w:val="24"/>
                <w:lang w:val="en-US" w:eastAsia="zh-CN"/>
              </w:rPr>
              <w:t>本项目工业污水处理水质为经过预处理后的食品产业、</w:t>
            </w:r>
            <w:r>
              <w:rPr>
                <w:rFonts w:hint="eastAsia" w:ascii="Times New Roman" w:hAnsi="Times New Roman" w:cs="Times New Roman"/>
                <w:color w:val="auto"/>
                <w:spacing w:val="0"/>
                <w:w w:val="100"/>
                <w:sz w:val="24"/>
                <w:szCs w:val="24"/>
                <w:lang w:val="en-US" w:eastAsia="zh-CN"/>
              </w:rPr>
              <w:t>新材</w:t>
            </w:r>
            <w:r>
              <w:rPr>
                <w:rFonts w:hint="default" w:ascii="Times New Roman" w:hAnsi="Times New Roman" w:eastAsia="宋体" w:cs="Times New Roman"/>
                <w:color w:val="auto"/>
                <w:spacing w:val="0"/>
                <w:w w:val="100"/>
                <w:sz w:val="24"/>
                <w:szCs w:val="24"/>
                <w:lang w:val="en-US" w:eastAsia="zh-CN"/>
              </w:rPr>
              <w:t>料和新能源</w:t>
            </w:r>
            <w:r>
              <w:rPr>
                <w:rFonts w:hint="default" w:ascii="Times New Roman" w:hAnsi="Times New Roman" w:cs="Times New Roman"/>
                <w:color w:val="auto"/>
                <w:spacing w:val="0"/>
                <w:w w:val="100"/>
                <w:sz w:val="24"/>
                <w:szCs w:val="24"/>
                <w:lang w:val="en-US" w:eastAsia="zh-CN"/>
              </w:rPr>
              <w:t>产业的工业废水及职工生活区排放的生活污水，无有毒有害及含有重金属等工业废水以及未进行预处理的工业废水排入，污水处理厂建成后，区域内已建及新建工业企业排水必须达到《污水综合排放标准》（GB8978-1996）及《污水排入城镇下水道水质标准》</w:t>
            </w:r>
            <w:r>
              <w:rPr>
                <w:rFonts w:hint="default" w:ascii="Times New Roman" w:hAnsi="Times New Roman" w:eastAsia="宋体" w:cs="Times New Roman"/>
                <w:b w:val="0"/>
                <w:bCs/>
                <w:color w:val="auto"/>
                <w:spacing w:val="0"/>
                <w:w w:val="100"/>
                <w:sz w:val="24"/>
                <w:szCs w:val="24"/>
                <w:lang w:eastAsia="zh-CN"/>
              </w:rPr>
              <w:t>（</w:t>
            </w:r>
            <w:r>
              <w:rPr>
                <w:rFonts w:hint="eastAsia" w:ascii="Times New Roman" w:hAnsi="Times New Roman" w:eastAsia="宋体" w:cs="Times New Roman"/>
                <w:b w:val="0"/>
                <w:bCs/>
                <w:color w:val="auto"/>
                <w:spacing w:val="0"/>
                <w:w w:val="100"/>
                <w:sz w:val="24"/>
                <w:szCs w:val="24"/>
                <w:lang w:eastAsia="zh-CN"/>
              </w:rPr>
              <w:t>GB31962-2015</w:t>
            </w:r>
            <w:r>
              <w:rPr>
                <w:rFonts w:hint="default" w:ascii="Times New Roman" w:hAnsi="Times New Roman" w:eastAsia="宋体" w:cs="Times New Roman"/>
                <w:b w:val="0"/>
                <w:bCs/>
                <w:color w:val="auto"/>
                <w:spacing w:val="0"/>
                <w:w w:val="100"/>
                <w:sz w:val="24"/>
                <w:szCs w:val="24"/>
                <w:lang w:eastAsia="zh-CN"/>
              </w:rPr>
              <w:t>）</w:t>
            </w:r>
            <w:r>
              <w:rPr>
                <w:rFonts w:hint="default" w:ascii="Times New Roman" w:hAnsi="Times New Roman" w:cs="Times New Roman"/>
                <w:color w:val="auto"/>
                <w:spacing w:val="0"/>
                <w:w w:val="100"/>
                <w:sz w:val="24"/>
                <w:szCs w:val="24"/>
                <w:lang w:val="en-US" w:eastAsia="zh-CN"/>
              </w:rPr>
              <w:t>的水质标准排入污水收集管网，不得超标排放。</w:t>
            </w:r>
          </w:p>
          <w:p w14:paraId="16F8DBDF">
            <w:pPr>
              <w:keepNext w:val="0"/>
              <w:keepLines w:val="0"/>
              <w:suppressLineNumbers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color w:val="auto"/>
                <w:spacing w:val="0"/>
                <w:w w:val="100"/>
                <w:sz w:val="24"/>
                <w:szCs w:val="24"/>
                <w:lang w:val="en-US" w:eastAsia="zh-CN"/>
              </w:rPr>
            </w:pPr>
            <w:r>
              <w:rPr>
                <w:rFonts w:hint="default" w:ascii="Times New Roman" w:hAnsi="Times New Roman" w:cs="Times New Roman"/>
                <w:color w:val="auto"/>
                <w:spacing w:val="0"/>
                <w:w w:val="100"/>
                <w:sz w:val="24"/>
                <w:szCs w:val="24"/>
                <w:lang w:eastAsia="zh-CN"/>
              </w:rPr>
              <w:fldChar w:fldCharType="begin"/>
            </w:r>
            <w:r>
              <w:rPr>
                <w:rFonts w:hint="default" w:ascii="Times New Roman" w:hAnsi="Times New Roman" w:cs="Times New Roman"/>
                <w:color w:val="auto"/>
                <w:spacing w:val="0"/>
                <w:w w:val="100"/>
                <w:sz w:val="24"/>
                <w:szCs w:val="24"/>
                <w:lang w:eastAsia="zh-CN"/>
              </w:rPr>
              <w:instrText xml:space="preserve"> = 2 \* GB3 \* MERGEFORMAT </w:instrText>
            </w:r>
            <w:r>
              <w:rPr>
                <w:rFonts w:hint="default" w:ascii="Times New Roman" w:hAnsi="Times New Roman" w:cs="Times New Roman"/>
                <w:color w:val="auto"/>
                <w:spacing w:val="0"/>
                <w:w w:val="100"/>
                <w:sz w:val="24"/>
                <w:szCs w:val="24"/>
                <w:lang w:eastAsia="zh-CN"/>
              </w:rPr>
              <w:fldChar w:fldCharType="separate"/>
            </w:r>
            <w:r>
              <w:rPr>
                <w:rFonts w:hint="default" w:ascii="Times New Roman" w:hAnsi="Times New Roman" w:cs="Times New Roman"/>
                <w:color w:val="auto"/>
                <w:sz w:val="24"/>
                <w:szCs w:val="24"/>
              </w:rPr>
              <w:t>②</w:t>
            </w:r>
            <w:r>
              <w:rPr>
                <w:rFonts w:hint="default" w:ascii="Times New Roman" w:hAnsi="Times New Roman" w:cs="Times New Roman"/>
                <w:color w:val="auto"/>
                <w:spacing w:val="0"/>
                <w:w w:val="100"/>
                <w:sz w:val="24"/>
                <w:szCs w:val="24"/>
                <w:lang w:eastAsia="zh-CN"/>
              </w:rPr>
              <w:fldChar w:fldCharType="end"/>
            </w:r>
            <w:r>
              <w:rPr>
                <w:rFonts w:hint="default" w:ascii="Times New Roman" w:hAnsi="Times New Roman" w:cs="Times New Roman"/>
                <w:color w:val="auto"/>
                <w:spacing w:val="0"/>
                <w:w w:val="100"/>
                <w:sz w:val="24"/>
                <w:szCs w:val="24"/>
                <w:lang w:eastAsia="zh-CN"/>
              </w:rPr>
              <w:t>设计</w:t>
            </w:r>
            <w:r>
              <w:rPr>
                <w:rFonts w:hint="default" w:ascii="Times New Roman" w:hAnsi="Times New Roman" w:cs="Times New Roman"/>
                <w:color w:val="auto"/>
                <w:spacing w:val="0"/>
                <w:w w:val="100"/>
                <w:sz w:val="24"/>
                <w:szCs w:val="24"/>
                <w:lang w:val="en-US" w:eastAsia="zh-CN"/>
              </w:rPr>
              <w:t>出水</w:t>
            </w:r>
            <w:r>
              <w:rPr>
                <w:rFonts w:hint="default" w:ascii="Times New Roman" w:hAnsi="Times New Roman" w:eastAsia="宋体" w:cs="Times New Roman"/>
                <w:b w:val="0"/>
                <w:bCs/>
                <w:color w:val="auto"/>
                <w:spacing w:val="0"/>
                <w:w w:val="100"/>
                <w:sz w:val="24"/>
                <w:szCs w:val="24"/>
                <w:lang w:val="en-US" w:eastAsia="zh-CN"/>
              </w:rPr>
              <w:t>水质指标</w:t>
            </w:r>
          </w:p>
          <w:p w14:paraId="0108F03E">
            <w:pPr>
              <w:keepNext w:val="0"/>
              <w:keepLines w:val="0"/>
              <w:suppressLineNumbers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rPr>
              <w:t>水厂</w:t>
            </w:r>
            <w:r>
              <w:rPr>
                <w:rFonts w:hint="default" w:ascii="Times New Roman" w:hAnsi="Times New Roman" w:eastAsia="宋体" w:cs="Times New Roman"/>
                <w:color w:val="auto"/>
                <w:spacing w:val="0"/>
                <w:w w:val="100"/>
                <w:sz w:val="24"/>
                <w:szCs w:val="24"/>
                <w:lang w:val="en-US" w:eastAsia="zh-CN"/>
              </w:rPr>
              <w:t>回用水</w:t>
            </w:r>
            <w:r>
              <w:rPr>
                <w:rFonts w:hint="default" w:ascii="Times New Roman" w:hAnsi="Times New Roman" w:eastAsia="宋体" w:cs="Times New Roman"/>
                <w:color w:val="auto"/>
                <w:spacing w:val="0"/>
                <w:w w:val="100"/>
                <w:sz w:val="24"/>
                <w:szCs w:val="24"/>
              </w:rPr>
              <w:t>水质达到《城市污水再生利用城市杂用水水质》（GB/T18920-2020）、《再生水用作工业用水水源的水质标准》（GB/T19923-2005）有关要求</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排水</w:t>
            </w:r>
            <w:r>
              <w:rPr>
                <w:rFonts w:hint="default" w:ascii="Times New Roman" w:hAnsi="Times New Roman" w:eastAsia="宋体" w:cs="Times New Roman"/>
                <w:color w:val="auto"/>
                <w:spacing w:val="0"/>
                <w:w w:val="100"/>
                <w:sz w:val="24"/>
                <w:szCs w:val="24"/>
              </w:rPr>
              <w:t>出水水质处理后尾水排入</w:t>
            </w:r>
            <w:r>
              <w:rPr>
                <w:rFonts w:hint="default" w:ascii="Times New Roman" w:hAnsi="Times New Roman" w:eastAsia="宋体" w:cs="Times New Roman"/>
                <w:b w:val="0"/>
                <w:bCs/>
                <w:color w:val="auto"/>
                <w:spacing w:val="0"/>
                <w:w w:val="100"/>
                <w:sz w:val="24"/>
                <w:lang w:eastAsia="zh-CN"/>
              </w:rPr>
              <w:t>干河</w:t>
            </w:r>
            <w:r>
              <w:rPr>
                <w:rFonts w:hint="default" w:ascii="Times New Roman" w:hAnsi="Times New Roman" w:eastAsia="宋体" w:cs="Times New Roman"/>
                <w:color w:val="auto"/>
                <w:spacing w:val="0"/>
                <w:w w:val="100"/>
                <w:sz w:val="24"/>
                <w:szCs w:val="24"/>
              </w:rPr>
              <w:t>，根据《陕西省黄河流域污水综合排放标准》（DB61/224-2018）中有关要求，集中式污水处理厂的排水应执行A标准，</w:t>
            </w:r>
            <w:r>
              <w:rPr>
                <w:rFonts w:hint="default" w:ascii="Times New Roman" w:hAnsi="Times New Roman" w:eastAsia="宋体" w:cs="Times New Roman"/>
                <w:b w:val="0"/>
                <w:bCs/>
                <w:color w:val="auto"/>
                <w:spacing w:val="0"/>
                <w:w w:val="100"/>
                <w:sz w:val="24"/>
                <w:lang w:eastAsia="zh-CN"/>
              </w:rPr>
              <w:t>得</w:t>
            </w:r>
            <w:r>
              <w:rPr>
                <w:rFonts w:hint="default" w:ascii="Times New Roman" w:hAnsi="Times New Roman" w:eastAsia="宋体" w:cs="Times New Roman"/>
                <w:b w:val="0"/>
                <w:bCs/>
                <w:color w:val="auto"/>
                <w:spacing w:val="0"/>
                <w:w w:val="100"/>
                <w:sz w:val="24"/>
                <w:lang w:val="en-US" w:eastAsia="zh-CN"/>
              </w:rPr>
              <w:t>出本项目</w:t>
            </w:r>
            <w:r>
              <w:rPr>
                <w:rFonts w:hint="default" w:ascii="Times New Roman" w:hAnsi="Times New Roman" w:eastAsia="宋体" w:cs="Times New Roman"/>
                <w:b w:val="0"/>
                <w:bCs/>
                <w:color w:val="auto"/>
                <w:spacing w:val="0"/>
                <w:w w:val="100"/>
                <w:sz w:val="24"/>
                <w:lang w:eastAsia="zh-CN"/>
              </w:rPr>
              <w:t>出水水质指标如下表</w:t>
            </w:r>
            <w:r>
              <w:rPr>
                <w:rFonts w:hint="default" w:ascii="Times New Roman" w:hAnsi="Times New Roman" w:eastAsia="宋体" w:cs="Times New Roman"/>
                <w:b w:val="0"/>
                <w:bCs/>
                <w:color w:val="auto"/>
                <w:spacing w:val="0"/>
                <w:w w:val="100"/>
                <w:sz w:val="24"/>
                <w:lang w:val="en-US" w:eastAsia="zh-CN"/>
              </w:rPr>
              <w:t>2-1</w:t>
            </w:r>
            <w:r>
              <w:rPr>
                <w:rFonts w:hint="default" w:ascii="Times New Roman" w:hAnsi="Times New Roman" w:eastAsia="宋体" w:cs="Times New Roman"/>
                <w:b w:val="0"/>
                <w:bCs/>
                <w:color w:val="auto"/>
                <w:spacing w:val="0"/>
                <w:w w:val="100"/>
                <w:sz w:val="24"/>
                <w:lang w:eastAsia="zh-CN"/>
              </w:rPr>
              <w:t>。</w:t>
            </w:r>
          </w:p>
          <w:p w14:paraId="7A7416E8">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val="0"/>
                <w:bCs w:val="0"/>
                <w:color w:val="auto"/>
                <w:spacing w:val="0"/>
                <w:w w:val="100"/>
                <w:sz w:val="21"/>
                <w:szCs w:val="21"/>
              </w:rPr>
              <w:t>表</w:t>
            </w:r>
            <w:r>
              <w:rPr>
                <w:rFonts w:hint="default" w:ascii="Times New Roman" w:hAnsi="Times New Roman" w:eastAsia="宋体" w:cs="Times New Roman"/>
                <w:b w:val="0"/>
                <w:bCs w:val="0"/>
                <w:color w:val="auto"/>
                <w:spacing w:val="0"/>
                <w:w w:val="100"/>
                <w:sz w:val="21"/>
                <w:szCs w:val="21"/>
                <w:lang w:val="en-US" w:eastAsia="zh-CN"/>
              </w:rPr>
              <w:t xml:space="preserve">2-1 </w:t>
            </w:r>
            <w:r>
              <w:rPr>
                <w:rFonts w:hint="default" w:ascii="Times New Roman" w:hAnsi="Times New Roman" w:eastAsia="宋体" w:cs="Times New Roman"/>
                <w:b w:val="0"/>
                <w:bCs w:val="0"/>
                <w:color w:val="auto"/>
                <w:spacing w:val="0"/>
                <w:w w:val="100"/>
                <w:sz w:val="21"/>
                <w:szCs w:val="21"/>
              </w:rPr>
              <w:t xml:space="preserve"> 本工程</w:t>
            </w:r>
            <w:r>
              <w:rPr>
                <w:rFonts w:hint="default" w:ascii="Times New Roman" w:hAnsi="Times New Roman" w:eastAsia="宋体" w:cs="Times New Roman"/>
                <w:b w:val="0"/>
                <w:bCs w:val="0"/>
                <w:color w:val="auto"/>
                <w:spacing w:val="0"/>
                <w:w w:val="100"/>
                <w:sz w:val="21"/>
                <w:szCs w:val="21"/>
                <w:lang w:eastAsia="zh-CN"/>
              </w:rPr>
              <w:t>设计进出</w:t>
            </w:r>
            <w:r>
              <w:rPr>
                <w:rFonts w:hint="default" w:ascii="Times New Roman" w:hAnsi="Times New Roman" w:eastAsia="宋体" w:cs="Times New Roman"/>
                <w:b w:val="0"/>
                <w:bCs w:val="0"/>
                <w:color w:val="auto"/>
                <w:spacing w:val="0"/>
                <w:w w:val="100"/>
                <w:sz w:val="21"/>
                <w:szCs w:val="21"/>
              </w:rPr>
              <w:t>水水质指标</w:t>
            </w:r>
          </w:p>
          <w:tbl>
            <w:tblPr>
              <w:tblStyle w:val="21"/>
              <w:tblW w:w="873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36"/>
              <w:gridCol w:w="989"/>
              <w:gridCol w:w="908"/>
              <w:gridCol w:w="904"/>
              <w:gridCol w:w="976"/>
              <w:gridCol w:w="1425"/>
              <w:gridCol w:w="999"/>
            </w:tblGrid>
            <w:tr w14:paraId="5C9CB0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1451" w:type="pct"/>
                  <w:noWrap w:val="0"/>
                  <w:vAlign w:val="center"/>
                </w:tcPr>
                <w:p w14:paraId="104AD1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水质项目</w:t>
                  </w:r>
                </w:p>
              </w:tc>
              <w:tc>
                <w:tcPr>
                  <w:tcW w:w="565" w:type="pct"/>
                  <w:shd w:val="clear" w:color="auto" w:fill="auto"/>
                  <w:noWrap w:val="0"/>
                  <w:vAlign w:val="center"/>
                </w:tcPr>
                <w:p w14:paraId="29024A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COD</w:t>
                  </w:r>
                </w:p>
              </w:tc>
              <w:tc>
                <w:tcPr>
                  <w:tcW w:w="519" w:type="pct"/>
                  <w:shd w:val="clear" w:color="auto" w:fill="auto"/>
                  <w:noWrap w:val="0"/>
                  <w:vAlign w:val="center"/>
                </w:tcPr>
                <w:p w14:paraId="5D9F03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BOD</w:t>
                  </w:r>
                  <w:r>
                    <w:rPr>
                      <w:rFonts w:hint="default" w:ascii="Times New Roman" w:hAnsi="Times New Roman" w:eastAsia="宋体" w:cs="Times New Roman"/>
                      <w:b w:val="0"/>
                      <w:bCs w:val="0"/>
                      <w:color w:val="auto"/>
                      <w:spacing w:val="0"/>
                      <w:w w:val="100"/>
                      <w:sz w:val="21"/>
                      <w:szCs w:val="21"/>
                      <w:vertAlign w:val="subscript"/>
                    </w:rPr>
                    <w:t>5</w:t>
                  </w:r>
                </w:p>
              </w:tc>
              <w:tc>
                <w:tcPr>
                  <w:tcW w:w="517" w:type="pct"/>
                  <w:shd w:val="clear" w:color="auto" w:fill="auto"/>
                  <w:noWrap w:val="0"/>
                  <w:vAlign w:val="center"/>
                </w:tcPr>
                <w:p w14:paraId="7FA0CA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SS</w:t>
                  </w:r>
                </w:p>
              </w:tc>
              <w:tc>
                <w:tcPr>
                  <w:tcW w:w="558" w:type="pct"/>
                  <w:shd w:val="clear" w:color="auto" w:fill="auto"/>
                  <w:noWrap w:val="0"/>
                  <w:vAlign w:val="center"/>
                </w:tcPr>
                <w:p w14:paraId="3020FC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TN</w:t>
                  </w:r>
                </w:p>
              </w:tc>
              <w:tc>
                <w:tcPr>
                  <w:tcW w:w="815" w:type="pct"/>
                  <w:shd w:val="clear" w:color="auto" w:fill="auto"/>
                  <w:noWrap w:val="0"/>
                  <w:vAlign w:val="center"/>
                </w:tcPr>
                <w:p w14:paraId="424DED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NH</w:t>
                  </w:r>
                  <w:r>
                    <w:rPr>
                      <w:rFonts w:hint="default" w:ascii="Times New Roman" w:hAnsi="Times New Roman" w:eastAsia="宋体" w:cs="Times New Roman"/>
                      <w:b w:val="0"/>
                      <w:bCs w:val="0"/>
                      <w:color w:val="auto"/>
                      <w:spacing w:val="0"/>
                      <w:w w:val="100"/>
                      <w:sz w:val="21"/>
                      <w:szCs w:val="21"/>
                      <w:vertAlign w:val="subscript"/>
                    </w:rPr>
                    <w:t>3</w:t>
                  </w:r>
                  <w:r>
                    <w:rPr>
                      <w:rFonts w:hint="default" w:ascii="Times New Roman" w:hAnsi="Times New Roman" w:eastAsia="宋体" w:cs="Times New Roman"/>
                      <w:b w:val="0"/>
                      <w:bCs w:val="0"/>
                      <w:color w:val="auto"/>
                      <w:spacing w:val="0"/>
                      <w:w w:val="100"/>
                      <w:sz w:val="21"/>
                      <w:szCs w:val="21"/>
                    </w:rPr>
                    <w:t>-N</w:t>
                  </w:r>
                </w:p>
              </w:tc>
              <w:tc>
                <w:tcPr>
                  <w:tcW w:w="571" w:type="pct"/>
                  <w:shd w:val="clear" w:color="auto" w:fill="auto"/>
                  <w:noWrap w:val="0"/>
                  <w:vAlign w:val="center"/>
                </w:tcPr>
                <w:p w14:paraId="7BBA91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TP</w:t>
                  </w:r>
                </w:p>
              </w:tc>
            </w:tr>
            <w:tr w14:paraId="430A06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1451" w:type="pct"/>
                  <w:noWrap w:val="0"/>
                  <w:vAlign w:val="center"/>
                </w:tcPr>
                <w:p w14:paraId="369A3B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lang w:eastAsia="zh-CN"/>
                    </w:rPr>
                    <w:t>设计进水</w:t>
                  </w:r>
                  <w:r>
                    <w:rPr>
                      <w:rFonts w:hint="default" w:ascii="Times New Roman" w:hAnsi="Times New Roman" w:eastAsia="宋体" w:cs="Times New Roman"/>
                      <w:b w:val="0"/>
                      <w:bCs w:val="0"/>
                      <w:color w:val="auto"/>
                      <w:spacing w:val="0"/>
                      <w:w w:val="100"/>
                      <w:sz w:val="21"/>
                      <w:szCs w:val="21"/>
                    </w:rPr>
                    <w:t>指标（mg/L）</w:t>
                  </w:r>
                </w:p>
              </w:tc>
              <w:tc>
                <w:tcPr>
                  <w:tcW w:w="565" w:type="pct"/>
                  <w:shd w:val="clear" w:color="auto" w:fill="auto"/>
                  <w:noWrap w:val="0"/>
                  <w:vAlign w:val="center"/>
                </w:tcPr>
                <w:p w14:paraId="1242A1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350</w:t>
                  </w:r>
                </w:p>
              </w:tc>
              <w:tc>
                <w:tcPr>
                  <w:tcW w:w="519" w:type="pct"/>
                  <w:shd w:val="clear" w:color="auto" w:fill="auto"/>
                  <w:noWrap w:val="0"/>
                  <w:vAlign w:val="center"/>
                </w:tcPr>
                <w:p w14:paraId="025D45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150</w:t>
                  </w:r>
                </w:p>
              </w:tc>
              <w:tc>
                <w:tcPr>
                  <w:tcW w:w="517" w:type="pct"/>
                  <w:shd w:val="clear" w:color="auto" w:fill="auto"/>
                  <w:noWrap w:val="0"/>
                  <w:vAlign w:val="center"/>
                </w:tcPr>
                <w:p w14:paraId="06F8E9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250</w:t>
                  </w:r>
                </w:p>
              </w:tc>
              <w:tc>
                <w:tcPr>
                  <w:tcW w:w="558" w:type="pct"/>
                  <w:shd w:val="clear" w:color="auto" w:fill="auto"/>
                  <w:noWrap w:val="0"/>
                  <w:vAlign w:val="center"/>
                </w:tcPr>
                <w:p w14:paraId="45D3FC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45</w:t>
                  </w:r>
                </w:p>
              </w:tc>
              <w:tc>
                <w:tcPr>
                  <w:tcW w:w="815" w:type="pct"/>
                  <w:shd w:val="clear" w:color="auto" w:fill="auto"/>
                  <w:noWrap w:val="0"/>
                  <w:vAlign w:val="center"/>
                </w:tcPr>
                <w:p w14:paraId="309FB3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25</w:t>
                  </w:r>
                </w:p>
              </w:tc>
              <w:tc>
                <w:tcPr>
                  <w:tcW w:w="571" w:type="pct"/>
                  <w:shd w:val="clear" w:color="auto" w:fill="auto"/>
                  <w:noWrap w:val="0"/>
                  <w:vAlign w:val="center"/>
                </w:tcPr>
                <w:p w14:paraId="54C31C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5</w:t>
                  </w:r>
                </w:p>
              </w:tc>
            </w:tr>
            <w:tr w14:paraId="4D0497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1451" w:type="pct"/>
                  <w:noWrap w:val="0"/>
                  <w:vAlign w:val="center"/>
                </w:tcPr>
                <w:p w14:paraId="09137E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eastAsia="zh-CN"/>
                    </w:rPr>
                    <w:t>设计</w:t>
                  </w:r>
                  <w:r>
                    <w:rPr>
                      <w:rFonts w:hint="default" w:ascii="Times New Roman" w:hAnsi="Times New Roman" w:eastAsia="宋体" w:cs="Times New Roman"/>
                      <w:b w:val="0"/>
                      <w:bCs w:val="0"/>
                      <w:color w:val="auto"/>
                      <w:spacing w:val="0"/>
                      <w:w w:val="100"/>
                      <w:sz w:val="21"/>
                      <w:szCs w:val="21"/>
                      <w:highlight w:val="none"/>
                      <w:lang w:eastAsia="zh-CN"/>
                    </w:rPr>
                    <w:t>出水</w:t>
                  </w:r>
                  <w:r>
                    <w:rPr>
                      <w:rFonts w:hint="default" w:ascii="Times New Roman" w:hAnsi="Times New Roman" w:eastAsia="宋体" w:cs="Times New Roman"/>
                      <w:b w:val="0"/>
                      <w:bCs w:val="0"/>
                      <w:color w:val="auto"/>
                      <w:spacing w:val="0"/>
                      <w:w w:val="100"/>
                      <w:sz w:val="21"/>
                      <w:szCs w:val="21"/>
                    </w:rPr>
                    <w:t>指标（mg/L）</w:t>
                  </w:r>
                </w:p>
              </w:tc>
              <w:tc>
                <w:tcPr>
                  <w:tcW w:w="565" w:type="pct"/>
                  <w:shd w:val="clear" w:color="auto" w:fill="auto"/>
                  <w:noWrap w:val="0"/>
                  <w:vAlign w:val="center"/>
                </w:tcPr>
                <w:p w14:paraId="42F90C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≤30</w:t>
                  </w:r>
                </w:p>
              </w:tc>
              <w:tc>
                <w:tcPr>
                  <w:tcW w:w="519" w:type="pct"/>
                  <w:shd w:val="clear" w:color="auto" w:fill="auto"/>
                  <w:noWrap w:val="0"/>
                  <w:vAlign w:val="center"/>
                </w:tcPr>
                <w:p w14:paraId="69402C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≤6</w:t>
                  </w:r>
                </w:p>
              </w:tc>
              <w:tc>
                <w:tcPr>
                  <w:tcW w:w="517" w:type="pct"/>
                  <w:shd w:val="clear" w:color="auto" w:fill="auto"/>
                  <w:noWrap w:val="0"/>
                  <w:vAlign w:val="center"/>
                </w:tcPr>
                <w:p w14:paraId="7CEE7B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≤10</w:t>
                  </w:r>
                </w:p>
              </w:tc>
              <w:tc>
                <w:tcPr>
                  <w:tcW w:w="558" w:type="pct"/>
                  <w:shd w:val="clear" w:color="auto" w:fill="auto"/>
                  <w:noWrap w:val="0"/>
                  <w:vAlign w:val="center"/>
                </w:tcPr>
                <w:p w14:paraId="6CC2D5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≤1</w:t>
                  </w:r>
                  <w:r>
                    <w:rPr>
                      <w:rFonts w:hint="default" w:ascii="Times New Roman" w:hAnsi="Times New Roman" w:eastAsia="宋体" w:cs="Times New Roman"/>
                      <w:b w:val="0"/>
                      <w:bCs w:val="0"/>
                      <w:color w:val="auto"/>
                      <w:spacing w:val="0"/>
                      <w:w w:val="100"/>
                      <w:sz w:val="21"/>
                      <w:szCs w:val="21"/>
                      <w:lang w:val="en-US" w:eastAsia="zh-CN"/>
                    </w:rPr>
                    <w:t>2</w:t>
                  </w:r>
                </w:p>
              </w:tc>
              <w:tc>
                <w:tcPr>
                  <w:tcW w:w="815" w:type="pct"/>
                  <w:shd w:val="clear" w:color="auto" w:fill="auto"/>
                  <w:noWrap w:val="0"/>
                  <w:vAlign w:val="center"/>
                </w:tcPr>
                <w:p w14:paraId="139AB3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≤1.5（3）</w:t>
                  </w:r>
                </w:p>
              </w:tc>
              <w:tc>
                <w:tcPr>
                  <w:tcW w:w="571" w:type="pct"/>
                  <w:shd w:val="clear" w:color="auto" w:fill="auto"/>
                  <w:noWrap w:val="0"/>
                  <w:vAlign w:val="center"/>
                </w:tcPr>
                <w:p w14:paraId="71E81D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≤0.3</w:t>
                  </w:r>
                </w:p>
              </w:tc>
            </w:tr>
            <w:tr w14:paraId="27E917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451" w:type="pct"/>
                  <w:noWrap w:val="0"/>
                  <w:vAlign w:val="center"/>
                </w:tcPr>
                <w:p w14:paraId="3EF340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设计</w:t>
                  </w:r>
                  <w:r>
                    <w:rPr>
                      <w:rFonts w:hint="default" w:ascii="Times New Roman" w:hAnsi="Times New Roman" w:eastAsia="宋体" w:cs="Times New Roman"/>
                      <w:b w:val="0"/>
                      <w:bCs w:val="0"/>
                      <w:color w:val="auto"/>
                      <w:spacing w:val="0"/>
                      <w:w w:val="100"/>
                      <w:sz w:val="21"/>
                      <w:szCs w:val="21"/>
                    </w:rPr>
                    <w:t>去除率（%</w:t>
                  </w:r>
                  <w:r>
                    <w:rPr>
                      <w:rFonts w:hint="default" w:ascii="Times New Roman" w:hAnsi="Times New Roman" w:eastAsia="宋体" w:cs="Times New Roman"/>
                      <w:b w:val="0"/>
                      <w:bCs w:val="0"/>
                      <w:color w:val="auto"/>
                      <w:spacing w:val="0"/>
                      <w:w w:val="100"/>
                      <w:sz w:val="21"/>
                      <w:szCs w:val="21"/>
                      <w:lang w:eastAsia="zh-CN"/>
                    </w:rPr>
                    <w:t>）</w:t>
                  </w:r>
                </w:p>
              </w:tc>
              <w:tc>
                <w:tcPr>
                  <w:tcW w:w="565" w:type="pct"/>
                  <w:shd w:val="clear" w:color="auto" w:fill="auto"/>
                  <w:noWrap w:val="0"/>
                  <w:vAlign w:val="center"/>
                </w:tcPr>
                <w:p w14:paraId="222B27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91.43</w:t>
                  </w:r>
                </w:p>
              </w:tc>
              <w:tc>
                <w:tcPr>
                  <w:tcW w:w="519" w:type="pct"/>
                  <w:shd w:val="clear" w:color="auto" w:fill="auto"/>
                  <w:noWrap w:val="0"/>
                  <w:vAlign w:val="center"/>
                </w:tcPr>
                <w:p w14:paraId="414369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96</w:t>
                  </w:r>
                </w:p>
              </w:tc>
              <w:tc>
                <w:tcPr>
                  <w:tcW w:w="517" w:type="pct"/>
                  <w:shd w:val="clear" w:color="auto" w:fill="auto"/>
                  <w:noWrap w:val="0"/>
                  <w:vAlign w:val="center"/>
                </w:tcPr>
                <w:p w14:paraId="1FBDD0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96</w:t>
                  </w:r>
                </w:p>
              </w:tc>
              <w:tc>
                <w:tcPr>
                  <w:tcW w:w="558" w:type="pct"/>
                  <w:shd w:val="clear" w:color="auto" w:fill="auto"/>
                  <w:noWrap w:val="0"/>
                  <w:vAlign w:val="center"/>
                </w:tcPr>
                <w:p w14:paraId="726144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73.33</w:t>
                  </w:r>
                </w:p>
              </w:tc>
              <w:tc>
                <w:tcPr>
                  <w:tcW w:w="815" w:type="pct"/>
                  <w:shd w:val="clear" w:color="auto" w:fill="auto"/>
                  <w:noWrap w:val="0"/>
                  <w:vAlign w:val="center"/>
                </w:tcPr>
                <w:p w14:paraId="592638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94.00</w:t>
                  </w:r>
                  <w:r>
                    <w:rPr>
                      <w:rFonts w:hint="eastAsia" w:ascii="Times New Roman" w:hAnsi="Times New Roman" w:eastAsia="宋体" w:cs="Times New Roman"/>
                      <w:b w:val="0"/>
                      <w:bCs w:val="0"/>
                      <w:color w:val="auto"/>
                      <w:spacing w:val="0"/>
                      <w:w w:val="100"/>
                      <w:kern w:val="2"/>
                      <w:sz w:val="21"/>
                      <w:szCs w:val="21"/>
                      <w:lang w:val="en-US" w:eastAsia="zh-CN" w:bidi="ar-SA"/>
                    </w:rPr>
                    <w:t>(</w:t>
                  </w:r>
                  <w:r>
                    <w:rPr>
                      <w:rFonts w:hint="default" w:ascii="Times New Roman" w:hAnsi="Times New Roman" w:eastAsia="宋体" w:cs="Times New Roman"/>
                      <w:b w:val="0"/>
                      <w:bCs w:val="0"/>
                      <w:color w:val="auto"/>
                      <w:spacing w:val="0"/>
                      <w:w w:val="100"/>
                      <w:kern w:val="2"/>
                      <w:sz w:val="21"/>
                      <w:szCs w:val="21"/>
                      <w:lang w:val="en-US" w:eastAsia="zh-CN" w:bidi="ar-SA"/>
                    </w:rPr>
                    <w:t>88</w:t>
                  </w:r>
                  <w:r>
                    <w:rPr>
                      <w:rFonts w:hint="eastAsia" w:ascii="Times New Roman" w:hAnsi="Times New Roman" w:eastAsia="宋体" w:cs="Times New Roman"/>
                      <w:b w:val="0"/>
                      <w:bCs w:val="0"/>
                      <w:color w:val="auto"/>
                      <w:spacing w:val="0"/>
                      <w:w w:val="100"/>
                      <w:kern w:val="2"/>
                      <w:sz w:val="21"/>
                      <w:szCs w:val="21"/>
                      <w:lang w:val="en-US" w:eastAsia="zh-CN" w:bidi="ar-SA"/>
                    </w:rPr>
                    <w:t>)</w:t>
                  </w:r>
                </w:p>
              </w:tc>
              <w:tc>
                <w:tcPr>
                  <w:tcW w:w="571" w:type="pct"/>
                  <w:shd w:val="clear" w:color="auto" w:fill="auto"/>
                  <w:noWrap w:val="0"/>
                  <w:vAlign w:val="center"/>
                </w:tcPr>
                <w:p w14:paraId="5691B3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88</w:t>
                  </w:r>
                </w:p>
              </w:tc>
            </w:tr>
          </w:tbl>
          <w:p w14:paraId="7D4CF011">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三、工艺方案</w:t>
            </w:r>
          </w:p>
          <w:p w14:paraId="2844614E">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根据项目《可研》中相关资料，本项目</w:t>
            </w:r>
            <w:r>
              <w:rPr>
                <w:rFonts w:hint="default" w:ascii="Times New Roman" w:hAnsi="Times New Roman" w:eastAsia="宋体" w:cs="Times New Roman"/>
                <w:b w:val="0"/>
                <w:bCs w:val="0"/>
                <w:color w:val="auto"/>
                <w:spacing w:val="0"/>
                <w:w w:val="100"/>
                <w:sz w:val="24"/>
                <w:szCs w:val="24"/>
                <w:lang w:val="en-US" w:eastAsia="zh-CN"/>
              </w:rPr>
              <w:t>工艺方案如下：</w:t>
            </w:r>
          </w:p>
          <w:p w14:paraId="4FD5117E">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color w:val="auto"/>
                <w:spacing w:val="0"/>
                <w:w w:val="100"/>
                <w:sz w:val="24"/>
                <w:szCs w:val="24"/>
                <w:lang w:val="en-US" w:eastAsia="zh-CN"/>
              </w:rPr>
            </w:pPr>
            <w:r>
              <w:rPr>
                <w:rFonts w:hint="default" w:ascii="Times New Roman" w:hAnsi="Times New Roman" w:eastAsia="宋体" w:cs="Times New Roman"/>
                <w:b w:val="0"/>
                <w:bCs/>
                <w:color w:val="auto"/>
                <w:spacing w:val="0"/>
                <w:w w:val="100"/>
                <w:sz w:val="24"/>
                <w:szCs w:val="24"/>
                <w:lang w:val="en-US" w:eastAsia="zh-CN"/>
              </w:rPr>
              <w:t>一级处理：粗格栅+细格栅及曝气沉砂池+调节池；</w:t>
            </w:r>
          </w:p>
          <w:p w14:paraId="0F90B869">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color w:val="auto"/>
                <w:spacing w:val="0"/>
                <w:w w:val="100"/>
                <w:sz w:val="24"/>
                <w:szCs w:val="24"/>
                <w:lang w:eastAsia="zh-CN"/>
              </w:rPr>
            </w:pPr>
            <w:r>
              <w:rPr>
                <w:rFonts w:hint="default" w:ascii="Times New Roman" w:hAnsi="Times New Roman" w:eastAsia="宋体" w:cs="Times New Roman"/>
                <w:b w:val="0"/>
                <w:bCs/>
                <w:color w:val="auto"/>
                <w:spacing w:val="0"/>
                <w:w w:val="100"/>
                <w:sz w:val="24"/>
                <w:szCs w:val="24"/>
                <w:lang w:val="en-US" w:eastAsia="zh-CN"/>
              </w:rPr>
              <w:t>二级处理：</w:t>
            </w:r>
            <w:r>
              <w:rPr>
                <w:rFonts w:hint="default" w:ascii="Times New Roman" w:hAnsi="Times New Roman" w:eastAsia="宋体" w:cs="Times New Roman"/>
                <w:b w:val="0"/>
                <w:bCs/>
                <w:color w:val="auto"/>
                <w:spacing w:val="0"/>
                <w:w w:val="100"/>
                <w:sz w:val="24"/>
                <w:szCs w:val="24"/>
              </w:rPr>
              <w:t>AAO</w:t>
            </w:r>
            <w:r>
              <w:rPr>
                <w:rFonts w:hint="default" w:ascii="Times New Roman" w:hAnsi="Times New Roman" w:eastAsia="宋体" w:cs="Times New Roman"/>
                <w:b w:val="0"/>
                <w:bCs/>
                <w:color w:val="auto"/>
                <w:spacing w:val="0"/>
                <w:w w:val="100"/>
                <w:sz w:val="24"/>
                <w:szCs w:val="24"/>
                <w:lang w:val="en-US" w:eastAsia="zh-CN"/>
              </w:rPr>
              <w:t>生物反应池</w:t>
            </w:r>
            <w:r>
              <w:rPr>
                <w:rFonts w:hint="default" w:ascii="Times New Roman" w:hAnsi="Times New Roman" w:eastAsia="宋体" w:cs="Times New Roman"/>
                <w:b w:val="0"/>
                <w:bCs/>
                <w:color w:val="auto"/>
                <w:spacing w:val="0"/>
                <w:w w:val="100"/>
                <w:sz w:val="24"/>
                <w:szCs w:val="24"/>
              </w:rPr>
              <w:t>+MBR池</w:t>
            </w:r>
            <w:r>
              <w:rPr>
                <w:rFonts w:hint="default" w:ascii="Times New Roman" w:hAnsi="Times New Roman" w:eastAsia="宋体" w:cs="Times New Roman"/>
                <w:b w:val="0"/>
                <w:bCs/>
                <w:color w:val="auto"/>
                <w:spacing w:val="0"/>
                <w:w w:val="100"/>
                <w:sz w:val="24"/>
                <w:szCs w:val="24"/>
                <w:lang w:eastAsia="zh-CN"/>
              </w:rPr>
              <w:t>；</w:t>
            </w:r>
          </w:p>
          <w:p w14:paraId="26EDD402">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污泥处理工艺：污泥消化池+污泥浓缩池+叠螺脱水机（含水率≤60%）；</w:t>
            </w:r>
          </w:p>
          <w:p w14:paraId="56B1DC93">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尾水消毒工艺：二氧化氯接触消毒。</w:t>
            </w:r>
          </w:p>
          <w:p w14:paraId="223AB411">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除臭工艺：生物除臭法。</w:t>
            </w:r>
          </w:p>
          <w:p w14:paraId="5FE73A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t>四</w:t>
            </w:r>
            <w:r>
              <w:rPr>
                <w:rFonts w:hint="default" w:ascii="Times New Roman" w:hAnsi="Times New Roman" w:eastAsia="宋体" w:cs="Times New Roman"/>
                <w:color w:val="auto"/>
                <w:spacing w:val="0"/>
                <w:w w:val="100"/>
                <w:sz w:val="24"/>
                <w:szCs w:val="24"/>
              </w:rPr>
              <w:t>、</w:t>
            </w:r>
            <w:r>
              <w:rPr>
                <w:rFonts w:hint="default" w:ascii="Times New Roman" w:hAnsi="Times New Roman" w:eastAsia="宋体" w:cs="Times New Roman"/>
                <w:b w:val="0"/>
                <w:bCs w:val="0"/>
                <w:color w:val="auto"/>
                <w:spacing w:val="0"/>
                <w:w w:val="100"/>
                <w:sz w:val="24"/>
                <w:szCs w:val="24"/>
                <w:lang w:val="en-US" w:eastAsia="zh-CN"/>
              </w:rPr>
              <w:t>主要建设内容</w:t>
            </w:r>
          </w:p>
          <w:p w14:paraId="6B8C2EA7">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1、主要构筑物</w:t>
            </w:r>
          </w:p>
          <w:p w14:paraId="416869E0">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项目主要建设内容为规划占地21亩，拟新建一座污水处理厂，日设计总处理规模为2000m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b w:val="0"/>
                <w:bCs w:val="0"/>
                <w:color w:val="auto"/>
                <w:spacing w:val="0"/>
                <w:w w:val="100"/>
                <w:sz w:val="24"/>
                <w:szCs w:val="24"/>
                <w:lang w:val="en-US" w:eastAsia="zh-CN"/>
              </w:rPr>
              <w:t>/d，回用水400m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b w:val="0"/>
                <w:bCs w:val="0"/>
                <w:color w:val="auto"/>
                <w:spacing w:val="0"/>
                <w:w w:val="100"/>
                <w:sz w:val="24"/>
                <w:szCs w:val="24"/>
                <w:lang w:val="en-US" w:eastAsia="zh-CN"/>
              </w:rPr>
              <w:t>/d，配套建设格栅间、沉砂池、调节池、AAO+MBR池、二氧化氯接触消毒池、变配电间、泵房、污泥脱水机房等建构筑物、污水处理设施以及自控电气等设备系统。</w:t>
            </w:r>
          </w:p>
          <w:p w14:paraId="5A0C511F">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cs="Times New Roman"/>
                <w:color w:val="auto"/>
                <w:spacing w:val="0"/>
                <w:w w:val="100"/>
              </w:rPr>
            </w:pPr>
            <w:r>
              <w:rPr>
                <w:rFonts w:hint="default" w:ascii="Times New Roman" w:hAnsi="Times New Roman" w:eastAsia="宋体" w:cs="Times New Roman"/>
                <w:b w:val="0"/>
                <w:bCs w:val="0"/>
                <w:color w:val="auto"/>
                <w:spacing w:val="0"/>
                <w:w w:val="100"/>
                <w:sz w:val="24"/>
                <w:szCs w:val="24"/>
                <w:lang w:val="en-US" w:eastAsia="zh-CN"/>
              </w:rPr>
              <w:t>具体建设内容见下表。</w:t>
            </w:r>
          </w:p>
          <w:p w14:paraId="2D199E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1"/>
                <w:szCs w:val="21"/>
              </w:rPr>
              <w:t>表</w:t>
            </w:r>
            <w:r>
              <w:rPr>
                <w:rFonts w:hint="default" w:ascii="Times New Roman" w:hAnsi="Times New Roman" w:eastAsia="宋体" w:cs="Times New Roman"/>
                <w:color w:val="auto"/>
                <w:spacing w:val="0"/>
                <w:w w:val="100"/>
                <w:sz w:val="21"/>
                <w:szCs w:val="21"/>
                <w:lang w:val="en-US" w:eastAsia="zh-CN"/>
              </w:rPr>
              <w:t>2-2</w:t>
            </w:r>
            <w:r>
              <w:rPr>
                <w:rFonts w:hint="default" w:ascii="Times New Roman" w:hAnsi="Times New Roman" w:eastAsia="宋体" w:cs="Times New Roman"/>
                <w:color w:val="auto"/>
                <w:spacing w:val="0"/>
                <w:w w:val="100"/>
                <w:sz w:val="21"/>
                <w:szCs w:val="21"/>
              </w:rPr>
              <w:t xml:space="preserve">  </w:t>
            </w:r>
            <w:r>
              <w:rPr>
                <w:rFonts w:hint="default" w:ascii="Times New Roman" w:hAnsi="Times New Roman" w:eastAsia="宋体" w:cs="Times New Roman"/>
                <w:color w:val="auto"/>
                <w:spacing w:val="0"/>
                <w:w w:val="100"/>
                <w:sz w:val="21"/>
                <w:szCs w:val="21"/>
                <w:lang w:val="en-US" w:eastAsia="zh-CN"/>
              </w:rPr>
              <w:t xml:space="preserve"> </w:t>
            </w:r>
            <w:r>
              <w:rPr>
                <w:rFonts w:hint="default" w:ascii="Times New Roman" w:hAnsi="Times New Roman" w:eastAsia="宋体" w:cs="Times New Roman"/>
                <w:color w:val="auto"/>
                <w:spacing w:val="0"/>
                <w:w w:val="100"/>
                <w:sz w:val="21"/>
                <w:szCs w:val="21"/>
                <w:lang w:eastAsia="zh-CN"/>
              </w:rPr>
              <w:t>本项目</w:t>
            </w:r>
            <w:r>
              <w:rPr>
                <w:rFonts w:hint="default" w:ascii="Times New Roman" w:hAnsi="Times New Roman" w:eastAsia="宋体" w:cs="Times New Roman"/>
                <w:color w:val="auto"/>
                <w:spacing w:val="0"/>
                <w:w w:val="100"/>
                <w:sz w:val="21"/>
                <w:szCs w:val="21"/>
              </w:rPr>
              <w:t>建设内容及规模一览表</w:t>
            </w:r>
          </w:p>
          <w:tbl>
            <w:tblPr>
              <w:tblStyle w:val="21"/>
              <w:tblW w:w="87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488"/>
              <w:gridCol w:w="843"/>
              <w:gridCol w:w="1373"/>
              <w:gridCol w:w="5318"/>
            </w:tblGrid>
            <w:tr w14:paraId="0C06F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403" w:type="pct"/>
                  <w:noWrap w:val="0"/>
                  <w:vAlign w:val="center"/>
                </w:tcPr>
                <w:p w14:paraId="60EBF95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工程类别</w:t>
                  </w:r>
                </w:p>
              </w:tc>
              <w:tc>
                <w:tcPr>
                  <w:tcW w:w="1549" w:type="pct"/>
                  <w:gridSpan w:val="3"/>
                  <w:noWrap w:val="0"/>
                  <w:vAlign w:val="center"/>
                </w:tcPr>
                <w:p w14:paraId="7C9D613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构筑物名称</w:t>
                  </w:r>
                </w:p>
              </w:tc>
              <w:tc>
                <w:tcPr>
                  <w:tcW w:w="3047" w:type="pct"/>
                  <w:noWrap w:val="0"/>
                  <w:vAlign w:val="center"/>
                </w:tcPr>
                <w:p w14:paraId="679A20F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pacing w:val="0"/>
                      <w:w w:val="100"/>
                      <w:sz w:val="21"/>
                      <w:szCs w:val="21"/>
                      <w:lang w:eastAsia="zh-CN"/>
                    </w:rPr>
                  </w:pPr>
                  <w:r>
                    <w:rPr>
                      <w:rFonts w:hint="default" w:ascii="Times New Roman" w:hAnsi="Times New Roman" w:eastAsia="宋体" w:cs="Times New Roman"/>
                      <w:b w:val="0"/>
                      <w:bCs/>
                      <w:color w:val="auto"/>
                      <w:spacing w:val="0"/>
                      <w:w w:val="100"/>
                      <w:sz w:val="21"/>
                      <w:szCs w:val="21"/>
                      <w:lang w:eastAsia="zh-CN"/>
                    </w:rPr>
                    <w:t>工程内容</w:t>
                  </w:r>
                </w:p>
              </w:tc>
            </w:tr>
            <w:tr w14:paraId="58FFA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trPr>
              <w:tc>
                <w:tcPr>
                  <w:tcW w:w="403" w:type="pct"/>
                  <w:vMerge w:val="restart"/>
                  <w:noWrap w:val="0"/>
                  <w:vAlign w:val="center"/>
                </w:tcPr>
                <w:p w14:paraId="6281A81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rPr>
                    <w:t>主体工程</w:t>
                  </w:r>
                </w:p>
              </w:tc>
              <w:tc>
                <w:tcPr>
                  <w:tcW w:w="762" w:type="pct"/>
                  <w:gridSpan w:val="2"/>
                  <w:vMerge w:val="restart"/>
                  <w:noWrap w:val="0"/>
                  <w:vAlign w:val="center"/>
                </w:tcPr>
                <w:p w14:paraId="07B780A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一级预处理</w:t>
                  </w:r>
                </w:p>
              </w:tc>
              <w:tc>
                <w:tcPr>
                  <w:tcW w:w="786" w:type="pct"/>
                  <w:noWrap w:val="0"/>
                  <w:vAlign w:val="center"/>
                </w:tcPr>
                <w:p w14:paraId="4DE88FD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格栅井</w:t>
                  </w:r>
                </w:p>
              </w:tc>
              <w:tc>
                <w:tcPr>
                  <w:tcW w:w="3047" w:type="pct"/>
                  <w:noWrap w:val="0"/>
                  <w:vAlign w:val="center"/>
                </w:tcPr>
                <w:p w14:paraId="31B50A1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pacing w:val="0"/>
                      <w:w w:val="100"/>
                      <w:sz w:val="21"/>
                      <w:szCs w:val="21"/>
                      <w:lang w:eastAsia="zh-CN"/>
                    </w:rPr>
                  </w:pPr>
                  <w:r>
                    <w:rPr>
                      <w:rFonts w:hint="default" w:ascii="Times New Roman" w:hAnsi="Times New Roman" w:eastAsia="宋体" w:cs="Times New Roman"/>
                      <w:color w:val="auto"/>
                      <w:spacing w:val="0"/>
                      <w:w w:val="100"/>
                      <w:sz w:val="21"/>
                      <w:szCs w:val="21"/>
                      <w:lang w:val="en-US" w:eastAsia="zh-CN"/>
                    </w:rPr>
                    <w:t>地下，钢砼结构，1座；平面尺寸：7.5×1.0×2.5m，沟宽600mm。</w:t>
                  </w:r>
                </w:p>
              </w:tc>
            </w:tr>
            <w:tr w14:paraId="09E5F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3" w:type="pct"/>
                  <w:vMerge w:val="continue"/>
                  <w:noWrap w:val="0"/>
                  <w:vAlign w:val="center"/>
                </w:tcPr>
                <w:p w14:paraId="0CD3A26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p>
              </w:tc>
              <w:tc>
                <w:tcPr>
                  <w:tcW w:w="762" w:type="pct"/>
                  <w:gridSpan w:val="2"/>
                  <w:vMerge w:val="continue"/>
                  <w:noWrap w:val="0"/>
                  <w:vAlign w:val="center"/>
                </w:tcPr>
                <w:p w14:paraId="151BB37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786" w:type="pct"/>
                  <w:shd w:val="clear" w:color="auto" w:fill="auto"/>
                  <w:noWrap w:val="0"/>
                  <w:vAlign w:val="center"/>
                </w:tcPr>
                <w:p w14:paraId="7BA053D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lang w:val="en-US" w:eastAsia="zh-CN"/>
                    </w:rPr>
                    <w:t>格栅间</w:t>
                  </w:r>
                </w:p>
              </w:tc>
              <w:tc>
                <w:tcPr>
                  <w:tcW w:w="3047" w:type="pct"/>
                  <w:shd w:val="clear" w:color="auto" w:fill="auto"/>
                  <w:noWrap w:val="0"/>
                  <w:vAlign w:val="center"/>
                </w:tcPr>
                <w:p w14:paraId="65311CE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color w:val="auto"/>
                      <w:spacing w:val="-1"/>
                      <w:sz w:val="21"/>
                      <w:szCs w:val="21"/>
                    </w:rPr>
                    <w:t>地上，框架结构</w:t>
                  </w:r>
                  <w:r>
                    <w:rPr>
                      <w:rFonts w:hint="default" w:ascii="Times New Roman" w:hAnsi="Times New Roman" w:eastAsia="宋体" w:cs="Times New Roman"/>
                      <w:color w:val="auto"/>
                      <w:spacing w:val="-1"/>
                      <w:sz w:val="21"/>
                      <w:szCs w:val="21"/>
                      <w:lang w:eastAsia="zh-CN"/>
                    </w:rPr>
                    <w:t>，</w:t>
                  </w:r>
                  <w:r>
                    <w:rPr>
                      <w:rFonts w:hint="default" w:ascii="Times New Roman" w:hAnsi="Times New Roman" w:eastAsia="宋体" w:cs="Times New Roman"/>
                      <w:color w:val="auto"/>
                      <w:spacing w:val="0"/>
                      <w:w w:val="100"/>
                      <w:sz w:val="21"/>
                      <w:szCs w:val="21"/>
                      <w:lang w:val="en-US" w:eastAsia="zh-CN"/>
                    </w:rPr>
                    <w:t>平面尺寸：</w:t>
                  </w:r>
                  <w:r>
                    <w:rPr>
                      <w:rFonts w:hint="default" w:ascii="Times New Roman" w:hAnsi="Times New Roman" w:eastAsia="宋体" w:cs="Times New Roman"/>
                      <w:color w:val="auto"/>
                      <w:spacing w:val="-2"/>
                      <w:sz w:val="21"/>
                      <w:szCs w:val="21"/>
                    </w:rPr>
                    <w:t>12.5×7.0×6.0m</w:t>
                  </w:r>
                </w:p>
              </w:tc>
            </w:tr>
            <w:tr w14:paraId="22530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403" w:type="pct"/>
                  <w:vMerge w:val="continue"/>
                  <w:noWrap w:val="0"/>
                  <w:vAlign w:val="center"/>
                </w:tcPr>
                <w:p w14:paraId="78AAE283">
                  <w:pPr>
                    <w:pStyle w:val="11"/>
                    <w:keepNext w:val="0"/>
                    <w:keepLines w:val="0"/>
                    <w:pageBreakBefore w:val="0"/>
                    <w:widowControl w:val="0"/>
                    <w:suppressLineNumbers w:val="0"/>
                    <w:kinsoku/>
                    <w:wordWrap/>
                    <w:overflowPunct/>
                    <w:topLinePunct w:val="0"/>
                    <w:autoSpaceDE/>
                    <w:autoSpaceDN/>
                    <w:bidi w:val="0"/>
                    <w:spacing w:before="0" w:beforeAutospacing="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sz w:val="21"/>
                      <w:szCs w:val="21"/>
                      <w:lang w:eastAsia="zh-CN"/>
                    </w:rPr>
                  </w:pPr>
                </w:p>
              </w:tc>
              <w:tc>
                <w:tcPr>
                  <w:tcW w:w="762" w:type="pct"/>
                  <w:gridSpan w:val="2"/>
                  <w:vMerge w:val="continue"/>
                  <w:noWrap w:val="0"/>
                  <w:vAlign w:val="center"/>
                </w:tcPr>
                <w:p w14:paraId="16028D8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786" w:type="pct"/>
                  <w:shd w:val="clear" w:color="auto" w:fill="auto"/>
                  <w:noWrap w:val="0"/>
                  <w:vAlign w:val="center"/>
                </w:tcPr>
                <w:p w14:paraId="71B3A9A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default" w:ascii="Times New Roman" w:hAnsi="Times New Roman" w:eastAsia="宋体" w:cs="Times New Roman"/>
                      <w:b w:val="0"/>
                      <w:bCs/>
                      <w:color w:val="auto"/>
                      <w:spacing w:val="0"/>
                      <w:w w:val="100"/>
                      <w:sz w:val="21"/>
                      <w:szCs w:val="21"/>
                    </w:rPr>
                    <w:t>沉砂</w:t>
                  </w:r>
                  <w:r>
                    <w:rPr>
                      <w:rFonts w:hint="eastAsia" w:ascii="Times New Roman" w:hAnsi="Times New Roman" w:eastAsia="宋体" w:cs="Times New Roman"/>
                      <w:b w:val="0"/>
                      <w:bCs/>
                      <w:color w:val="auto"/>
                      <w:spacing w:val="0"/>
                      <w:w w:val="100"/>
                      <w:sz w:val="21"/>
                      <w:szCs w:val="21"/>
                      <w:lang w:eastAsia="zh-CN"/>
                    </w:rPr>
                    <w:t>池</w:t>
                  </w:r>
                </w:p>
              </w:tc>
              <w:tc>
                <w:tcPr>
                  <w:tcW w:w="3047" w:type="pct"/>
                  <w:shd w:val="clear" w:color="auto" w:fill="auto"/>
                  <w:noWrap w:val="0"/>
                  <w:vAlign w:val="center"/>
                </w:tcPr>
                <w:p w14:paraId="58451F1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地下，钢砼结构，1座；平面尺寸：</w:t>
                  </w:r>
                  <w:r>
                    <w:rPr>
                      <w:rFonts w:hint="default" w:ascii="Times New Roman" w:hAnsi="Times New Roman" w:eastAsia="宋体" w:cs="Times New Roman"/>
                      <w:color w:val="auto"/>
                      <w:spacing w:val="-1"/>
                      <w:sz w:val="21"/>
                      <w:szCs w:val="21"/>
                    </w:rPr>
                    <w:t>7.5×1.5×2.5m</w:t>
                  </w:r>
                </w:p>
              </w:tc>
            </w:tr>
            <w:tr w14:paraId="1A4C1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403" w:type="pct"/>
                  <w:vMerge w:val="continue"/>
                  <w:noWrap w:val="0"/>
                  <w:vAlign w:val="center"/>
                </w:tcPr>
                <w:p w14:paraId="04117F94">
                  <w:pPr>
                    <w:pStyle w:val="11"/>
                    <w:keepNext w:val="0"/>
                    <w:keepLines w:val="0"/>
                    <w:pageBreakBefore w:val="0"/>
                    <w:widowControl w:val="0"/>
                    <w:suppressLineNumbers w:val="0"/>
                    <w:kinsoku/>
                    <w:wordWrap/>
                    <w:overflowPunct/>
                    <w:topLinePunct w:val="0"/>
                    <w:autoSpaceDE/>
                    <w:autoSpaceDN/>
                    <w:bidi w:val="0"/>
                    <w:spacing w:before="0" w:beforeAutospacing="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sz w:val="21"/>
                      <w:szCs w:val="21"/>
                      <w:lang w:eastAsia="zh-CN"/>
                    </w:rPr>
                  </w:pPr>
                </w:p>
              </w:tc>
              <w:tc>
                <w:tcPr>
                  <w:tcW w:w="762" w:type="pct"/>
                  <w:gridSpan w:val="2"/>
                  <w:vMerge w:val="continue"/>
                  <w:noWrap w:val="0"/>
                  <w:vAlign w:val="center"/>
                </w:tcPr>
                <w:p w14:paraId="625535F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786" w:type="pct"/>
                  <w:noWrap w:val="0"/>
                  <w:vAlign w:val="center"/>
                </w:tcPr>
                <w:p w14:paraId="461FAF4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pacing w:val="0"/>
                      <w:w w:val="100"/>
                      <w:kern w:val="2"/>
                      <w:sz w:val="21"/>
                      <w:szCs w:val="21"/>
                      <w:lang w:val="en-US" w:eastAsia="zh-CN" w:bidi="ar-SA"/>
                    </w:rPr>
                  </w:pPr>
                  <w:r>
                    <w:rPr>
                      <w:rFonts w:hint="eastAsia" w:ascii="Times New Roman" w:hAnsi="Times New Roman" w:eastAsia="宋体" w:cs="Times New Roman"/>
                      <w:b w:val="0"/>
                      <w:bCs/>
                      <w:color w:val="auto"/>
                      <w:spacing w:val="0"/>
                      <w:w w:val="100"/>
                      <w:sz w:val="21"/>
                      <w:szCs w:val="21"/>
                      <w:lang w:eastAsia="zh-CN"/>
                    </w:rPr>
                    <w:t>调节水池</w:t>
                  </w:r>
                </w:p>
              </w:tc>
              <w:tc>
                <w:tcPr>
                  <w:tcW w:w="3047" w:type="pct"/>
                  <w:noWrap w:val="0"/>
                  <w:vAlign w:val="center"/>
                </w:tcPr>
                <w:p w14:paraId="579B9E8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地下，钢砼结构，1座；平面尺寸：</w:t>
                  </w:r>
                  <w:r>
                    <w:rPr>
                      <w:rFonts w:hint="default" w:ascii="Times New Roman" w:hAnsi="Times New Roman" w:eastAsia="宋体" w:cs="Times New Roman"/>
                      <w:color w:val="auto"/>
                      <w:spacing w:val="-2"/>
                      <w:sz w:val="21"/>
                      <w:szCs w:val="21"/>
                    </w:rPr>
                    <w:t>15.0×10.0×4.8m</w:t>
                  </w:r>
                </w:p>
              </w:tc>
            </w:tr>
            <w:tr w14:paraId="1EA3D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403" w:type="pct"/>
                  <w:vMerge w:val="continue"/>
                  <w:noWrap w:val="0"/>
                  <w:vAlign w:val="center"/>
                </w:tcPr>
                <w:p w14:paraId="507773A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p>
              </w:tc>
              <w:tc>
                <w:tcPr>
                  <w:tcW w:w="279" w:type="pct"/>
                  <w:vMerge w:val="restart"/>
                  <w:noWrap w:val="0"/>
                  <w:vAlign w:val="center"/>
                </w:tcPr>
                <w:p w14:paraId="5BF1978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二级生化处理</w:t>
                  </w:r>
                </w:p>
              </w:tc>
              <w:tc>
                <w:tcPr>
                  <w:tcW w:w="483" w:type="pct"/>
                  <w:vMerge w:val="restart"/>
                  <w:noWrap w:val="0"/>
                  <w:vAlign w:val="center"/>
                </w:tcPr>
                <w:p w14:paraId="527E08D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AAO</w:t>
                  </w:r>
                  <w:r>
                    <w:rPr>
                      <w:rFonts w:hint="default" w:ascii="Times New Roman" w:hAnsi="Times New Roman" w:eastAsia="宋体" w:cs="Times New Roman"/>
                      <w:color w:val="auto"/>
                      <w:spacing w:val="0"/>
                      <w:w w:val="100"/>
                      <w:kern w:val="2"/>
                      <w:sz w:val="21"/>
                      <w:szCs w:val="21"/>
                      <w:lang w:val="en-US" w:eastAsia="zh-CN" w:bidi="ar-SA"/>
                    </w:rPr>
                    <w:t>生化处理池</w:t>
                  </w:r>
                </w:p>
              </w:tc>
              <w:tc>
                <w:tcPr>
                  <w:tcW w:w="786" w:type="pct"/>
                  <w:noWrap w:val="0"/>
                  <w:vAlign w:val="center"/>
                </w:tcPr>
                <w:p w14:paraId="6FE9B34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2"/>
                      <w:sz w:val="21"/>
                      <w:szCs w:val="21"/>
                    </w:rPr>
                    <w:t>厌氧反应池</w:t>
                  </w:r>
                </w:p>
              </w:tc>
              <w:tc>
                <w:tcPr>
                  <w:tcW w:w="3047" w:type="pct"/>
                  <w:noWrap w:val="0"/>
                  <w:vAlign w:val="center"/>
                </w:tcPr>
                <w:p w14:paraId="51C0E75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地上，</w:t>
                  </w:r>
                  <w:r>
                    <w:rPr>
                      <w:rFonts w:hint="default" w:ascii="Times New Roman" w:hAnsi="Times New Roman" w:eastAsia="宋体" w:cs="Times New Roman"/>
                      <w:color w:val="auto"/>
                      <w:spacing w:val="0"/>
                      <w:w w:val="100"/>
                      <w:sz w:val="21"/>
                      <w:szCs w:val="21"/>
                    </w:rPr>
                    <w:t>钢筋砼</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lang w:val="en-US" w:eastAsia="zh-CN"/>
                    </w:rPr>
                    <w:t>1座；</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color w:val="auto"/>
                      <w:spacing w:val="-1"/>
                      <w:sz w:val="21"/>
                      <w:szCs w:val="21"/>
                    </w:rPr>
                    <w:t>6×6.5×5.5m</w:t>
                  </w:r>
                </w:p>
              </w:tc>
            </w:tr>
            <w:tr w14:paraId="26EF3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03" w:type="pct"/>
                  <w:vMerge w:val="continue"/>
                  <w:noWrap w:val="0"/>
                  <w:vAlign w:val="center"/>
                </w:tcPr>
                <w:p w14:paraId="690DA3B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p>
              </w:tc>
              <w:tc>
                <w:tcPr>
                  <w:tcW w:w="279" w:type="pct"/>
                  <w:vMerge w:val="continue"/>
                  <w:noWrap w:val="0"/>
                  <w:vAlign w:val="center"/>
                </w:tcPr>
                <w:p w14:paraId="3DE66E7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83" w:type="pct"/>
                  <w:vMerge w:val="continue"/>
                  <w:noWrap w:val="0"/>
                  <w:vAlign w:val="center"/>
                </w:tcPr>
                <w:p w14:paraId="6F2EBC3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786" w:type="pct"/>
                  <w:noWrap w:val="0"/>
                  <w:vAlign w:val="center"/>
                </w:tcPr>
                <w:p w14:paraId="7E067F6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1"/>
                      <w:sz w:val="21"/>
                      <w:szCs w:val="21"/>
                    </w:rPr>
                    <w:t>缺氧反应池</w:t>
                  </w:r>
                </w:p>
              </w:tc>
              <w:tc>
                <w:tcPr>
                  <w:tcW w:w="3047" w:type="pct"/>
                  <w:noWrap w:val="0"/>
                  <w:vAlign w:val="center"/>
                </w:tcPr>
                <w:p w14:paraId="3DA02FD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地上，</w:t>
                  </w:r>
                  <w:r>
                    <w:rPr>
                      <w:rFonts w:hint="default" w:ascii="Times New Roman" w:hAnsi="Times New Roman" w:eastAsia="宋体" w:cs="Times New Roman"/>
                      <w:color w:val="auto"/>
                      <w:spacing w:val="0"/>
                      <w:w w:val="100"/>
                      <w:sz w:val="21"/>
                      <w:szCs w:val="21"/>
                    </w:rPr>
                    <w:t>钢筋砼</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lang w:val="en-US" w:eastAsia="zh-CN"/>
                    </w:rPr>
                    <w:t>1座；</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color w:val="auto"/>
                      <w:spacing w:val="-2"/>
                      <w:sz w:val="21"/>
                      <w:szCs w:val="21"/>
                    </w:rPr>
                    <w:t>15.5×6.5×5.5m</w:t>
                  </w:r>
                </w:p>
              </w:tc>
            </w:tr>
            <w:tr w14:paraId="362CF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403" w:type="pct"/>
                  <w:vMerge w:val="continue"/>
                  <w:noWrap w:val="0"/>
                  <w:vAlign w:val="center"/>
                </w:tcPr>
                <w:p w14:paraId="1D921E5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p>
              </w:tc>
              <w:tc>
                <w:tcPr>
                  <w:tcW w:w="279" w:type="pct"/>
                  <w:vMerge w:val="continue"/>
                  <w:noWrap w:val="0"/>
                  <w:vAlign w:val="center"/>
                </w:tcPr>
                <w:p w14:paraId="558C9D2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83" w:type="pct"/>
                  <w:vMerge w:val="continue"/>
                  <w:noWrap w:val="0"/>
                  <w:vAlign w:val="center"/>
                </w:tcPr>
                <w:p w14:paraId="0415290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786" w:type="pct"/>
                  <w:noWrap w:val="0"/>
                  <w:vAlign w:val="center"/>
                </w:tcPr>
                <w:p w14:paraId="0E16DE9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好氧反应池</w:t>
                  </w:r>
                </w:p>
              </w:tc>
              <w:tc>
                <w:tcPr>
                  <w:tcW w:w="3047" w:type="pct"/>
                  <w:noWrap w:val="0"/>
                  <w:vAlign w:val="center"/>
                </w:tcPr>
                <w:p w14:paraId="3B73BD4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lang w:val="en-US" w:eastAsia="zh-CN"/>
                    </w:rPr>
                    <w:t>地上，</w:t>
                  </w:r>
                  <w:r>
                    <w:rPr>
                      <w:rFonts w:hint="default" w:ascii="Times New Roman" w:hAnsi="Times New Roman" w:eastAsia="宋体" w:cs="Times New Roman"/>
                      <w:color w:val="auto"/>
                      <w:spacing w:val="0"/>
                      <w:w w:val="100"/>
                      <w:sz w:val="21"/>
                      <w:szCs w:val="21"/>
                    </w:rPr>
                    <w:t>钢筋砼</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lang w:val="en-US" w:eastAsia="zh-CN"/>
                    </w:rPr>
                    <w:t>1座；</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color w:val="auto"/>
                      <w:spacing w:val="-1"/>
                      <w:sz w:val="21"/>
                      <w:szCs w:val="21"/>
                    </w:rPr>
                    <w:t>30.0×6.5×5.5m</w:t>
                  </w:r>
                </w:p>
              </w:tc>
            </w:tr>
            <w:tr w14:paraId="2CF0A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403" w:type="pct"/>
                  <w:vMerge w:val="continue"/>
                  <w:noWrap w:val="0"/>
                  <w:vAlign w:val="center"/>
                </w:tcPr>
                <w:p w14:paraId="7AA57CB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p>
              </w:tc>
              <w:tc>
                <w:tcPr>
                  <w:tcW w:w="279" w:type="pct"/>
                  <w:vMerge w:val="continue"/>
                  <w:noWrap w:val="0"/>
                  <w:vAlign w:val="center"/>
                </w:tcPr>
                <w:p w14:paraId="3E989D7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83" w:type="pct"/>
                  <w:vMerge w:val="restart"/>
                  <w:noWrap w:val="0"/>
                  <w:vAlign w:val="center"/>
                </w:tcPr>
                <w:p w14:paraId="47279C1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MBR</w:t>
                  </w:r>
                  <w:r>
                    <w:rPr>
                      <w:rFonts w:hint="default" w:ascii="Times New Roman" w:hAnsi="Times New Roman" w:eastAsia="宋体" w:cs="Times New Roman"/>
                      <w:color w:val="auto"/>
                      <w:spacing w:val="0"/>
                      <w:w w:val="100"/>
                      <w:kern w:val="2"/>
                      <w:sz w:val="21"/>
                      <w:szCs w:val="21"/>
                      <w:lang w:val="en-US" w:eastAsia="zh-CN" w:bidi="ar-SA"/>
                    </w:rPr>
                    <w:t>处理池</w:t>
                  </w:r>
                </w:p>
              </w:tc>
              <w:tc>
                <w:tcPr>
                  <w:tcW w:w="786" w:type="pct"/>
                  <w:noWrap w:val="0"/>
                  <w:vAlign w:val="center"/>
                </w:tcPr>
                <w:p w14:paraId="2139AAC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2"/>
                      <w:sz w:val="21"/>
                      <w:szCs w:val="21"/>
                    </w:rPr>
                    <w:t>MBR膜池</w:t>
                  </w:r>
                </w:p>
              </w:tc>
              <w:tc>
                <w:tcPr>
                  <w:tcW w:w="3047" w:type="pct"/>
                  <w:noWrap w:val="0"/>
                  <w:vAlign w:val="center"/>
                </w:tcPr>
                <w:p w14:paraId="4FD5779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地上，</w:t>
                  </w:r>
                  <w:r>
                    <w:rPr>
                      <w:rFonts w:hint="default" w:ascii="Times New Roman" w:hAnsi="Times New Roman" w:eastAsia="宋体" w:cs="Times New Roman"/>
                      <w:color w:val="auto"/>
                      <w:spacing w:val="0"/>
                      <w:w w:val="100"/>
                      <w:sz w:val="21"/>
                      <w:szCs w:val="21"/>
                    </w:rPr>
                    <w:t>钢筋砼</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lang w:val="en-US" w:eastAsia="zh-CN"/>
                    </w:rPr>
                    <w:t>1座；</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spacing w:val="-1"/>
                      <w:sz w:val="21"/>
                      <w:szCs w:val="21"/>
                    </w:rPr>
                    <w:t>6.5×17.5×4.5m</w:t>
                  </w:r>
                </w:p>
              </w:tc>
            </w:tr>
            <w:tr w14:paraId="22A19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03" w:type="pct"/>
                  <w:vMerge w:val="continue"/>
                  <w:noWrap w:val="0"/>
                  <w:vAlign w:val="center"/>
                </w:tcPr>
                <w:p w14:paraId="33515C7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FF0000"/>
                      <w:spacing w:val="0"/>
                      <w:w w:val="100"/>
                      <w:sz w:val="21"/>
                      <w:szCs w:val="21"/>
                    </w:rPr>
                  </w:pPr>
                </w:p>
              </w:tc>
              <w:tc>
                <w:tcPr>
                  <w:tcW w:w="279" w:type="pct"/>
                  <w:vMerge w:val="continue"/>
                  <w:noWrap w:val="0"/>
                  <w:vAlign w:val="center"/>
                </w:tcPr>
                <w:p w14:paraId="707CF00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83" w:type="pct"/>
                  <w:vMerge w:val="continue"/>
                  <w:noWrap w:val="0"/>
                  <w:vAlign w:val="center"/>
                </w:tcPr>
                <w:p w14:paraId="6FF4B82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786" w:type="pct"/>
                  <w:shd w:val="clear" w:color="auto" w:fill="auto"/>
                  <w:noWrap w:val="0"/>
                  <w:vAlign w:val="center"/>
                </w:tcPr>
                <w:p w14:paraId="0907D0A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21"/>
                      <w:szCs w:val="21"/>
                      <w:lang w:val="en-US" w:eastAsia="zh-CN" w:bidi="ar-SA"/>
                    </w:rPr>
                  </w:pPr>
                  <w:r>
                    <w:rPr>
                      <w:rFonts w:hint="default" w:ascii="Times New Roman" w:hAnsi="Times New Roman" w:eastAsia="宋体" w:cs="Times New Roman"/>
                      <w:color w:val="auto"/>
                      <w:spacing w:val="-2"/>
                      <w:sz w:val="21"/>
                      <w:szCs w:val="21"/>
                    </w:rPr>
                    <w:t>MBR清水池</w:t>
                  </w:r>
                </w:p>
              </w:tc>
              <w:tc>
                <w:tcPr>
                  <w:tcW w:w="3047" w:type="pct"/>
                  <w:shd w:val="clear" w:color="auto" w:fill="auto"/>
                  <w:noWrap w:val="0"/>
                  <w:vAlign w:val="center"/>
                </w:tcPr>
                <w:p w14:paraId="2F002F3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地上，</w:t>
                  </w:r>
                  <w:r>
                    <w:rPr>
                      <w:rFonts w:hint="default" w:ascii="Times New Roman" w:hAnsi="Times New Roman" w:eastAsia="宋体" w:cs="Times New Roman"/>
                      <w:color w:val="auto"/>
                      <w:spacing w:val="0"/>
                      <w:w w:val="100"/>
                      <w:sz w:val="21"/>
                      <w:szCs w:val="21"/>
                    </w:rPr>
                    <w:t>钢筋砼</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color w:val="auto"/>
                      <w:spacing w:val="-1"/>
                      <w:sz w:val="21"/>
                      <w:szCs w:val="21"/>
                    </w:rPr>
                    <w:t>3.0×4.5×4.5m</w:t>
                  </w:r>
                </w:p>
              </w:tc>
            </w:tr>
            <w:tr w14:paraId="3FE35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3" w:type="pct"/>
                  <w:vMerge w:val="continue"/>
                  <w:noWrap w:val="0"/>
                  <w:vAlign w:val="center"/>
                </w:tcPr>
                <w:p w14:paraId="5DA3096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FF0000"/>
                      <w:spacing w:val="0"/>
                      <w:w w:val="100"/>
                      <w:sz w:val="21"/>
                      <w:szCs w:val="21"/>
                    </w:rPr>
                  </w:pPr>
                </w:p>
              </w:tc>
              <w:tc>
                <w:tcPr>
                  <w:tcW w:w="762" w:type="pct"/>
                  <w:gridSpan w:val="2"/>
                  <w:vMerge w:val="restart"/>
                  <w:noWrap w:val="0"/>
                  <w:vAlign w:val="center"/>
                </w:tcPr>
                <w:p w14:paraId="6EB19F6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污泥处理</w:t>
                  </w:r>
                </w:p>
              </w:tc>
              <w:tc>
                <w:tcPr>
                  <w:tcW w:w="786" w:type="pct"/>
                  <w:noWrap w:val="0"/>
                  <w:vAlign w:val="center"/>
                </w:tcPr>
                <w:p w14:paraId="3A0AD0F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2"/>
                      <w:sz w:val="21"/>
                      <w:szCs w:val="21"/>
                    </w:rPr>
                    <w:t>污泥消化池</w:t>
                  </w:r>
                </w:p>
              </w:tc>
              <w:tc>
                <w:tcPr>
                  <w:tcW w:w="3047" w:type="pct"/>
                  <w:noWrap w:val="0"/>
                  <w:vAlign w:val="center"/>
                </w:tcPr>
                <w:p w14:paraId="0093AFF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地上，</w:t>
                  </w:r>
                  <w:r>
                    <w:rPr>
                      <w:rFonts w:hint="default" w:ascii="Times New Roman" w:hAnsi="Times New Roman" w:eastAsia="宋体" w:cs="Times New Roman"/>
                      <w:color w:val="auto"/>
                      <w:spacing w:val="0"/>
                      <w:w w:val="100"/>
                      <w:sz w:val="21"/>
                      <w:szCs w:val="21"/>
                    </w:rPr>
                    <w:t>钢筋砼</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color w:val="auto"/>
                      <w:spacing w:val="-1"/>
                      <w:sz w:val="21"/>
                      <w:szCs w:val="21"/>
                    </w:rPr>
                    <w:t>7.5×7.5×4.5m</w:t>
                  </w:r>
                </w:p>
              </w:tc>
            </w:tr>
            <w:tr w14:paraId="2F8F3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403" w:type="pct"/>
                  <w:vMerge w:val="continue"/>
                  <w:noWrap w:val="0"/>
                  <w:vAlign w:val="center"/>
                </w:tcPr>
                <w:p w14:paraId="4E30AF2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FF0000"/>
                      <w:spacing w:val="0"/>
                      <w:w w:val="100"/>
                      <w:sz w:val="21"/>
                      <w:szCs w:val="21"/>
                    </w:rPr>
                  </w:pPr>
                </w:p>
              </w:tc>
              <w:tc>
                <w:tcPr>
                  <w:tcW w:w="762" w:type="pct"/>
                  <w:gridSpan w:val="2"/>
                  <w:vMerge w:val="continue"/>
                  <w:noWrap w:val="0"/>
                  <w:vAlign w:val="center"/>
                </w:tcPr>
                <w:p w14:paraId="00622BF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786" w:type="pct"/>
                  <w:noWrap w:val="0"/>
                  <w:vAlign w:val="center"/>
                </w:tcPr>
                <w:p w14:paraId="2ED799F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2"/>
                      <w:sz w:val="21"/>
                      <w:szCs w:val="21"/>
                    </w:rPr>
                    <w:t>污泥浓缩池</w:t>
                  </w:r>
                </w:p>
              </w:tc>
              <w:tc>
                <w:tcPr>
                  <w:tcW w:w="3047" w:type="pct"/>
                  <w:noWrap w:val="0"/>
                  <w:vAlign w:val="center"/>
                </w:tcPr>
                <w:p w14:paraId="42FA8FA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地上，</w:t>
                  </w:r>
                  <w:r>
                    <w:rPr>
                      <w:rFonts w:hint="default" w:ascii="Times New Roman" w:hAnsi="Times New Roman" w:eastAsia="宋体" w:cs="Times New Roman"/>
                      <w:color w:val="auto"/>
                      <w:spacing w:val="0"/>
                      <w:w w:val="100"/>
                      <w:sz w:val="21"/>
                      <w:szCs w:val="21"/>
                    </w:rPr>
                    <w:t>钢筋砼</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color w:val="auto"/>
                      <w:spacing w:val="-1"/>
                      <w:sz w:val="21"/>
                      <w:szCs w:val="21"/>
                    </w:rPr>
                    <w:t>Ø6.0×4.5m</w:t>
                  </w:r>
                </w:p>
              </w:tc>
            </w:tr>
            <w:tr w14:paraId="4DB57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403" w:type="pct"/>
                  <w:vMerge w:val="continue"/>
                  <w:noWrap w:val="0"/>
                  <w:vAlign w:val="center"/>
                </w:tcPr>
                <w:p w14:paraId="6840D98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FF0000"/>
                      <w:spacing w:val="0"/>
                      <w:w w:val="100"/>
                      <w:sz w:val="21"/>
                      <w:szCs w:val="21"/>
                    </w:rPr>
                  </w:pPr>
                </w:p>
              </w:tc>
              <w:tc>
                <w:tcPr>
                  <w:tcW w:w="762" w:type="pct"/>
                  <w:gridSpan w:val="2"/>
                  <w:noWrap w:val="0"/>
                  <w:vAlign w:val="center"/>
                </w:tcPr>
                <w:p w14:paraId="4BB1A95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消毒池（回用水池）</w:t>
                  </w:r>
                </w:p>
              </w:tc>
              <w:tc>
                <w:tcPr>
                  <w:tcW w:w="786" w:type="pct"/>
                  <w:noWrap w:val="0"/>
                  <w:vAlign w:val="center"/>
                </w:tcPr>
                <w:p w14:paraId="01D98A7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二氧化氯接触消毒</w:t>
                  </w:r>
                </w:p>
              </w:tc>
              <w:tc>
                <w:tcPr>
                  <w:tcW w:w="3047" w:type="pct"/>
                  <w:noWrap w:val="0"/>
                  <w:vAlign w:val="center"/>
                </w:tcPr>
                <w:p w14:paraId="5FBE0A1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地上，</w:t>
                  </w:r>
                  <w:r>
                    <w:rPr>
                      <w:rFonts w:hint="default" w:ascii="Times New Roman" w:hAnsi="Times New Roman" w:eastAsia="宋体" w:cs="Times New Roman"/>
                      <w:color w:val="auto"/>
                      <w:spacing w:val="0"/>
                      <w:w w:val="100"/>
                      <w:sz w:val="21"/>
                      <w:szCs w:val="21"/>
                    </w:rPr>
                    <w:t>钢筋砼</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color w:val="auto"/>
                      <w:spacing w:val="0"/>
                      <w:w w:val="100"/>
                      <w:sz w:val="21"/>
                      <w:szCs w:val="21"/>
                      <w:lang w:eastAsia="zh-CN"/>
                    </w:rPr>
                    <w:t>：</w:t>
                  </w:r>
                  <w:r>
                    <w:rPr>
                      <w:rFonts w:hint="default" w:ascii="Times New Roman" w:hAnsi="Times New Roman" w:eastAsia="宋体" w:cs="Times New Roman"/>
                      <w:color w:val="auto"/>
                      <w:spacing w:val="-1"/>
                      <w:sz w:val="21"/>
                      <w:szCs w:val="21"/>
                    </w:rPr>
                    <w:t>9.5×5×4.5m</w:t>
                  </w:r>
                </w:p>
              </w:tc>
            </w:tr>
            <w:tr w14:paraId="0FC1F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403" w:type="pct"/>
                  <w:vMerge w:val="continue"/>
                  <w:noWrap w:val="0"/>
                  <w:vAlign w:val="center"/>
                </w:tcPr>
                <w:p w14:paraId="6B65C2E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FF0000"/>
                      <w:spacing w:val="0"/>
                      <w:w w:val="100"/>
                      <w:sz w:val="21"/>
                      <w:szCs w:val="21"/>
                    </w:rPr>
                  </w:pPr>
                </w:p>
              </w:tc>
              <w:tc>
                <w:tcPr>
                  <w:tcW w:w="1549" w:type="pct"/>
                  <w:gridSpan w:val="3"/>
                  <w:noWrap w:val="0"/>
                  <w:vAlign w:val="center"/>
                </w:tcPr>
                <w:p w14:paraId="5C19AA0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厂区污水总排放口</w:t>
                  </w:r>
                </w:p>
              </w:tc>
              <w:tc>
                <w:tcPr>
                  <w:tcW w:w="3047" w:type="pct"/>
                  <w:noWrap w:val="0"/>
                  <w:vAlign w:val="center"/>
                </w:tcPr>
                <w:p w14:paraId="65A324A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新建厂区总排口</w:t>
                  </w:r>
                </w:p>
              </w:tc>
            </w:tr>
            <w:tr w14:paraId="367A1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403" w:type="pct"/>
                  <w:vMerge w:val="restart"/>
                  <w:noWrap w:val="0"/>
                  <w:vAlign w:val="center"/>
                </w:tcPr>
                <w:p w14:paraId="0279D55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辅助工程</w:t>
                  </w:r>
                </w:p>
              </w:tc>
              <w:tc>
                <w:tcPr>
                  <w:tcW w:w="1549" w:type="pct"/>
                  <w:gridSpan w:val="3"/>
                  <w:noWrap w:val="0"/>
                  <w:vAlign w:val="center"/>
                </w:tcPr>
                <w:p w14:paraId="2944D98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color w:val="auto"/>
                      <w:spacing w:val="0"/>
                      <w:w w:val="100"/>
                      <w:kern w:val="2"/>
                      <w:sz w:val="21"/>
                      <w:szCs w:val="21"/>
                      <w:lang w:val="en-US" w:eastAsia="zh-CN" w:bidi="ar-SA"/>
                    </w:rPr>
                    <w:t>门房</w:t>
                  </w:r>
                </w:p>
              </w:tc>
              <w:tc>
                <w:tcPr>
                  <w:tcW w:w="3047" w:type="pct"/>
                  <w:noWrap w:val="0"/>
                  <w:vAlign w:val="center"/>
                </w:tcPr>
                <w:p w14:paraId="77A8FAC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pacing w:val="0"/>
                      <w:w w:val="100"/>
                      <w:sz w:val="21"/>
                      <w:szCs w:val="21"/>
                    </w:rPr>
                  </w:pPr>
                  <w:r>
                    <w:rPr>
                      <w:rFonts w:hint="default" w:ascii="Times New Roman" w:hAnsi="Times New Roman" w:eastAsia="宋体" w:cs="Times New Roman"/>
                      <w:color w:val="auto"/>
                      <w:spacing w:val="0"/>
                      <w:w w:val="100"/>
                      <w:sz w:val="21"/>
                      <w:szCs w:val="21"/>
                      <w:lang w:val="en-US" w:eastAsia="zh-CN"/>
                    </w:rPr>
                    <w:t>地上，框架</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sz w:val="21"/>
                      <w:szCs w:val="21"/>
                    </w:rPr>
                    <w:t>4.5×4.5×4.5m</w:t>
                  </w:r>
                </w:p>
              </w:tc>
            </w:tr>
            <w:tr w14:paraId="3AB78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3" w:type="pct"/>
                  <w:vMerge w:val="continue"/>
                  <w:noWrap w:val="0"/>
                  <w:vAlign w:val="center"/>
                </w:tcPr>
                <w:p w14:paraId="6D3D935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p>
              </w:tc>
              <w:tc>
                <w:tcPr>
                  <w:tcW w:w="1549" w:type="pct"/>
                  <w:gridSpan w:val="3"/>
                  <w:shd w:val="clear" w:color="auto" w:fill="auto"/>
                  <w:noWrap w:val="0"/>
                  <w:vAlign w:val="center"/>
                </w:tcPr>
                <w:p w14:paraId="31ED997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21"/>
                      <w:szCs w:val="21"/>
                      <w:lang w:val="en-US" w:eastAsia="zh-CN" w:bidi="ar-SA"/>
                    </w:rPr>
                  </w:pPr>
                  <w:r>
                    <w:rPr>
                      <w:rFonts w:hint="default" w:ascii="Times New Roman" w:hAnsi="Times New Roman" w:eastAsia="宋体" w:cs="Times New Roman"/>
                      <w:color w:val="auto"/>
                      <w:spacing w:val="-2"/>
                      <w:sz w:val="21"/>
                      <w:szCs w:val="21"/>
                    </w:rPr>
                    <w:t>污泥脱水机房</w:t>
                  </w:r>
                </w:p>
              </w:tc>
              <w:tc>
                <w:tcPr>
                  <w:tcW w:w="3047" w:type="pct"/>
                  <w:shd w:val="clear" w:color="auto" w:fill="auto"/>
                  <w:noWrap w:val="0"/>
                  <w:vAlign w:val="center"/>
                </w:tcPr>
                <w:p w14:paraId="4154C6F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地上，框架</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color w:val="auto"/>
                      <w:spacing w:val="-1"/>
                      <w:sz w:val="21"/>
                      <w:szCs w:val="21"/>
                    </w:rPr>
                    <w:t>24×6×6.0m</w:t>
                  </w:r>
                </w:p>
              </w:tc>
            </w:tr>
            <w:tr w14:paraId="2641C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403" w:type="pct"/>
                  <w:vMerge w:val="continue"/>
                  <w:noWrap w:val="0"/>
                  <w:vAlign w:val="center"/>
                </w:tcPr>
                <w:p w14:paraId="0D124E9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p>
              </w:tc>
              <w:tc>
                <w:tcPr>
                  <w:tcW w:w="1549" w:type="pct"/>
                  <w:gridSpan w:val="3"/>
                  <w:noWrap w:val="0"/>
                  <w:vAlign w:val="center"/>
                </w:tcPr>
                <w:p w14:paraId="4E79A1A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color w:val="auto"/>
                      <w:spacing w:val="0"/>
                      <w:w w:val="100"/>
                      <w:kern w:val="2"/>
                      <w:sz w:val="21"/>
                      <w:szCs w:val="21"/>
                      <w:lang w:val="en-US" w:eastAsia="zh-CN" w:bidi="ar-SA"/>
                    </w:rPr>
                    <w:t>综合用房</w:t>
                  </w:r>
                </w:p>
              </w:tc>
              <w:tc>
                <w:tcPr>
                  <w:tcW w:w="3047" w:type="pct"/>
                  <w:noWrap w:val="0"/>
                  <w:vAlign w:val="center"/>
                </w:tcPr>
                <w:p w14:paraId="5894473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pacing w:val="0"/>
                      <w:w w:val="100"/>
                      <w:sz w:val="21"/>
                      <w:szCs w:val="21"/>
                    </w:rPr>
                  </w:pPr>
                  <w:r>
                    <w:rPr>
                      <w:rFonts w:hint="default" w:ascii="Times New Roman" w:hAnsi="Times New Roman" w:eastAsia="宋体" w:cs="Times New Roman"/>
                      <w:color w:val="auto"/>
                      <w:spacing w:val="0"/>
                      <w:w w:val="100"/>
                      <w:sz w:val="21"/>
                      <w:szCs w:val="21"/>
                      <w:lang w:val="en-US" w:eastAsia="zh-CN"/>
                    </w:rPr>
                    <w:t>地上，框架</w:t>
                  </w:r>
                  <w:r>
                    <w:rPr>
                      <w:rFonts w:hint="default" w:ascii="Times New Roman" w:hAnsi="Times New Roman" w:eastAsia="宋体" w:cs="Times New Roman"/>
                      <w:color w:val="auto"/>
                      <w:spacing w:val="0"/>
                      <w:w w:val="100"/>
                      <w:sz w:val="21"/>
                      <w:szCs w:val="21"/>
                      <w:lang w:eastAsia="zh-CN"/>
                    </w:rPr>
                    <w:t>结构，</w:t>
                  </w:r>
                  <w:r>
                    <w:rPr>
                      <w:rFonts w:hint="default" w:ascii="Times New Roman" w:hAnsi="Times New Roman" w:eastAsia="宋体" w:cs="Times New Roman"/>
                      <w:color w:val="auto"/>
                      <w:spacing w:val="0"/>
                      <w:w w:val="100"/>
                      <w:sz w:val="21"/>
                      <w:szCs w:val="21"/>
                    </w:rPr>
                    <w:t>平面尺寸：</w:t>
                  </w:r>
                  <w:r>
                    <w:rPr>
                      <w:rFonts w:hint="default" w:ascii="Times New Roman" w:hAnsi="Times New Roman" w:eastAsia="宋体" w:cs="Times New Roman"/>
                      <w:spacing w:val="-1"/>
                      <w:sz w:val="21"/>
                      <w:szCs w:val="21"/>
                    </w:rPr>
                    <w:t>36.0×6.0×4.5m</w:t>
                  </w:r>
                </w:p>
              </w:tc>
            </w:tr>
            <w:tr w14:paraId="4D5DD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403" w:type="pct"/>
                  <w:vMerge w:val="restart"/>
                  <w:noWrap w:val="0"/>
                  <w:vAlign w:val="center"/>
                </w:tcPr>
                <w:p w14:paraId="42E83CB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公用工程</w:t>
                  </w:r>
                </w:p>
              </w:tc>
              <w:tc>
                <w:tcPr>
                  <w:tcW w:w="1549" w:type="pct"/>
                  <w:gridSpan w:val="3"/>
                  <w:noWrap w:val="0"/>
                  <w:vAlign w:val="center"/>
                </w:tcPr>
                <w:p w14:paraId="0343E8E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rPr>
                    <w:t>供电</w:t>
                  </w:r>
                </w:p>
              </w:tc>
              <w:tc>
                <w:tcPr>
                  <w:tcW w:w="3047" w:type="pct"/>
                  <w:noWrap w:val="0"/>
                  <w:vAlign w:val="center"/>
                </w:tcPr>
                <w:p w14:paraId="5ABDFEC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rPr>
                    <w:t>利用</w:t>
                  </w:r>
                  <w:r>
                    <w:rPr>
                      <w:rFonts w:hint="default" w:ascii="Times New Roman" w:hAnsi="Times New Roman" w:eastAsia="宋体" w:cs="Times New Roman"/>
                      <w:color w:val="auto"/>
                      <w:spacing w:val="0"/>
                      <w:w w:val="100"/>
                      <w:sz w:val="21"/>
                      <w:szCs w:val="21"/>
                      <w:lang w:val="en-US" w:eastAsia="zh-CN"/>
                    </w:rPr>
                    <w:t>园区</w:t>
                  </w:r>
                  <w:r>
                    <w:rPr>
                      <w:rFonts w:hint="default" w:ascii="Times New Roman" w:hAnsi="Times New Roman" w:eastAsia="宋体" w:cs="Times New Roman"/>
                      <w:color w:val="auto"/>
                      <w:spacing w:val="0"/>
                      <w:w w:val="100"/>
                      <w:sz w:val="21"/>
                      <w:szCs w:val="21"/>
                    </w:rPr>
                    <w:t>统一供电，本次变配电室10kV高压电源引自附近高压线接口。</w:t>
                  </w:r>
                </w:p>
              </w:tc>
            </w:tr>
            <w:tr w14:paraId="10574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3" w:type="pct"/>
                  <w:vMerge w:val="continue"/>
                  <w:noWrap w:val="0"/>
                  <w:vAlign w:val="center"/>
                </w:tcPr>
                <w:p w14:paraId="3B64F95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p>
              </w:tc>
              <w:tc>
                <w:tcPr>
                  <w:tcW w:w="1549" w:type="pct"/>
                  <w:gridSpan w:val="3"/>
                  <w:noWrap w:val="0"/>
                  <w:vAlign w:val="center"/>
                </w:tcPr>
                <w:p w14:paraId="39AF215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rPr>
                    <w:t>供排水</w:t>
                  </w:r>
                </w:p>
              </w:tc>
              <w:tc>
                <w:tcPr>
                  <w:tcW w:w="3047" w:type="pct"/>
                  <w:noWrap w:val="0"/>
                  <w:vAlign w:val="center"/>
                </w:tcPr>
                <w:p w14:paraId="420EA7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给水由新材料产业园处市政管网接口接入，雨污分流</w:t>
                  </w:r>
                </w:p>
              </w:tc>
            </w:tr>
            <w:tr w14:paraId="2E896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403" w:type="pct"/>
                  <w:vMerge w:val="restart"/>
                  <w:noWrap w:val="0"/>
                  <w:vAlign w:val="center"/>
                </w:tcPr>
                <w:p w14:paraId="5B4F55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环保工程</w:t>
                  </w:r>
                </w:p>
              </w:tc>
              <w:tc>
                <w:tcPr>
                  <w:tcW w:w="1549" w:type="pct"/>
                  <w:gridSpan w:val="3"/>
                  <w:noWrap w:val="0"/>
                  <w:vAlign w:val="center"/>
                </w:tcPr>
                <w:p w14:paraId="25F977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废气</w:t>
                  </w:r>
                </w:p>
              </w:tc>
              <w:tc>
                <w:tcPr>
                  <w:tcW w:w="3047" w:type="pct"/>
                  <w:noWrap w:val="0"/>
                  <w:vAlign w:val="center"/>
                </w:tcPr>
                <w:p w14:paraId="4677AF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预处理区及污泥处理区安装生物过滤装置处理，处理后经15m排气筒排放；其他恶臭源添加盖板、封闭等措施；厂区内喷洒除臭剂；厂界四周设置的绿化树木隔离带，厂区其他空地种植草坪、花卉等</w:t>
                  </w:r>
                </w:p>
              </w:tc>
            </w:tr>
            <w:tr w14:paraId="34D76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403" w:type="pct"/>
                  <w:vMerge w:val="continue"/>
                  <w:noWrap w:val="0"/>
                  <w:vAlign w:val="center"/>
                </w:tcPr>
                <w:p w14:paraId="249920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p>
              </w:tc>
              <w:tc>
                <w:tcPr>
                  <w:tcW w:w="1549" w:type="pct"/>
                  <w:gridSpan w:val="3"/>
                  <w:noWrap w:val="0"/>
                  <w:vAlign w:val="center"/>
                </w:tcPr>
                <w:p w14:paraId="03F07E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噪声</w:t>
                  </w:r>
                </w:p>
              </w:tc>
              <w:tc>
                <w:tcPr>
                  <w:tcW w:w="3047" w:type="pct"/>
                  <w:noWrap w:val="0"/>
                  <w:vAlign w:val="center"/>
                </w:tcPr>
                <w:p w14:paraId="09E401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rPr>
                    <w:t>高噪声设备远离厂房边界；</w:t>
                  </w:r>
                  <w:r>
                    <w:rPr>
                      <w:rFonts w:hint="default" w:ascii="Times New Roman" w:hAnsi="Times New Roman" w:eastAsia="宋体" w:cs="Times New Roman"/>
                      <w:b w:val="0"/>
                      <w:bCs/>
                      <w:color w:val="auto"/>
                      <w:spacing w:val="0"/>
                      <w:w w:val="100"/>
                      <w:sz w:val="21"/>
                      <w:szCs w:val="21"/>
                    </w:rPr>
                    <w:t>泵</w:t>
                  </w:r>
                  <w:r>
                    <w:rPr>
                      <w:rFonts w:hint="default" w:ascii="Times New Roman" w:hAnsi="Times New Roman" w:eastAsia="宋体" w:cs="Times New Roman"/>
                      <w:b w:val="0"/>
                      <w:bCs/>
                      <w:color w:val="auto"/>
                      <w:spacing w:val="0"/>
                      <w:w w:val="100"/>
                      <w:sz w:val="21"/>
                      <w:szCs w:val="21"/>
                      <w:lang w:eastAsia="zh-CN"/>
                    </w:rPr>
                    <w:t>类设备</w:t>
                  </w:r>
                  <w:r>
                    <w:rPr>
                      <w:rFonts w:hint="default" w:ascii="Times New Roman" w:hAnsi="Times New Roman" w:eastAsia="宋体" w:cs="Times New Roman"/>
                      <w:b w:val="0"/>
                      <w:bCs/>
                      <w:color w:val="auto"/>
                      <w:spacing w:val="0"/>
                      <w:w w:val="100"/>
                      <w:sz w:val="21"/>
                      <w:szCs w:val="21"/>
                    </w:rPr>
                    <w:t>均布置于泵房内</w:t>
                  </w:r>
                  <w:r>
                    <w:rPr>
                      <w:rFonts w:hint="default" w:ascii="Times New Roman" w:hAnsi="Times New Roman" w:eastAsia="宋体" w:cs="Times New Roman"/>
                      <w:b w:val="0"/>
                      <w:bCs/>
                      <w:color w:val="auto"/>
                      <w:spacing w:val="0"/>
                      <w:w w:val="100"/>
                      <w:sz w:val="21"/>
                      <w:szCs w:val="21"/>
                      <w:lang w:eastAsia="zh-CN"/>
                    </w:rPr>
                    <w:t>，</w:t>
                  </w:r>
                  <w:r>
                    <w:rPr>
                      <w:rFonts w:hint="default" w:ascii="Times New Roman" w:hAnsi="Times New Roman" w:eastAsia="宋体" w:cs="Times New Roman"/>
                      <w:b w:val="0"/>
                      <w:bCs/>
                      <w:color w:val="auto"/>
                      <w:spacing w:val="0"/>
                      <w:w w:val="100"/>
                      <w:sz w:val="21"/>
                      <w:szCs w:val="21"/>
                    </w:rPr>
                    <w:t>并且为半地下布置</w:t>
                  </w:r>
                  <w:r>
                    <w:rPr>
                      <w:rFonts w:hint="default" w:ascii="Times New Roman" w:hAnsi="Times New Roman" w:eastAsia="宋体" w:cs="Times New Roman"/>
                      <w:b w:val="0"/>
                      <w:bCs/>
                      <w:color w:val="auto"/>
                      <w:spacing w:val="0"/>
                      <w:w w:val="100"/>
                      <w:sz w:val="21"/>
                      <w:szCs w:val="21"/>
                      <w:lang w:eastAsia="zh-CN"/>
                    </w:rPr>
                    <w:t>，</w:t>
                  </w:r>
                  <w:r>
                    <w:rPr>
                      <w:rFonts w:hint="default" w:ascii="Times New Roman" w:hAnsi="Times New Roman" w:eastAsia="宋体" w:cs="Times New Roman"/>
                      <w:b w:val="0"/>
                      <w:bCs/>
                      <w:color w:val="auto"/>
                      <w:spacing w:val="0"/>
                      <w:w w:val="100"/>
                      <w:sz w:val="21"/>
                      <w:szCs w:val="21"/>
                    </w:rPr>
                    <w:t>基础采用减振橡胶减振</w:t>
                  </w:r>
                  <w:r>
                    <w:rPr>
                      <w:rFonts w:hint="default" w:ascii="Times New Roman" w:hAnsi="Times New Roman" w:eastAsia="宋体" w:cs="Times New Roman"/>
                      <w:b w:val="0"/>
                      <w:bCs/>
                      <w:color w:val="auto"/>
                      <w:spacing w:val="0"/>
                      <w:w w:val="100"/>
                      <w:sz w:val="21"/>
                      <w:szCs w:val="21"/>
                      <w:lang w:eastAsia="zh-CN"/>
                    </w:rPr>
                    <w:t>；</w:t>
                  </w:r>
                  <w:r>
                    <w:rPr>
                      <w:rFonts w:hint="default" w:ascii="Times New Roman" w:hAnsi="Times New Roman" w:eastAsia="宋体" w:cs="Times New Roman"/>
                      <w:b w:val="0"/>
                      <w:bCs/>
                      <w:color w:val="auto"/>
                      <w:spacing w:val="0"/>
                      <w:w w:val="100"/>
                      <w:sz w:val="21"/>
                      <w:szCs w:val="21"/>
                    </w:rPr>
                    <w:t>门窗隔声</w:t>
                  </w:r>
                  <w:r>
                    <w:rPr>
                      <w:rFonts w:hint="default" w:ascii="Times New Roman" w:hAnsi="Times New Roman" w:eastAsia="宋体" w:cs="Times New Roman"/>
                      <w:b w:val="0"/>
                      <w:bCs/>
                      <w:color w:val="auto"/>
                      <w:spacing w:val="0"/>
                      <w:w w:val="100"/>
                      <w:sz w:val="21"/>
                      <w:szCs w:val="21"/>
                      <w:lang w:eastAsia="zh-CN"/>
                    </w:rPr>
                    <w:t>等</w:t>
                  </w:r>
                </w:p>
              </w:tc>
            </w:tr>
            <w:tr w14:paraId="322F3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403" w:type="pct"/>
                  <w:vMerge w:val="continue"/>
                  <w:noWrap w:val="0"/>
                  <w:vAlign w:val="center"/>
                </w:tcPr>
                <w:p w14:paraId="15E6DE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p>
              </w:tc>
              <w:tc>
                <w:tcPr>
                  <w:tcW w:w="1549" w:type="pct"/>
                  <w:gridSpan w:val="3"/>
                  <w:vMerge w:val="restart"/>
                  <w:noWrap w:val="0"/>
                  <w:vAlign w:val="center"/>
                </w:tcPr>
                <w:p w14:paraId="26341D7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固废</w:t>
                  </w:r>
                </w:p>
              </w:tc>
              <w:tc>
                <w:tcPr>
                  <w:tcW w:w="3047" w:type="pct"/>
                  <w:noWrap w:val="0"/>
                  <w:vAlign w:val="center"/>
                </w:tcPr>
                <w:p w14:paraId="0F26709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污泥采取2个15吨的污泥运输车辆循环运输污泥，基本厂区内不储存，如出现污泥不能外运情况，暂存于厂区90m</w:t>
                  </w:r>
                  <w:r>
                    <w:rPr>
                      <w:rFonts w:hint="default" w:ascii="Times New Roman" w:hAnsi="Times New Roman" w:eastAsia="宋体" w:cs="Times New Roman"/>
                      <w:color w:val="auto"/>
                      <w:spacing w:val="0"/>
                      <w:w w:val="100"/>
                      <w:sz w:val="21"/>
                      <w:szCs w:val="21"/>
                      <w:vertAlign w:val="superscript"/>
                      <w:lang w:val="en-US" w:eastAsia="zh-CN"/>
                    </w:rPr>
                    <w:t>2</w:t>
                  </w:r>
                  <w:r>
                    <w:rPr>
                      <w:rFonts w:hint="default" w:ascii="Times New Roman" w:hAnsi="Times New Roman" w:eastAsia="宋体" w:cs="Times New Roman"/>
                      <w:color w:val="auto"/>
                      <w:spacing w:val="0"/>
                      <w:w w:val="100"/>
                      <w:sz w:val="21"/>
                      <w:szCs w:val="21"/>
                      <w:lang w:val="en-US" w:eastAsia="zh-CN"/>
                    </w:rPr>
                    <w:t>污泥脱水机房，竣工环保验收前进行毒性鉴别，根据毒性浸出结果决定最终处置方式</w:t>
                  </w:r>
                </w:p>
              </w:tc>
            </w:tr>
            <w:tr w14:paraId="6125E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403" w:type="pct"/>
                  <w:vMerge w:val="continue"/>
                  <w:noWrap w:val="0"/>
                  <w:vAlign w:val="center"/>
                </w:tcPr>
                <w:p w14:paraId="54D3AB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p>
              </w:tc>
              <w:tc>
                <w:tcPr>
                  <w:tcW w:w="1549" w:type="pct"/>
                  <w:gridSpan w:val="3"/>
                  <w:vMerge w:val="continue"/>
                  <w:noWrap w:val="0"/>
                  <w:vAlign w:val="center"/>
                </w:tcPr>
                <w:p w14:paraId="01692DD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val="en-US" w:eastAsia="zh-CN"/>
                    </w:rPr>
                  </w:pPr>
                </w:p>
              </w:tc>
              <w:tc>
                <w:tcPr>
                  <w:tcW w:w="3047" w:type="pct"/>
                  <w:noWrap w:val="0"/>
                  <w:vAlign w:val="center"/>
                </w:tcPr>
                <w:p w14:paraId="20B934B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在线监测设备产生的检测试剂废液，COD检测废液、氨氮检测废液、总氮检测废液、总磷检测废液，为含有酸、碱试剂，收集后暂存于25m</w:t>
                  </w:r>
                  <w:r>
                    <w:rPr>
                      <w:rFonts w:hint="default" w:ascii="Times New Roman" w:hAnsi="Times New Roman" w:eastAsia="宋体" w:cs="Times New Roman"/>
                      <w:color w:val="auto"/>
                      <w:spacing w:val="0"/>
                      <w:w w:val="100"/>
                      <w:sz w:val="21"/>
                      <w:szCs w:val="21"/>
                      <w:vertAlign w:val="superscript"/>
                      <w:lang w:val="en-US" w:eastAsia="zh-CN"/>
                    </w:rPr>
                    <w:t>2</w:t>
                  </w:r>
                  <w:r>
                    <w:rPr>
                      <w:rFonts w:hint="default" w:ascii="Times New Roman" w:hAnsi="Times New Roman" w:eastAsia="宋体" w:cs="Times New Roman"/>
                      <w:color w:val="auto"/>
                      <w:spacing w:val="0"/>
                      <w:w w:val="100"/>
                      <w:sz w:val="21"/>
                      <w:szCs w:val="21"/>
                      <w:lang w:val="en-US" w:eastAsia="zh-CN"/>
                    </w:rPr>
                    <w:t>危废暂存间，交由有资质单位处置。</w:t>
                  </w:r>
                </w:p>
              </w:tc>
            </w:tr>
            <w:tr w14:paraId="700D9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403" w:type="pct"/>
                  <w:vMerge w:val="continue"/>
                  <w:noWrap w:val="0"/>
                  <w:vAlign w:val="center"/>
                </w:tcPr>
                <w:p w14:paraId="3364828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rPr>
                  </w:pPr>
                </w:p>
              </w:tc>
              <w:tc>
                <w:tcPr>
                  <w:tcW w:w="1549" w:type="pct"/>
                  <w:gridSpan w:val="3"/>
                  <w:noWrap w:val="0"/>
                  <w:vAlign w:val="center"/>
                </w:tcPr>
                <w:p w14:paraId="0D798D3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lang w:eastAsia="zh-CN"/>
                    </w:rPr>
                    <w:t>事故应急池</w:t>
                  </w:r>
                </w:p>
              </w:tc>
              <w:tc>
                <w:tcPr>
                  <w:tcW w:w="3047" w:type="pct"/>
                  <w:noWrap w:val="0"/>
                  <w:vAlign w:val="center"/>
                </w:tcPr>
                <w:p w14:paraId="0AE0B1A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eastAsia="zh-CN"/>
                    </w:rPr>
                    <w:t>调节池兼做事故应急池，</w:t>
                  </w:r>
                  <w:r>
                    <w:rPr>
                      <w:rFonts w:hint="default" w:ascii="Times New Roman" w:hAnsi="Times New Roman" w:eastAsia="宋体" w:cs="Times New Roman"/>
                      <w:color w:val="auto"/>
                      <w:spacing w:val="0"/>
                      <w:w w:val="100"/>
                      <w:sz w:val="21"/>
                      <w:szCs w:val="21"/>
                    </w:rPr>
                    <w:t>有效容积：</w:t>
                  </w:r>
                  <w:r>
                    <w:rPr>
                      <w:rFonts w:hint="default" w:ascii="Times New Roman" w:hAnsi="Times New Roman" w:eastAsia="宋体" w:cs="Times New Roman"/>
                      <w:color w:val="auto"/>
                      <w:spacing w:val="0"/>
                      <w:w w:val="100"/>
                      <w:sz w:val="21"/>
                      <w:szCs w:val="21"/>
                      <w:lang w:val="en-US" w:eastAsia="zh-CN"/>
                    </w:rPr>
                    <w:t>575</w:t>
                  </w:r>
                  <w:r>
                    <w:rPr>
                      <w:rFonts w:hint="default" w:ascii="Times New Roman" w:hAnsi="Times New Roman" w:eastAsia="宋体" w:cs="Times New Roman"/>
                      <w:color w:val="auto"/>
                      <w:spacing w:val="0"/>
                      <w:w w:val="100"/>
                      <w:sz w:val="21"/>
                      <w:szCs w:val="21"/>
                    </w:rPr>
                    <w:t>m</w:t>
                  </w:r>
                  <w:r>
                    <w:rPr>
                      <w:rFonts w:hint="default" w:ascii="Times New Roman" w:hAnsi="Times New Roman" w:eastAsia="宋体" w:cs="Times New Roman"/>
                      <w:color w:val="auto"/>
                      <w:spacing w:val="0"/>
                      <w:w w:val="100"/>
                      <w:sz w:val="21"/>
                      <w:szCs w:val="21"/>
                      <w:vertAlign w:val="superscript"/>
                    </w:rPr>
                    <w:t>3</w:t>
                  </w:r>
                </w:p>
              </w:tc>
            </w:tr>
            <w:tr w14:paraId="34E69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4" w:hRule="atLeast"/>
              </w:trPr>
              <w:tc>
                <w:tcPr>
                  <w:tcW w:w="403" w:type="pct"/>
                  <w:vMerge w:val="restart"/>
                  <w:noWrap w:val="0"/>
                  <w:vAlign w:val="center"/>
                </w:tcPr>
                <w:p w14:paraId="29E1AF1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临时工程</w:t>
                  </w:r>
                </w:p>
              </w:tc>
              <w:tc>
                <w:tcPr>
                  <w:tcW w:w="1549" w:type="pct"/>
                  <w:gridSpan w:val="3"/>
                  <w:noWrap w:val="0"/>
                  <w:vAlign w:val="center"/>
                </w:tcPr>
                <w:p w14:paraId="25B626D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rPr>
                    <w:t>临时堆土场</w:t>
                  </w:r>
                </w:p>
              </w:tc>
              <w:tc>
                <w:tcPr>
                  <w:tcW w:w="3047" w:type="pct"/>
                  <w:noWrap w:val="0"/>
                  <w:vAlign w:val="center"/>
                </w:tcPr>
                <w:p w14:paraId="3A70C63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rPr>
                    <w:t>于</w:t>
                  </w:r>
                  <w:r>
                    <w:rPr>
                      <w:rFonts w:hint="default" w:ascii="Times New Roman" w:hAnsi="Times New Roman" w:eastAsia="宋体" w:cs="Times New Roman"/>
                      <w:color w:val="auto"/>
                      <w:spacing w:val="0"/>
                      <w:w w:val="100"/>
                      <w:sz w:val="21"/>
                      <w:szCs w:val="21"/>
                      <w:lang w:eastAsia="zh-CN"/>
                    </w:rPr>
                    <w:t>污水处理厂</w:t>
                  </w:r>
                  <w:r>
                    <w:rPr>
                      <w:rFonts w:hint="default" w:ascii="Times New Roman" w:hAnsi="Times New Roman" w:eastAsia="宋体" w:cs="Times New Roman"/>
                      <w:color w:val="auto"/>
                      <w:spacing w:val="0"/>
                      <w:w w:val="100"/>
                      <w:sz w:val="21"/>
                      <w:szCs w:val="21"/>
                    </w:rPr>
                    <w:t>场地内设置1个临时堆放场，占地面积约</w:t>
                  </w:r>
                  <w:r>
                    <w:rPr>
                      <w:rFonts w:hint="default" w:ascii="Times New Roman" w:hAnsi="Times New Roman" w:eastAsia="宋体" w:cs="Times New Roman"/>
                      <w:color w:val="auto"/>
                      <w:spacing w:val="0"/>
                      <w:w w:val="100"/>
                      <w:sz w:val="21"/>
                      <w:szCs w:val="21"/>
                      <w:lang w:val="en-US" w:eastAsia="zh-CN"/>
                    </w:rPr>
                    <w:t>2</w:t>
                  </w:r>
                  <w:r>
                    <w:rPr>
                      <w:rFonts w:hint="default" w:ascii="Times New Roman" w:hAnsi="Times New Roman" w:eastAsia="宋体" w:cs="Times New Roman"/>
                      <w:color w:val="auto"/>
                      <w:spacing w:val="0"/>
                      <w:w w:val="100"/>
                      <w:sz w:val="21"/>
                      <w:szCs w:val="21"/>
                    </w:rPr>
                    <w:t>00m</w:t>
                  </w:r>
                  <w:r>
                    <w:rPr>
                      <w:rFonts w:hint="default" w:ascii="Times New Roman" w:hAnsi="Times New Roman" w:eastAsia="宋体" w:cs="Times New Roman"/>
                      <w:color w:val="auto"/>
                      <w:spacing w:val="0"/>
                      <w:w w:val="100"/>
                      <w:sz w:val="21"/>
                      <w:szCs w:val="21"/>
                      <w:vertAlign w:val="superscript"/>
                      <w:lang w:val="en-US" w:eastAsia="zh-CN"/>
                    </w:rPr>
                    <w:t>2</w:t>
                  </w:r>
                  <w:r>
                    <w:rPr>
                      <w:rFonts w:hint="default" w:ascii="Times New Roman" w:hAnsi="Times New Roman" w:eastAsia="宋体" w:cs="Times New Roman"/>
                      <w:color w:val="auto"/>
                      <w:spacing w:val="0"/>
                      <w:w w:val="100"/>
                      <w:sz w:val="21"/>
                      <w:szCs w:val="21"/>
                    </w:rPr>
                    <w:t>，用于临时堆放表土和土石方，临时堆土场占地均为污水厂内永久占地范围，不新增临时占地。</w:t>
                  </w:r>
                </w:p>
              </w:tc>
            </w:tr>
            <w:tr w14:paraId="40B9D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403" w:type="pct"/>
                  <w:vMerge w:val="continue"/>
                  <w:vAlign w:val="center"/>
                </w:tcPr>
                <w:p w14:paraId="0DA6237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p>
              </w:tc>
              <w:tc>
                <w:tcPr>
                  <w:tcW w:w="1549" w:type="pct"/>
                  <w:gridSpan w:val="3"/>
                  <w:vAlign w:val="center"/>
                </w:tcPr>
                <w:p w14:paraId="0D5CD6D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rPr>
                    <w:t>取、弃土场</w:t>
                  </w:r>
                </w:p>
              </w:tc>
              <w:tc>
                <w:tcPr>
                  <w:tcW w:w="3047" w:type="pct"/>
                  <w:vAlign w:val="center"/>
                </w:tcPr>
                <w:p w14:paraId="2A1B1D7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rPr>
                    <w:t>不设砂石料场，所需砂、砂砾均外购，弃方运至指定堆放地点</w:t>
                  </w:r>
                </w:p>
              </w:tc>
            </w:tr>
            <w:tr w14:paraId="315AE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403" w:type="pct"/>
                  <w:vMerge w:val="continue"/>
                  <w:vAlign w:val="center"/>
                </w:tcPr>
                <w:p w14:paraId="6EB31B9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sz w:val="21"/>
                      <w:szCs w:val="21"/>
                      <w:lang w:eastAsia="zh-CN"/>
                    </w:rPr>
                  </w:pPr>
                </w:p>
              </w:tc>
              <w:tc>
                <w:tcPr>
                  <w:tcW w:w="1549" w:type="pct"/>
                  <w:gridSpan w:val="3"/>
                  <w:vAlign w:val="center"/>
                </w:tcPr>
                <w:p w14:paraId="4B3148D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rPr>
                    <w:t>施工营地</w:t>
                  </w:r>
                </w:p>
              </w:tc>
              <w:tc>
                <w:tcPr>
                  <w:tcW w:w="3047" w:type="pct"/>
                  <w:vAlign w:val="center"/>
                </w:tcPr>
                <w:p w14:paraId="75EBE93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rPr>
                    <w:t>不设营地，工人食宿依托周边</w:t>
                  </w:r>
                  <w:r>
                    <w:rPr>
                      <w:rFonts w:hint="default" w:ascii="Times New Roman" w:hAnsi="Times New Roman" w:eastAsia="宋体" w:cs="Times New Roman"/>
                      <w:color w:val="auto"/>
                      <w:spacing w:val="0"/>
                      <w:w w:val="100"/>
                      <w:sz w:val="21"/>
                      <w:szCs w:val="21"/>
                      <w:lang w:val="en-US" w:eastAsia="zh-CN"/>
                    </w:rPr>
                    <w:t>城镇</w:t>
                  </w:r>
                  <w:r>
                    <w:rPr>
                      <w:rFonts w:hint="default" w:ascii="Times New Roman" w:hAnsi="Times New Roman" w:eastAsia="宋体" w:cs="Times New Roman"/>
                      <w:color w:val="auto"/>
                      <w:spacing w:val="0"/>
                      <w:w w:val="100"/>
                      <w:sz w:val="21"/>
                      <w:szCs w:val="21"/>
                    </w:rPr>
                    <w:t>和农户解决</w:t>
                  </w:r>
                </w:p>
              </w:tc>
            </w:tr>
          </w:tbl>
          <w:p w14:paraId="7ECC8AB4">
            <w:pPr>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eastAsia="zh-CN"/>
              </w:rPr>
              <w:t>污水处理主要设备</w:t>
            </w:r>
          </w:p>
          <w:p w14:paraId="380A6F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根据</w:t>
            </w:r>
            <w:r>
              <w:rPr>
                <w:rFonts w:hint="eastAsia" w:ascii="Times New Roman" w:hAnsi="Times New Roman" w:eastAsia="宋体" w:cs="Times New Roman"/>
                <w:color w:val="auto"/>
                <w:spacing w:val="0"/>
                <w:w w:val="100"/>
                <w:sz w:val="24"/>
                <w:szCs w:val="24"/>
                <w:lang w:eastAsia="zh-CN"/>
              </w:rPr>
              <w:t>《产业结构调整指导目录（2024年本）》</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本项目设备无国家明令禁止、淘汰、落后、限制的工艺设备。根据建设单位提供的资料，项目主要设备详见表</w:t>
            </w:r>
            <w:r>
              <w:rPr>
                <w:rFonts w:hint="default" w:ascii="Times New Roman" w:hAnsi="Times New Roman" w:eastAsia="宋体" w:cs="Times New Roman"/>
                <w:color w:val="auto"/>
                <w:spacing w:val="0"/>
                <w:w w:val="100"/>
                <w:sz w:val="24"/>
                <w:szCs w:val="24"/>
                <w:lang w:val="en-US" w:eastAsia="zh-CN"/>
              </w:rPr>
              <w:t>2-3</w:t>
            </w:r>
            <w:r>
              <w:rPr>
                <w:rFonts w:hint="default" w:ascii="Times New Roman" w:hAnsi="Times New Roman" w:eastAsia="宋体" w:cs="Times New Roman"/>
                <w:color w:val="auto"/>
                <w:spacing w:val="0"/>
                <w:w w:val="100"/>
                <w:sz w:val="24"/>
                <w:szCs w:val="24"/>
              </w:rPr>
              <w:t>所示</w:t>
            </w:r>
            <w:r>
              <w:rPr>
                <w:rFonts w:hint="default" w:ascii="Times New Roman" w:hAnsi="Times New Roman" w:eastAsia="宋体" w:cs="Times New Roman"/>
                <w:color w:val="auto"/>
                <w:spacing w:val="0"/>
                <w:w w:val="100"/>
                <w:sz w:val="24"/>
                <w:szCs w:val="24"/>
                <w:lang w:eastAsia="zh-CN"/>
              </w:rPr>
              <w:t>。</w:t>
            </w:r>
          </w:p>
          <w:p w14:paraId="39109B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0"/>
                <w:w w:val="100"/>
                <w:sz w:val="21"/>
                <w:szCs w:val="21"/>
              </w:rPr>
            </w:pPr>
          </w:p>
          <w:p w14:paraId="14D44C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0"/>
                <w:w w:val="100"/>
                <w:sz w:val="21"/>
                <w:szCs w:val="21"/>
              </w:rPr>
            </w:pPr>
          </w:p>
          <w:p w14:paraId="0AC1DB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表</w:t>
            </w:r>
            <w:r>
              <w:rPr>
                <w:rFonts w:hint="default" w:ascii="Times New Roman" w:hAnsi="Times New Roman" w:eastAsia="宋体" w:cs="Times New Roman"/>
                <w:color w:val="auto"/>
                <w:spacing w:val="0"/>
                <w:w w:val="100"/>
                <w:sz w:val="21"/>
                <w:szCs w:val="21"/>
                <w:lang w:val="en-US" w:eastAsia="zh-CN"/>
              </w:rPr>
              <w:t>2-3</w:t>
            </w:r>
            <w:r>
              <w:rPr>
                <w:rFonts w:hint="default" w:ascii="Times New Roman" w:hAnsi="Times New Roman" w:eastAsia="宋体" w:cs="Times New Roman"/>
                <w:color w:val="auto"/>
                <w:spacing w:val="0"/>
                <w:w w:val="100"/>
                <w:sz w:val="21"/>
                <w:szCs w:val="21"/>
              </w:rPr>
              <w:t xml:space="preserve"> </w:t>
            </w:r>
            <w:r>
              <w:rPr>
                <w:rFonts w:hint="default" w:ascii="Times New Roman" w:hAnsi="Times New Roman" w:eastAsia="宋体" w:cs="Times New Roman"/>
                <w:color w:val="auto"/>
                <w:spacing w:val="0"/>
                <w:w w:val="100"/>
                <w:sz w:val="21"/>
                <w:szCs w:val="21"/>
                <w:lang w:val="en-US" w:eastAsia="zh-CN"/>
              </w:rPr>
              <w:t xml:space="preserve"> </w:t>
            </w:r>
            <w:r>
              <w:rPr>
                <w:rFonts w:hint="default" w:ascii="Times New Roman" w:hAnsi="Times New Roman" w:eastAsia="宋体" w:cs="Times New Roman"/>
                <w:color w:val="auto"/>
                <w:spacing w:val="0"/>
                <w:w w:val="100"/>
                <w:sz w:val="21"/>
                <w:szCs w:val="21"/>
              </w:rPr>
              <w:t xml:space="preserve"> 本项</w:t>
            </w:r>
            <w:r>
              <w:rPr>
                <w:rFonts w:hint="default" w:ascii="Times New Roman" w:hAnsi="Times New Roman" w:eastAsia="宋体" w:cs="Times New Roman"/>
                <w:color w:val="auto"/>
                <w:spacing w:val="0"/>
                <w:w w:val="100"/>
                <w:sz w:val="21"/>
                <w:szCs w:val="21"/>
                <w:lang w:eastAsia="zh-CN"/>
              </w:rPr>
              <w:t>目污水处理主要</w:t>
            </w:r>
            <w:r>
              <w:rPr>
                <w:rFonts w:hint="default" w:ascii="Times New Roman" w:hAnsi="Times New Roman" w:eastAsia="宋体" w:cs="Times New Roman"/>
                <w:color w:val="auto"/>
                <w:spacing w:val="0"/>
                <w:w w:val="100"/>
                <w:sz w:val="21"/>
                <w:szCs w:val="21"/>
              </w:rPr>
              <w:t>设备一览表</w:t>
            </w:r>
          </w:p>
          <w:tbl>
            <w:tblPr>
              <w:tblStyle w:val="58"/>
              <w:tblW w:w="8740" w:type="dxa"/>
              <w:tblInd w:w="2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6"/>
              <w:gridCol w:w="2605"/>
              <w:gridCol w:w="4436"/>
              <w:gridCol w:w="544"/>
              <w:gridCol w:w="589"/>
            </w:tblGrid>
            <w:tr w14:paraId="1D130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217CA8A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b/>
                      <w:bCs/>
                      <w:spacing w:val="-4"/>
                      <w:sz w:val="21"/>
                      <w:szCs w:val="21"/>
                    </w:rPr>
                    <w:t>序号</w:t>
                  </w:r>
                </w:p>
              </w:tc>
              <w:tc>
                <w:tcPr>
                  <w:tcW w:w="2605" w:type="dxa"/>
                  <w:vAlign w:val="center"/>
                </w:tcPr>
                <w:p w14:paraId="7C89969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b/>
                      <w:bCs/>
                      <w:spacing w:val="-3"/>
                      <w:sz w:val="21"/>
                      <w:szCs w:val="21"/>
                    </w:rPr>
                    <w:t>设备材料名称</w:t>
                  </w:r>
                </w:p>
              </w:tc>
              <w:tc>
                <w:tcPr>
                  <w:tcW w:w="4436" w:type="dxa"/>
                  <w:vAlign w:val="center"/>
                </w:tcPr>
                <w:p w14:paraId="1668F08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b/>
                      <w:bCs/>
                      <w:spacing w:val="-4"/>
                      <w:sz w:val="21"/>
                      <w:szCs w:val="21"/>
                    </w:rPr>
                    <w:t>规格型号</w:t>
                  </w:r>
                </w:p>
              </w:tc>
              <w:tc>
                <w:tcPr>
                  <w:tcW w:w="544" w:type="dxa"/>
                  <w:vAlign w:val="center"/>
                </w:tcPr>
                <w:p w14:paraId="70B48D9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b/>
                      <w:bCs/>
                      <w:spacing w:val="-5"/>
                      <w:sz w:val="21"/>
                      <w:szCs w:val="21"/>
                    </w:rPr>
                    <w:t>单位</w:t>
                  </w:r>
                </w:p>
              </w:tc>
              <w:tc>
                <w:tcPr>
                  <w:tcW w:w="589" w:type="dxa"/>
                  <w:vAlign w:val="center"/>
                </w:tcPr>
                <w:p w14:paraId="542C644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b/>
                      <w:bCs/>
                      <w:spacing w:val="-5"/>
                      <w:sz w:val="21"/>
                      <w:szCs w:val="21"/>
                    </w:rPr>
                    <w:t>数量</w:t>
                  </w:r>
                </w:p>
              </w:tc>
            </w:tr>
            <w:tr w14:paraId="1751E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52A684B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2605" w:type="dxa"/>
                  <w:vAlign w:val="center"/>
                </w:tcPr>
                <w:p w14:paraId="2262D32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格栅井</w:t>
                  </w:r>
                </w:p>
              </w:tc>
              <w:tc>
                <w:tcPr>
                  <w:tcW w:w="4436" w:type="dxa"/>
                  <w:vAlign w:val="center"/>
                </w:tcPr>
                <w:p w14:paraId="4C8C4FD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5A83FBE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89" w:type="dxa"/>
                  <w:vAlign w:val="center"/>
                </w:tcPr>
                <w:p w14:paraId="655A433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3E1F5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22740D3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0F661D7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机械回转粗格栅</w:t>
                  </w:r>
                </w:p>
              </w:tc>
              <w:tc>
                <w:tcPr>
                  <w:tcW w:w="4436" w:type="dxa"/>
                  <w:vAlign w:val="center"/>
                </w:tcPr>
                <w:p w14:paraId="180FCDA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SHG-600，间隙10mm，沟深2.</w:t>
                  </w:r>
                  <w:r>
                    <w:rPr>
                      <w:rFonts w:hint="default" w:ascii="Times New Roman" w:hAnsi="Times New Roman" w:eastAsia="宋体" w:cs="Times New Roman"/>
                      <w:spacing w:val="-4"/>
                      <w:sz w:val="21"/>
                      <w:szCs w:val="21"/>
                    </w:rPr>
                    <w:t>5m</w:t>
                  </w:r>
                  <w:r>
                    <w:rPr>
                      <w:rFonts w:hint="default" w:ascii="Times New Roman" w:hAnsi="Times New Roman" w:eastAsia="宋体" w:cs="Times New Roman"/>
                      <w:spacing w:val="-4"/>
                      <w:sz w:val="21"/>
                      <w:szCs w:val="21"/>
                      <w:lang w:eastAsia="zh-CN"/>
                    </w:rPr>
                    <w:t>，</w:t>
                  </w:r>
                  <w:r>
                    <w:rPr>
                      <w:rFonts w:hint="default" w:ascii="Times New Roman" w:hAnsi="Times New Roman" w:eastAsia="宋体" w:cs="Times New Roman"/>
                      <w:spacing w:val="-4"/>
                      <w:sz w:val="21"/>
                      <w:szCs w:val="21"/>
                    </w:rPr>
                    <w:t>1.1</w:t>
                  </w:r>
                  <w:r>
                    <w:rPr>
                      <w:rFonts w:hint="default" w:ascii="Times New Roman" w:hAnsi="Times New Roman" w:cs="Times New Roman"/>
                      <w:spacing w:val="-4"/>
                      <w:sz w:val="21"/>
                      <w:szCs w:val="21"/>
                      <w:lang w:eastAsia="zh-CN"/>
                    </w:rPr>
                    <w:t>kW</w:t>
                  </w:r>
                </w:p>
              </w:tc>
              <w:tc>
                <w:tcPr>
                  <w:tcW w:w="544" w:type="dxa"/>
                  <w:vAlign w:val="center"/>
                </w:tcPr>
                <w:p w14:paraId="3CDFEA9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11BA8D5A">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4BDE2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29B7E5F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4AC6EDE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机械回转细格栅</w:t>
                  </w:r>
                </w:p>
              </w:tc>
              <w:tc>
                <w:tcPr>
                  <w:tcW w:w="4436" w:type="dxa"/>
                  <w:vAlign w:val="center"/>
                </w:tcPr>
                <w:p w14:paraId="428330C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SHG-600，间隙5mm，沟深2.5m</w:t>
                  </w:r>
                  <w:r>
                    <w:rPr>
                      <w:rFonts w:hint="default" w:ascii="Times New Roman" w:hAnsi="Times New Roman" w:eastAsia="宋体" w:cs="Times New Roman"/>
                      <w:spacing w:val="-4"/>
                      <w:sz w:val="21"/>
                      <w:szCs w:val="21"/>
                      <w:lang w:eastAsia="zh-CN"/>
                    </w:rPr>
                    <w:t>，</w:t>
                  </w:r>
                  <w:r>
                    <w:rPr>
                      <w:rFonts w:hint="default" w:ascii="Times New Roman" w:hAnsi="Times New Roman" w:eastAsia="宋体" w:cs="Times New Roman"/>
                      <w:spacing w:val="-4"/>
                      <w:sz w:val="21"/>
                      <w:szCs w:val="21"/>
                    </w:rPr>
                    <w:t>1.1</w:t>
                  </w:r>
                  <w:r>
                    <w:rPr>
                      <w:rFonts w:hint="default" w:ascii="Times New Roman" w:hAnsi="Times New Roman" w:cs="Times New Roman"/>
                      <w:spacing w:val="-4"/>
                      <w:sz w:val="21"/>
                      <w:szCs w:val="21"/>
                      <w:lang w:eastAsia="zh-CN"/>
                    </w:rPr>
                    <w:t>kW</w:t>
                  </w:r>
                </w:p>
              </w:tc>
              <w:tc>
                <w:tcPr>
                  <w:tcW w:w="544" w:type="dxa"/>
                  <w:vAlign w:val="center"/>
                </w:tcPr>
                <w:p w14:paraId="5D713BE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0C75CCB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1610B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0DACE4D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08B99D9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栅渣输送机</w:t>
                  </w:r>
                </w:p>
              </w:tc>
              <w:tc>
                <w:tcPr>
                  <w:tcW w:w="4436" w:type="dxa"/>
                  <w:vAlign w:val="center"/>
                </w:tcPr>
                <w:p w14:paraId="2A79C012">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SFL260型，与格栅配套</w:t>
                  </w:r>
                </w:p>
              </w:tc>
              <w:tc>
                <w:tcPr>
                  <w:tcW w:w="544" w:type="dxa"/>
                  <w:vAlign w:val="center"/>
                </w:tcPr>
                <w:p w14:paraId="1B4C8DE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380809C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r>
            <w:tr w14:paraId="26D65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35A252A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2605" w:type="dxa"/>
                  <w:vAlign w:val="center"/>
                </w:tcPr>
                <w:p w14:paraId="3BB6F32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沉砂池</w:t>
                  </w:r>
                </w:p>
              </w:tc>
              <w:tc>
                <w:tcPr>
                  <w:tcW w:w="4436" w:type="dxa"/>
                  <w:vAlign w:val="center"/>
                </w:tcPr>
                <w:p w14:paraId="56FC5E7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4FED191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89" w:type="dxa"/>
                  <w:vAlign w:val="center"/>
                </w:tcPr>
                <w:p w14:paraId="4F536EA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5E933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45F9DC1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547C3A9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吸砂机</w:t>
                  </w:r>
                </w:p>
              </w:tc>
              <w:tc>
                <w:tcPr>
                  <w:tcW w:w="4436" w:type="dxa"/>
                  <w:vAlign w:val="center"/>
                </w:tcPr>
                <w:p w14:paraId="11386D7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跨距1.5m，配套桥架及吸砂泵</w:t>
                  </w:r>
                </w:p>
              </w:tc>
              <w:tc>
                <w:tcPr>
                  <w:tcW w:w="544" w:type="dxa"/>
                  <w:vAlign w:val="center"/>
                </w:tcPr>
                <w:p w14:paraId="159693D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5429D42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59177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78635D0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280C49F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螺旋砂水分离器</w:t>
                  </w:r>
                </w:p>
              </w:tc>
              <w:tc>
                <w:tcPr>
                  <w:tcW w:w="4436" w:type="dxa"/>
                  <w:vAlign w:val="center"/>
                </w:tcPr>
                <w:p w14:paraId="5720D8B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SLF-260</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0.37</w:t>
                  </w:r>
                  <w:r>
                    <w:rPr>
                      <w:rFonts w:hint="default" w:ascii="Times New Roman" w:hAnsi="Times New Roman" w:cs="Times New Roman"/>
                      <w:spacing w:val="-3"/>
                      <w:sz w:val="21"/>
                      <w:szCs w:val="21"/>
                      <w:lang w:eastAsia="zh-CN"/>
                    </w:rPr>
                    <w:t>kW</w:t>
                  </w:r>
                </w:p>
              </w:tc>
              <w:tc>
                <w:tcPr>
                  <w:tcW w:w="544" w:type="dxa"/>
                  <w:vAlign w:val="center"/>
                </w:tcPr>
                <w:p w14:paraId="4A0D6FD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476E553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492A9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0516DDC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2605" w:type="dxa"/>
                  <w:vAlign w:val="center"/>
                </w:tcPr>
                <w:p w14:paraId="2D789B9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调节池</w:t>
                  </w:r>
                </w:p>
              </w:tc>
              <w:tc>
                <w:tcPr>
                  <w:tcW w:w="4436" w:type="dxa"/>
                  <w:vAlign w:val="center"/>
                </w:tcPr>
                <w:p w14:paraId="64F7833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516926B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89" w:type="dxa"/>
                  <w:vAlign w:val="center"/>
                </w:tcPr>
                <w:p w14:paraId="590EA15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591D0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35A5732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2952612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污水提升泵</w:t>
                  </w:r>
                </w:p>
              </w:tc>
              <w:tc>
                <w:tcPr>
                  <w:tcW w:w="4436" w:type="dxa"/>
                  <w:vAlign w:val="center"/>
                </w:tcPr>
                <w:p w14:paraId="0490CEEA">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80WQ/C260-4</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4</w:t>
                  </w:r>
                  <w:r>
                    <w:rPr>
                      <w:rFonts w:hint="default" w:ascii="Times New Roman" w:hAnsi="Times New Roman" w:cs="Times New Roman"/>
                      <w:spacing w:val="-3"/>
                      <w:sz w:val="21"/>
                      <w:szCs w:val="21"/>
                      <w:lang w:eastAsia="zh-CN"/>
                    </w:rPr>
                    <w:t>kW</w:t>
                  </w:r>
                </w:p>
              </w:tc>
              <w:tc>
                <w:tcPr>
                  <w:tcW w:w="544" w:type="dxa"/>
                  <w:vAlign w:val="center"/>
                </w:tcPr>
                <w:p w14:paraId="5E82D51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5C4D560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r>
            <w:tr w14:paraId="3BAE4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02E1D99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4652BBA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穿孔曝气管</w:t>
                  </w:r>
                </w:p>
              </w:tc>
              <w:tc>
                <w:tcPr>
                  <w:tcW w:w="4436" w:type="dxa"/>
                  <w:vAlign w:val="center"/>
                </w:tcPr>
                <w:p w14:paraId="15173AD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UPVC</w:t>
                  </w:r>
                </w:p>
              </w:tc>
              <w:tc>
                <w:tcPr>
                  <w:tcW w:w="544" w:type="dxa"/>
                  <w:vAlign w:val="center"/>
                </w:tcPr>
                <w:p w14:paraId="505B8A8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7675951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41629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6A11027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2605" w:type="dxa"/>
                  <w:vAlign w:val="center"/>
                </w:tcPr>
                <w:p w14:paraId="6D1C245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bookmarkStart w:id="2" w:name="bookmark69"/>
                  <w:bookmarkEnd w:id="2"/>
                  <w:r>
                    <w:rPr>
                      <w:rFonts w:hint="default" w:ascii="Times New Roman" w:hAnsi="Times New Roman" w:eastAsia="宋体" w:cs="Times New Roman"/>
                      <w:spacing w:val="-2"/>
                      <w:sz w:val="21"/>
                      <w:szCs w:val="21"/>
                    </w:rPr>
                    <w:t>厌氧反应池</w:t>
                  </w:r>
                </w:p>
              </w:tc>
              <w:tc>
                <w:tcPr>
                  <w:tcW w:w="4436" w:type="dxa"/>
                  <w:vAlign w:val="center"/>
                </w:tcPr>
                <w:p w14:paraId="3F25F15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25916C9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89" w:type="dxa"/>
                  <w:vAlign w:val="center"/>
                </w:tcPr>
                <w:p w14:paraId="6C25EA1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741EE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13602D0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2D94DC5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厌氧反应池进水布水系统</w:t>
                  </w:r>
                </w:p>
              </w:tc>
              <w:tc>
                <w:tcPr>
                  <w:tcW w:w="4436" w:type="dxa"/>
                  <w:vAlign w:val="center"/>
                </w:tcPr>
                <w:p w14:paraId="306C4F1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穿孔布水管</w:t>
                  </w:r>
                </w:p>
              </w:tc>
              <w:tc>
                <w:tcPr>
                  <w:tcW w:w="544" w:type="dxa"/>
                  <w:vAlign w:val="center"/>
                </w:tcPr>
                <w:p w14:paraId="4C1CA12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58839A8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2F6FE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16AECEA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6986C58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厌氧池潜水搅拌机</w:t>
                  </w:r>
                </w:p>
              </w:tc>
              <w:tc>
                <w:tcPr>
                  <w:tcW w:w="4436" w:type="dxa"/>
                  <w:vAlign w:val="center"/>
                </w:tcPr>
                <w:p w14:paraId="6A61109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QJB-4.0</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4.0</w:t>
                  </w:r>
                  <w:r>
                    <w:rPr>
                      <w:rFonts w:hint="default" w:ascii="Times New Roman" w:hAnsi="Times New Roman" w:cs="Times New Roman"/>
                      <w:spacing w:val="-3"/>
                      <w:sz w:val="21"/>
                      <w:szCs w:val="21"/>
                      <w:lang w:eastAsia="zh-CN"/>
                    </w:rPr>
                    <w:t>kW</w:t>
                  </w:r>
                </w:p>
              </w:tc>
              <w:tc>
                <w:tcPr>
                  <w:tcW w:w="544" w:type="dxa"/>
                  <w:vAlign w:val="center"/>
                </w:tcPr>
                <w:p w14:paraId="58BBC89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0EB5419A">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r>
            <w:tr w14:paraId="35CD7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101D575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2605" w:type="dxa"/>
                  <w:vAlign w:val="center"/>
                </w:tcPr>
                <w:p w14:paraId="21F5BBD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缺氧反应池</w:t>
                  </w:r>
                </w:p>
              </w:tc>
              <w:tc>
                <w:tcPr>
                  <w:tcW w:w="4436" w:type="dxa"/>
                  <w:vAlign w:val="center"/>
                </w:tcPr>
                <w:p w14:paraId="39CC369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659DA32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89" w:type="dxa"/>
                  <w:vAlign w:val="center"/>
                </w:tcPr>
                <w:p w14:paraId="19DC4DB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1E7BC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4C27679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735508A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缺氧池潜水搅拌机</w:t>
                  </w:r>
                </w:p>
              </w:tc>
              <w:tc>
                <w:tcPr>
                  <w:tcW w:w="4436" w:type="dxa"/>
                  <w:vAlign w:val="center"/>
                </w:tcPr>
                <w:p w14:paraId="026DEF3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QJB-4</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4</w:t>
                  </w:r>
                  <w:r>
                    <w:rPr>
                      <w:rFonts w:hint="default" w:ascii="Times New Roman" w:hAnsi="Times New Roman" w:cs="Times New Roman"/>
                      <w:spacing w:val="-3"/>
                      <w:sz w:val="21"/>
                      <w:szCs w:val="21"/>
                      <w:lang w:eastAsia="zh-CN"/>
                    </w:rPr>
                    <w:t>kW</w:t>
                  </w:r>
                </w:p>
              </w:tc>
              <w:tc>
                <w:tcPr>
                  <w:tcW w:w="544" w:type="dxa"/>
                  <w:vAlign w:val="center"/>
                </w:tcPr>
                <w:p w14:paraId="67EA00E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7670349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r>
            <w:tr w14:paraId="7C953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36A6B75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2B70A9B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弹性填料</w:t>
                  </w:r>
                </w:p>
              </w:tc>
              <w:tc>
                <w:tcPr>
                  <w:tcW w:w="4436" w:type="dxa"/>
                  <w:vAlign w:val="center"/>
                </w:tcPr>
                <w:p w14:paraId="5113FB0F">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Φ150，束长2.5m，含上下两层填料支架</w:t>
                  </w:r>
                </w:p>
              </w:tc>
              <w:tc>
                <w:tcPr>
                  <w:tcW w:w="544" w:type="dxa"/>
                  <w:vAlign w:val="center"/>
                </w:tcPr>
                <w:p w14:paraId="28E9F73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m</w:t>
                  </w:r>
                  <w:r>
                    <w:rPr>
                      <w:rFonts w:hint="default" w:ascii="Times New Roman" w:hAnsi="Times New Roman" w:eastAsia="宋体" w:cs="Times New Roman"/>
                      <w:spacing w:val="-4"/>
                      <w:sz w:val="21"/>
                      <w:szCs w:val="21"/>
                      <w:vertAlign w:val="superscript"/>
                      <w:lang w:val="en-US" w:eastAsia="zh-CN"/>
                    </w:rPr>
                    <w:t>3</w:t>
                  </w:r>
                </w:p>
              </w:tc>
              <w:tc>
                <w:tcPr>
                  <w:tcW w:w="589" w:type="dxa"/>
                  <w:vAlign w:val="center"/>
                </w:tcPr>
                <w:p w14:paraId="520CC16D">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250</w:t>
                  </w:r>
                </w:p>
              </w:tc>
            </w:tr>
            <w:tr w14:paraId="4A640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1F7DE84E">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2605" w:type="dxa"/>
                  <w:vAlign w:val="center"/>
                </w:tcPr>
                <w:p w14:paraId="58CF328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好氧反应池</w:t>
                  </w:r>
                </w:p>
              </w:tc>
              <w:tc>
                <w:tcPr>
                  <w:tcW w:w="4436" w:type="dxa"/>
                  <w:vAlign w:val="center"/>
                </w:tcPr>
                <w:p w14:paraId="346B0DD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03DD2C4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89" w:type="dxa"/>
                  <w:vAlign w:val="center"/>
                </w:tcPr>
                <w:p w14:paraId="51F3D46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1F2AB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65B1540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12711BD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可变孔曝气软管系统</w:t>
                  </w:r>
                </w:p>
              </w:tc>
              <w:tc>
                <w:tcPr>
                  <w:tcW w:w="4436" w:type="dxa"/>
                  <w:vAlign w:val="center"/>
                </w:tcPr>
                <w:p w14:paraId="19F413B2">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Φ65，曝气面积430m</w:t>
                  </w:r>
                  <w:r>
                    <w:rPr>
                      <w:rFonts w:hint="default" w:ascii="Times New Roman" w:hAnsi="Times New Roman" w:eastAsia="宋体" w:cs="Times New Roman"/>
                      <w:spacing w:val="-3"/>
                      <w:sz w:val="21"/>
                      <w:szCs w:val="21"/>
                      <w:vertAlign w:val="superscript"/>
                    </w:rPr>
                    <w:t>2</w:t>
                  </w:r>
                </w:p>
              </w:tc>
              <w:tc>
                <w:tcPr>
                  <w:tcW w:w="544" w:type="dxa"/>
                  <w:vAlign w:val="center"/>
                </w:tcPr>
                <w:p w14:paraId="37CCDF0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7503156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10905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9" w:hRule="atLeast"/>
              </w:trPr>
              <w:tc>
                <w:tcPr>
                  <w:tcW w:w="566" w:type="dxa"/>
                  <w:vAlign w:val="center"/>
                </w:tcPr>
                <w:p w14:paraId="39C9080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3388FEC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组合填料</w:t>
                  </w:r>
                </w:p>
              </w:tc>
              <w:tc>
                <w:tcPr>
                  <w:tcW w:w="4436" w:type="dxa"/>
                  <w:vAlign w:val="center"/>
                </w:tcPr>
                <w:p w14:paraId="07EB7A1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TD-150，束长4m，含上下两层填料支架</w:t>
                  </w:r>
                </w:p>
              </w:tc>
              <w:tc>
                <w:tcPr>
                  <w:tcW w:w="544" w:type="dxa"/>
                  <w:vAlign w:val="center"/>
                </w:tcPr>
                <w:p w14:paraId="140B814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lang w:val="en-US" w:eastAsia="zh-CN"/>
                    </w:rPr>
                  </w:pPr>
                  <w:r>
                    <w:rPr>
                      <w:rFonts w:hint="default" w:ascii="Times New Roman" w:hAnsi="Times New Roman" w:cs="Times New Roman"/>
                      <w:spacing w:val="1"/>
                      <w:position w:val="-3"/>
                      <w:sz w:val="21"/>
                      <w:szCs w:val="21"/>
                      <w:lang w:val="en-US" w:eastAsia="zh-CN"/>
                    </w:rPr>
                    <w:t>m</w:t>
                  </w:r>
                  <w:r>
                    <w:rPr>
                      <w:rFonts w:hint="default" w:ascii="Times New Roman" w:hAnsi="Times New Roman" w:cs="Times New Roman"/>
                      <w:spacing w:val="1"/>
                      <w:position w:val="-3"/>
                      <w:sz w:val="21"/>
                      <w:szCs w:val="21"/>
                      <w:vertAlign w:val="superscript"/>
                      <w:lang w:val="en-US" w:eastAsia="zh-CN"/>
                    </w:rPr>
                    <w:t>3</w:t>
                  </w:r>
                </w:p>
              </w:tc>
              <w:tc>
                <w:tcPr>
                  <w:tcW w:w="589" w:type="dxa"/>
                  <w:vAlign w:val="center"/>
                </w:tcPr>
                <w:p w14:paraId="55BA09B8">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920</w:t>
                  </w:r>
                </w:p>
              </w:tc>
            </w:tr>
            <w:tr w14:paraId="2E136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6D66A82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5E0404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混合液回流泵</w:t>
                  </w:r>
                </w:p>
              </w:tc>
              <w:tc>
                <w:tcPr>
                  <w:tcW w:w="4436" w:type="dxa"/>
                  <w:vAlign w:val="center"/>
                </w:tcPr>
                <w:p w14:paraId="0925A64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150WQ/C475-5.5</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5.5</w:t>
                  </w:r>
                  <w:r>
                    <w:rPr>
                      <w:rFonts w:hint="default" w:ascii="Times New Roman" w:hAnsi="Times New Roman" w:cs="Times New Roman"/>
                      <w:spacing w:val="-3"/>
                      <w:sz w:val="21"/>
                      <w:szCs w:val="21"/>
                      <w:lang w:eastAsia="zh-CN"/>
                    </w:rPr>
                    <w:t>kW</w:t>
                  </w:r>
                </w:p>
              </w:tc>
              <w:tc>
                <w:tcPr>
                  <w:tcW w:w="544" w:type="dxa"/>
                  <w:vAlign w:val="center"/>
                </w:tcPr>
                <w:p w14:paraId="1267DA6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1655F982">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r>
            <w:tr w14:paraId="03BBD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5FFA62F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01C0DA1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罗茨鼓风机</w:t>
                  </w:r>
                </w:p>
              </w:tc>
              <w:tc>
                <w:tcPr>
                  <w:tcW w:w="4436" w:type="dxa"/>
                  <w:vAlign w:val="center"/>
                </w:tcPr>
                <w:p w14:paraId="38FCEC4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BK5009</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10</w:t>
                  </w:r>
                  <w:r>
                    <w:rPr>
                      <w:rFonts w:hint="default" w:ascii="Times New Roman" w:hAnsi="Times New Roman" w:eastAsia="宋体" w:cs="Times New Roman"/>
                      <w:spacing w:val="-4"/>
                      <w:sz w:val="21"/>
                      <w:szCs w:val="21"/>
                    </w:rPr>
                    <w:t>m</w:t>
                  </w:r>
                  <w:r>
                    <w:rPr>
                      <w:rFonts w:hint="default" w:ascii="Times New Roman" w:hAnsi="Times New Roman" w:eastAsia="宋体" w:cs="Times New Roman"/>
                      <w:spacing w:val="-4"/>
                      <w:sz w:val="21"/>
                      <w:szCs w:val="21"/>
                      <w:vertAlign w:val="superscript"/>
                      <w:lang w:val="en-US" w:eastAsia="zh-CN"/>
                    </w:rPr>
                    <w:t>3</w:t>
                  </w:r>
                  <w:r>
                    <w:rPr>
                      <w:rFonts w:hint="default" w:ascii="Times New Roman" w:hAnsi="Times New Roman" w:eastAsia="宋体" w:cs="Times New Roman"/>
                      <w:spacing w:val="-3"/>
                      <w:sz w:val="21"/>
                      <w:szCs w:val="21"/>
                    </w:rPr>
                    <w:t>/min</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5m</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15</w:t>
                  </w:r>
                  <w:r>
                    <w:rPr>
                      <w:rFonts w:hint="default" w:ascii="Times New Roman" w:hAnsi="Times New Roman" w:cs="Times New Roman"/>
                      <w:spacing w:val="-3"/>
                      <w:sz w:val="21"/>
                      <w:szCs w:val="21"/>
                      <w:lang w:eastAsia="zh-CN"/>
                    </w:rPr>
                    <w:t>kW</w:t>
                  </w:r>
                </w:p>
              </w:tc>
              <w:tc>
                <w:tcPr>
                  <w:tcW w:w="544" w:type="dxa"/>
                  <w:vAlign w:val="center"/>
                </w:tcPr>
                <w:p w14:paraId="02A6B10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274A8E9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r>
            <w:tr w14:paraId="7C1A5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114D2FA2">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2605" w:type="dxa"/>
                  <w:vAlign w:val="center"/>
                </w:tcPr>
                <w:p w14:paraId="3616DD0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MBR膜池</w:t>
                  </w:r>
                </w:p>
              </w:tc>
              <w:tc>
                <w:tcPr>
                  <w:tcW w:w="4436" w:type="dxa"/>
                  <w:vAlign w:val="center"/>
                </w:tcPr>
                <w:p w14:paraId="2CBEBB4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66867C2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89" w:type="dxa"/>
                  <w:vAlign w:val="center"/>
                </w:tcPr>
                <w:p w14:paraId="3F82F60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1E469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2BB859F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19915B1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膜组件</w:t>
                  </w:r>
                </w:p>
              </w:tc>
              <w:tc>
                <w:tcPr>
                  <w:tcW w:w="4436" w:type="dxa"/>
                  <w:vAlign w:val="center"/>
                </w:tcPr>
                <w:p w14:paraId="0781AD0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DF150-200</w:t>
                  </w:r>
                </w:p>
              </w:tc>
              <w:tc>
                <w:tcPr>
                  <w:tcW w:w="544" w:type="dxa"/>
                  <w:vAlign w:val="center"/>
                </w:tcPr>
                <w:p w14:paraId="67B3313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337178D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20</w:t>
                  </w:r>
                </w:p>
              </w:tc>
            </w:tr>
            <w:tr w14:paraId="2EE4D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25DF267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44F6BB8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膜元件</w:t>
                  </w:r>
                </w:p>
              </w:tc>
              <w:tc>
                <w:tcPr>
                  <w:tcW w:w="4436" w:type="dxa"/>
                  <w:vAlign w:val="center"/>
                </w:tcPr>
                <w:p w14:paraId="14C62F2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DF150</w:t>
                  </w:r>
                </w:p>
              </w:tc>
              <w:tc>
                <w:tcPr>
                  <w:tcW w:w="544" w:type="dxa"/>
                  <w:vAlign w:val="center"/>
                </w:tcPr>
                <w:p w14:paraId="5F47A2E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片</w:t>
                  </w:r>
                </w:p>
              </w:tc>
              <w:tc>
                <w:tcPr>
                  <w:tcW w:w="589" w:type="dxa"/>
                  <w:vAlign w:val="center"/>
                </w:tcPr>
                <w:p w14:paraId="4C53A2E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4000</w:t>
                  </w:r>
                </w:p>
              </w:tc>
            </w:tr>
            <w:tr w14:paraId="1EB39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140921C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69B496D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抽吸泵</w:t>
                  </w:r>
                </w:p>
              </w:tc>
              <w:tc>
                <w:tcPr>
                  <w:tcW w:w="4436" w:type="dxa"/>
                  <w:vAlign w:val="center"/>
                </w:tcPr>
                <w:p w14:paraId="72D1652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CDL65-10</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4</w:t>
                  </w:r>
                  <w:r>
                    <w:rPr>
                      <w:rFonts w:hint="default" w:ascii="Times New Roman" w:hAnsi="Times New Roman" w:cs="Times New Roman"/>
                      <w:spacing w:val="-3"/>
                      <w:sz w:val="21"/>
                      <w:szCs w:val="21"/>
                      <w:lang w:eastAsia="zh-CN"/>
                    </w:rPr>
                    <w:t>kW</w:t>
                  </w:r>
                </w:p>
              </w:tc>
              <w:tc>
                <w:tcPr>
                  <w:tcW w:w="544" w:type="dxa"/>
                  <w:vAlign w:val="center"/>
                </w:tcPr>
                <w:p w14:paraId="6E90DD7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16238E6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r>
            <w:tr w14:paraId="7C804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65D152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79E12A3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引水罐</w:t>
                  </w:r>
                </w:p>
              </w:tc>
              <w:tc>
                <w:tcPr>
                  <w:tcW w:w="4436" w:type="dxa"/>
                  <w:vAlign w:val="center"/>
                </w:tcPr>
                <w:p w14:paraId="0F9B405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Ø500×800mm</w:t>
                  </w:r>
                </w:p>
              </w:tc>
              <w:tc>
                <w:tcPr>
                  <w:tcW w:w="544" w:type="dxa"/>
                  <w:vAlign w:val="center"/>
                </w:tcPr>
                <w:p w14:paraId="3E93330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58B0D38A">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72A6E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3ABCE4D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07CBC98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曝气风机</w:t>
                  </w:r>
                </w:p>
              </w:tc>
              <w:tc>
                <w:tcPr>
                  <w:tcW w:w="4436" w:type="dxa"/>
                  <w:vAlign w:val="center"/>
                </w:tcPr>
                <w:p w14:paraId="70C9C7C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BK6015</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45</w:t>
                  </w:r>
                  <w:r>
                    <w:rPr>
                      <w:rFonts w:hint="default" w:ascii="Times New Roman" w:hAnsi="Times New Roman" w:eastAsia="宋体" w:cs="Times New Roman"/>
                      <w:spacing w:val="-4"/>
                      <w:sz w:val="21"/>
                      <w:szCs w:val="21"/>
                    </w:rPr>
                    <w:t>m</w:t>
                  </w:r>
                  <w:r>
                    <w:rPr>
                      <w:rFonts w:hint="default" w:ascii="Times New Roman" w:hAnsi="Times New Roman" w:eastAsia="宋体" w:cs="Times New Roman"/>
                      <w:spacing w:val="-4"/>
                      <w:sz w:val="21"/>
                      <w:szCs w:val="21"/>
                      <w:vertAlign w:val="superscript"/>
                      <w:lang w:val="en-US" w:eastAsia="zh-CN"/>
                    </w:rPr>
                    <w:t>3</w:t>
                  </w:r>
                  <w:r>
                    <w:rPr>
                      <w:rFonts w:hint="default" w:ascii="Times New Roman" w:hAnsi="Times New Roman" w:eastAsia="宋体" w:cs="Times New Roman"/>
                      <w:spacing w:val="-3"/>
                      <w:sz w:val="21"/>
                      <w:szCs w:val="21"/>
                    </w:rPr>
                    <w:t>/min</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4m</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55</w:t>
                  </w:r>
                  <w:r>
                    <w:rPr>
                      <w:rFonts w:hint="default" w:ascii="Times New Roman" w:hAnsi="Times New Roman" w:cs="Times New Roman"/>
                      <w:spacing w:val="-3"/>
                      <w:sz w:val="21"/>
                      <w:szCs w:val="21"/>
                      <w:lang w:eastAsia="zh-CN"/>
                    </w:rPr>
                    <w:t>kW</w:t>
                  </w:r>
                </w:p>
              </w:tc>
              <w:tc>
                <w:tcPr>
                  <w:tcW w:w="544" w:type="dxa"/>
                  <w:vAlign w:val="center"/>
                </w:tcPr>
                <w:p w14:paraId="3AAF3E3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1B8374BF">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r>
            <w:tr w14:paraId="23847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6D5C187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0B984A4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清洗系统（离心泵）</w:t>
                  </w:r>
                </w:p>
              </w:tc>
              <w:tc>
                <w:tcPr>
                  <w:tcW w:w="4436" w:type="dxa"/>
                  <w:vAlign w:val="center"/>
                </w:tcPr>
                <w:p w14:paraId="4AD4C12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25</w:t>
                  </w:r>
                  <w:r>
                    <w:rPr>
                      <w:rFonts w:hint="default" w:ascii="Times New Roman" w:hAnsi="Times New Roman" w:eastAsia="宋体" w:cs="Times New Roman"/>
                      <w:spacing w:val="-4"/>
                      <w:sz w:val="21"/>
                      <w:szCs w:val="21"/>
                    </w:rPr>
                    <w:t>m</w:t>
                  </w:r>
                  <w:r>
                    <w:rPr>
                      <w:rFonts w:hint="default" w:ascii="Times New Roman" w:hAnsi="Times New Roman" w:eastAsia="宋体" w:cs="Times New Roman"/>
                      <w:spacing w:val="-4"/>
                      <w:sz w:val="21"/>
                      <w:szCs w:val="21"/>
                      <w:vertAlign w:val="superscript"/>
                      <w:lang w:val="en-US" w:eastAsia="zh-CN"/>
                    </w:rPr>
                    <w:t>3</w:t>
                  </w:r>
                  <w:r>
                    <w:rPr>
                      <w:rFonts w:hint="default" w:ascii="Times New Roman" w:hAnsi="Times New Roman" w:eastAsia="宋体" w:cs="Times New Roman"/>
                      <w:spacing w:val="-3"/>
                      <w:sz w:val="21"/>
                      <w:szCs w:val="21"/>
                    </w:rPr>
                    <w:t>/h</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15m</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2.5</w:t>
                  </w:r>
                  <w:r>
                    <w:rPr>
                      <w:rFonts w:hint="default" w:ascii="Times New Roman" w:hAnsi="Times New Roman" w:cs="Times New Roman"/>
                      <w:spacing w:val="-3"/>
                      <w:sz w:val="21"/>
                      <w:szCs w:val="21"/>
                      <w:lang w:eastAsia="zh-CN"/>
                    </w:rPr>
                    <w:t>kW</w:t>
                  </w:r>
                </w:p>
              </w:tc>
              <w:tc>
                <w:tcPr>
                  <w:tcW w:w="544" w:type="dxa"/>
                  <w:vAlign w:val="center"/>
                </w:tcPr>
                <w:p w14:paraId="31124AE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79391BA8">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r>
            <w:tr w14:paraId="7E65C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757D4D5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0AF2B0F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酸加药装置</w:t>
                  </w:r>
                </w:p>
              </w:tc>
              <w:tc>
                <w:tcPr>
                  <w:tcW w:w="4436" w:type="dxa"/>
                  <w:vAlign w:val="center"/>
                </w:tcPr>
                <w:p w14:paraId="2E3D764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3CC3F1B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1B59EBA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536D1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352F94B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1316988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次氯酸钠加药装置</w:t>
                  </w:r>
                </w:p>
              </w:tc>
              <w:tc>
                <w:tcPr>
                  <w:tcW w:w="4436" w:type="dxa"/>
                  <w:vAlign w:val="center"/>
                </w:tcPr>
                <w:p w14:paraId="7132D34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768CE5E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785469B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39B4F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566" w:type="dxa"/>
                  <w:vAlign w:val="center"/>
                </w:tcPr>
                <w:p w14:paraId="2B58304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2605" w:type="dxa"/>
                  <w:vAlign w:val="center"/>
                </w:tcPr>
                <w:p w14:paraId="16922AB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消毒池（回用水池）巴氏计</w:t>
                  </w:r>
                </w:p>
                <w:p w14:paraId="19BC995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量槽</w:t>
                  </w:r>
                </w:p>
              </w:tc>
              <w:tc>
                <w:tcPr>
                  <w:tcW w:w="4436" w:type="dxa"/>
                  <w:vAlign w:val="center"/>
                </w:tcPr>
                <w:p w14:paraId="3553051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7EF92AF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89" w:type="dxa"/>
                  <w:vAlign w:val="center"/>
                </w:tcPr>
                <w:p w14:paraId="0239953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5BEBB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5056338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766E3A4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电解法二氧化氯消毒装置</w:t>
                  </w:r>
                </w:p>
              </w:tc>
              <w:tc>
                <w:tcPr>
                  <w:tcW w:w="4436" w:type="dxa"/>
                  <w:vAlign w:val="center"/>
                </w:tcPr>
                <w:p w14:paraId="2F7AE78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LD-YHL-6，发生量300g/h，含余氯监测</w:t>
                  </w:r>
                </w:p>
              </w:tc>
              <w:tc>
                <w:tcPr>
                  <w:tcW w:w="544" w:type="dxa"/>
                  <w:vAlign w:val="center"/>
                </w:tcPr>
                <w:p w14:paraId="72A498C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35B2F48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r>
            <w:tr w14:paraId="1E44E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22E95AC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0ACC8A7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巴氏计量槽</w:t>
                  </w:r>
                </w:p>
              </w:tc>
              <w:tc>
                <w:tcPr>
                  <w:tcW w:w="4436" w:type="dxa"/>
                  <w:vAlign w:val="center"/>
                </w:tcPr>
                <w:p w14:paraId="6DB9862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2"/>
                      <w:position w:val="2"/>
                      <w:sz w:val="21"/>
                      <w:szCs w:val="21"/>
                    </w:rPr>
                    <w:t>喉宽b=1200mm流量范围35～2000L/s</w:t>
                  </w:r>
                  <w:r>
                    <w:rPr>
                      <w:rFonts w:hint="default" w:ascii="Times New Roman" w:hAnsi="Times New Roman" w:eastAsia="宋体" w:cs="Times New Roman"/>
                      <w:spacing w:val="-2"/>
                      <w:position w:val="2"/>
                      <w:sz w:val="21"/>
                      <w:szCs w:val="21"/>
                      <w:lang w:eastAsia="zh-CN"/>
                    </w:rPr>
                    <w:t>；</w:t>
                  </w:r>
                </w:p>
              </w:tc>
              <w:tc>
                <w:tcPr>
                  <w:tcW w:w="544" w:type="dxa"/>
                  <w:vAlign w:val="center"/>
                </w:tcPr>
                <w:p w14:paraId="4120097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33E50BB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043C4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236C583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2605" w:type="dxa"/>
                  <w:vAlign w:val="center"/>
                </w:tcPr>
                <w:p w14:paraId="4D69B72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污泥消化池</w:t>
                  </w:r>
                </w:p>
              </w:tc>
              <w:tc>
                <w:tcPr>
                  <w:tcW w:w="4436" w:type="dxa"/>
                  <w:vAlign w:val="center"/>
                </w:tcPr>
                <w:p w14:paraId="25B7DBE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52F96F7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89" w:type="dxa"/>
                  <w:vAlign w:val="center"/>
                </w:tcPr>
                <w:p w14:paraId="7F36121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49224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11E0900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718214A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污泥泵</w:t>
                  </w:r>
                </w:p>
              </w:tc>
              <w:tc>
                <w:tcPr>
                  <w:tcW w:w="4436" w:type="dxa"/>
                  <w:vAlign w:val="center"/>
                </w:tcPr>
                <w:p w14:paraId="311EB47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80WQ/C260-4</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4</w:t>
                  </w:r>
                  <w:r>
                    <w:rPr>
                      <w:rFonts w:hint="default" w:ascii="Times New Roman" w:hAnsi="Times New Roman" w:cs="Times New Roman"/>
                      <w:spacing w:val="-3"/>
                      <w:sz w:val="21"/>
                      <w:szCs w:val="21"/>
                      <w:lang w:eastAsia="zh-CN"/>
                    </w:rPr>
                    <w:t>kW</w:t>
                  </w:r>
                </w:p>
              </w:tc>
              <w:tc>
                <w:tcPr>
                  <w:tcW w:w="544" w:type="dxa"/>
                  <w:vAlign w:val="center"/>
                </w:tcPr>
                <w:p w14:paraId="573C51A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2CC35BC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r>
            <w:tr w14:paraId="1810B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5CA1683D">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10</w:t>
                  </w:r>
                </w:p>
              </w:tc>
              <w:tc>
                <w:tcPr>
                  <w:tcW w:w="2605" w:type="dxa"/>
                  <w:vAlign w:val="center"/>
                </w:tcPr>
                <w:p w14:paraId="27B8CC7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污泥浓缩池</w:t>
                  </w:r>
                </w:p>
              </w:tc>
              <w:tc>
                <w:tcPr>
                  <w:tcW w:w="4436" w:type="dxa"/>
                  <w:vAlign w:val="center"/>
                </w:tcPr>
                <w:p w14:paraId="458F3E8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44" w:type="dxa"/>
                  <w:vAlign w:val="center"/>
                </w:tcPr>
                <w:p w14:paraId="6864659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589" w:type="dxa"/>
                  <w:vAlign w:val="center"/>
                </w:tcPr>
                <w:p w14:paraId="0E51626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0DF64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25F47BC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01DAC93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污泥浓缩机</w:t>
                  </w:r>
                </w:p>
              </w:tc>
              <w:tc>
                <w:tcPr>
                  <w:tcW w:w="4436" w:type="dxa"/>
                  <w:vAlign w:val="center"/>
                </w:tcPr>
                <w:p w14:paraId="3AE5903A">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NSJ-4</w:t>
                  </w:r>
                  <w:r>
                    <w:rPr>
                      <w:rFonts w:hint="default" w:ascii="Times New Roman" w:hAnsi="Times New Roman" w:cs="Times New Roman"/>
                      <w:spacing w:val="-2"/>
                      <w:sz w:val="21"/>
                      <w:szCs w:val="21"/>
                      <w:lang w:eastAsia="zh-CN"/>
                    </w:rPr>
                    <w:t>,</w:t>
                  </w:r>
                  <w:r>
                    <w:rPr>
                      <w:rFonts w:hint="default" w:ascii="Times New Roman" w:hAnsi="Times New Roman" w:eastAsia="宋体" w:cs="Times New Roman"/>
                      <w:spacing w:val="-2"/>
                      <w:sz w:val="21"/>
                      <w:szCs w:val="21"/>
                    </w:rPr>
                    <w:t>0.55</w:t>
                  </w:r>
                  <w:r>
                    <w:rPr>
                      <w:rFonts w:hint="default" w:ascii="Times New Roman" w:hAnsi="Times New Roman" w:cs="Times New Roman"/>
                      <w:spacing w:val="-2"/>
                      <w:sz w:val="21"/>
                      <w:szCs w:val="21"/>
                      <w:lang w:eastAsia="zh-CN"/>
                    </w:rPr>
                    <w:t>kW</w:t>
                  </w:r>
                </w:p>
              </w:tc>
              <w:tc>
                <w:tcPr>
                  <w:tcW w:w="544" w:type="dxa"/>
                  <w:vAlign w:val="center"/>
                </w:tcPr>
                <w:p w14:paraId="1AC55AF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1483A65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777C1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566" w:type="dxa"/>
                  <w:vAlign w:val="center"/>
                </w:tcPr>
                <w:p w14:paraId="758A456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632C377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污泥浓缩池其他辅配件</w:t>
                  </w:r>
                </w:p>
              </w:tc>
              <w:tc>
                <w:tcPr>
                  <w:tcW w:w="4436" w:type="dxa"/>
                  <w:vAlign w:val="center"/>
                </w:tcPr>
                <w:p w14:paraId="388849D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稳流筒及本体管系</w:t>
                  </w:r>
                </w:p>
              </w:tc>
              <w:tc>
                <w:tcPr>
                  <w:tcW w:w="544" w:type="dxa"/>
                  <w:vAlign w:val="center"/>
                </w:tcPr>
                <w:p w14:paraId="6A8F255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1A80C7F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71288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3C1A3F6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222063E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污泥螺杆泵</w:t>
                  </w:r>
                </w:p>
              </w:tc>
              <w:tc>
                <w:tcPr>
                  <w:tcW w:w="4436" w:type="dxa"/>
                  <w:vAlign w:val="center"/>
                </w:tcPr>
                <w:p w14:paraId="0E59E0F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G40-1</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4</w:t>
                  </w:r>
                  <w:r>
                    <w:rPr>
                      <w:rFonts w:hint="default" w:ascii="Times New Roman" w:hAnsi="Times New Roman" w:cs="Times New Roman"/>
                      <w:spacing w:val="-3"/>
                      <w:sz w:val="21"/>
                      <w:szCs w:val="21"/>
                      <w:lang w:eastAsia="zh-CN"/>
                    </w:rPr>
                    <w:t>kW</w:t>
                  </w:r>
                </w:p>
              </w:tc>
              <w:tc>
                <w:tcPr>
                  <w:tcW w:w="544" w:type="dxa"/>
                  <w:vAlign w:val="center"/>
                </w:tcPr>
                <w:p w14:paraId="738E30E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7EE95D5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r>
            <w:tr w14:paraId="72AEA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1A50574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121DB59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叠螺式污泥脱水机</w:t>
                  </w:r>
                </w:p>
              </w:tc>
              <w:tc>
                <w:tcPr>
                  <w:tcW w:w="4436" w:type="dxa"/>
                  <w:vAlign w:val="center"/>
                </w:tcPr>
                <w:p w14:paraId="7185EE5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KS-ST304，整套供应</w:t>
                  </w:r>
                </w:p>
              </w:tc>
              <w:tc>
                <w:tcPr>
                  <w:tcW w:w="544" w:type="dxa"/>
                  <w:vAlign w:val="center"/>
                </w:tcPr>
                <w:p w14:paraId="72D424D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76167EF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r>
            <w:tr w14:paraId="51745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7A08F8B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4D10BD4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皮带输送机</w:t>
                  </w:r>
                </w:p>
              </w:tc>
              <w:tc>
                <w:tcPr>
                  <w:tcW w:w="4436" w:type="dxa"/>
                  <w:vAlign w:val="center"/>
                </w:tcPr>
                <w:p w14:paraId="0EAFA34E">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position w:val="2"/>
                      <w:sz w:val="21"/>
                      <w:szCs w:val="21"/>
                    </w:rPr>
                    <w:t>B=500mm</w:t>
                  </w:r>
                </w:p>
              </w:tc>
              <w:tc>
                <w:tcPr>
                  <w:tcW w:w="544" w:type="dxa"/>
                  <w:vAlign w:val="center"/>
                </w:tcPr>
                <w:p w14:paraId="1B2ABCC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28078A5F">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r>
            <w:tr w14:paraId="2E290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528FD5D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58BC8F9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反冲洗离心泵</w:t>
                  </w:r>
                </w:p>
              </w:tc>
              <w:tc>
                <w:tcPr>
                  <w:tcW w:w="4436" w:type="dxa"/>
                  <w:vAlign w:val="center"/>
                </w:tcPr>
                <w:p w14:paraId="1D168B2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CDL12-5</w:t>
                  </w:r>
                  <w:r>
                    <w:rPr>
                      <w:rFonts w:hint="default" w:ascii="Times New Roman" w:hAnsi="Times New Roman" w:cs="Times New Roman"/>
                      <w:spacing w:val="-3"/>
                      <w:sz w:val="21"/>
                      <w:szCs w:val="21"/>
                      <w:lang w:eastAsia="zh-CN"/>
                    </w:rPr>
                    <w:t>,</w:t>
                  </w:r>
                  <w:r>
                    <w:rPr>
                      <w:rFonts w:hint="default" w:ascii="Times New Roman" w:hAnsi="Times New Roman" w:eastAsia="宋体" w:cs="Times New Roman"/>
                      <w:spacing w:val="-3"/>
                      <w:sz w:val="21"/>
                      <w:szCs w:val="21"/>
                    </w:rPr>
                    <w:t>3</w:t>
                  </w:r>
                  <w:r>
                    <w:rPr>
                      <w:rFonts w:hint="default" w:ascii="Times New Roman" w:hAnsi="Times New Roman" w:cs="Times New Roman"/>
                      <w:spacing w:val="-3"/>
                      <w:sz w:val="21"/>
                      <w:szCs w:val="21"/>
                      <w:lang w:eastAsia="zh-CN"/>
                    </w:rPr>
                    <w:t>kW</w:t>
                  </w:r>
                </w:p>
              </w:tc>
              <w:tc>
                <w:tcPr>
                  <w:tcW w:w="544" w:type="dxa"/>
                  <w:vAlign w:val="center"/>
                </w:tcPr>
                <w:p w14:paraId="5CCDF89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89" w:type="dxa"/>
                  <w:vAlign w:val="center"/>
                </w:tcPr>
                <w:p w14:paraId="075C0B1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r>
            <w:tr w14:paraId="192BF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trPr>
              <w:tc>
                <w:tcPr>
                  <w:tcW w:w="566" w:type="dxa"/>
                  <w:vAlign w:val="center"/>
                </w:tcPr>
                <w:p w14:paraId="51E3603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05" w:type="dxa"/>
                  <w:vAlign w:val="center"/>
                </w:tcPr>
                <w:p w14:paraId="27AC76C2">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全自动PAM加药装置</w:t>
                  </w:r>
                </w:p>
              </w:tc>
              <w:tc>
                <w:tcPr>
                  <w:tcW w:w="4436" w:type="dxa"/>
                  <w:vAlign w:val="center"/>
                </w:tcPr>
                <w:p w14:paraId="3F9CDCB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配套</w:t>
                  </w:r>
                </w:p>
              </w:tc>
              <w:tc>
                <w:tcPr>
                  <w:tcW w:w="544" w:type="dxa"/>
                  <w:vAlign w:val="center"/>
                </w:tcPr>
                <w:p w14:paraId="5039B8A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套</w:t>
                  </w:r>
                </w:p>
              </w:tc>
              <w:tc>
                <w:tcPr>
                  <w:tcW w:w="589" w:type="dxa"/>
                  <w:vAlign w:val="center"/>
                </w:tcPr>
                <w:p w14:paraId="56E5D6A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r>
          </w:tbl>
          <w:p w14:paraId="6FC848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t>4</w:t>
            </w:r>
            <w:r>
              <w:rPr>
                <w:rFonts w:hint="default" w:ascii="Times New Roman" w:hAnsi="Times New Roman" w:eastAsia="宋体" w:cs="Times New Roman"/>
                <w:color w:val="auto"/>
                <w:spacing w:val="0"/>
                <w:w w:val="100"/>
                <w:sz w:val="24"/>
                <w:szCs w:val="24"/>
              </w:rPr>
              <w:t>、主要原辅材料消耗及能源消耗</w:t>
            </w:r>
          </w:p>
          <w:p w14:paraId="6C424E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项目主要原辅材料及能源</w:t>
            </w:r>
            <w:r>
              <w:rPr>
                <w:rFonts w:hint="default" w:ascii="Times New Roman" w:hAnsi="Times New Roman" w:eastAsia="宋体" w:cs="Times New Roman"/>
                <w:color w:val="auto"/>
                <w:spacing w:val="0"/>
                <w:w w:val="100"/>
                <w:sz w:val="24"/>
                <w:szCs w:val="24"/>
                <w:highlight w:val="none"/>
              </w:rPr>
              <w:t>消耗见</w:t>
            </w:r>
            <w:r>
              <w:rPr>
                <w:rFonts w:hint="default" w:ascii="Times New Roman" w:hAnsi="Times New Roman" w:eastAsia="宋体" w:cs="Times New Roman"/>
                <w:color w:val="auto"/>
                <w:spacing w:val="0"/>
                <w:w w:val="100"/>
                <w:sz w:val="24"/>
                <w:szCs w:val="24"/>
              </w:rPr>
              <w:t>表</w:t>
            </w:r>
            <w:r>
              <w:rPr>
                <w:rFonts w:hint="default" w:ascii="Times New Roman" w:hAnsi="Times New Roman" w:eastAsia="宋体" w:cs="Times New Roman"/>
                <w:color w:val="auto"/>
                <w:spacing w:val="0"/>
                <w:w w:val="100"/>
                <w:sz w:val="24"/>
                <w:szCs w:val="24"/>
                <w:lang w:val="en-US" w:eastAsia="zh-CN"/>
              </w:rPr>
              <w:t>2-4</w:t>
            </w:r>
            <w:r>
              <w:rPr>
                <w:rFonts w:hint="default" w:ascii="Times New Roman" w:hAnsi="Times New Roman" w:eastAsia="宋体" w:cs="Times New Roman"/>
                <w:color w:val="auto"/>
                <w:spacing w:val="0"/>
                <w:w w:val="100"/>
                <w:sz w:val="24"/>
                <w:szCs w:val="24"/>
              </w:rPr>
              <w:t>。</w:t>
            </w:r>
          </w:p>
          <w:p w14:paraId="3C2AD669">
            <w:pPr>
              <w:keepNext w:val="0"/>
              <w:keepLines w:val="0"/>
              <w:suppressLineNumbers w:val="0"/>
              <w:tabs>
                <w:tab w:val="left" w:pos="3245"/>
              </w:tabs>
              <w:spacing w:before="0" w:beforeAutospacing="0" w:after="0" w:afterAutospacing="0"/>
              <w:ind w:left="0" w:right="0" w:firstLine="420" w:firstLineChars="20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表</w:t>
            </w:r>
            <w:r>
              <w:rPr>
                <w:rFonts w:hint="default" w:ascii="Times New Roman" w:hAnsi="Times New Roman" w:eastAsia="宋体" w:cs="Times New Roman"/>
                <w:b w:val="0"/>
                <w:bCs w:val="0"/>
                <w:color w:val="auto"/>
                <w:spacing w:val="0"/>
                <w:w w:val="100"/>
                <w:sz w:val="21"/>
                <w:szCs w:val="21"/>
                <w:lang w:val="en-US" w:eastAsia="zh-CN"/>
              </w:rPr>
              <w:t>2-4</w:t>
            </w:r>
            <w:r>
              <w:rPr>
                <w:rFonts w:hint="default" w:ascii="Times New Roman" w:hAnsi="Times New Roman" w:eastAsia="宋体" w:cs="Times New Roman"/>
                <w:color w:val="auto"/>
                <w:spacing w:val="0"/>
                <w:w w:val="100"/>
                <w:sz w:val="21"/>
                <w:szCs w:val="21"/>
              </w:rPr>
              <w:t xml:space="preserve"> </w:t>
            </w:r>
            <w:r>
              <w:rPr>
                <w:rFonts w:hint="default" w:ascii="Times New Roman" w:hAnsi="Times New Roman" w:eastAsia="宋体" w:cs="Times New Roman"/>
                <w:color w:val="auto"/>
                <w:spacing w:val="0"/>
                <w:w w:val="100"/>
                <w:sz w:val="21"/>
                <w:szCs w:val="21"/>
                <w:lang w:val="en-US" w:eastAsia="zh-CN"/>
              </w:rPr>
              <w:t xml:space="preserve">  </w:t>
            </w:r>
            <w:r>
              <w:rPr>
                <w:rFonts w:hint="default" w:ascii="Times New Roman" w:hAnsi="Times New Roman" w:eastAsia="宋体" w:cs="Times New Roman"/>
                <w:color w:val="auto"/>
                <w:spacing w:val="0"/>
                <w:w w:val="100"/>
                <w:sz w:val="21"/>
                <w:szCs w:val="21"/>
              </w:rPr>
              <w:t>原辅材料一览表</w:t>
            </w:r>
          </w:p>
          <w:tbl>
            <w:tblPr>
              <w:tblStyle w:val="21"/>
              <w:tblW w:w="87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114"/>
              <w:gridCol w:w="1215"/>
              <w:gridCol w:w="855"/>
              <w:gridCol w:w="1057"/>
              <w:gridCol w:w="1409"/>
              <w:gridCol w:w="1371"/>
              <w:gridCol w:w="1109"/>
            </w:tblGrid>
            <w:tr w14:paraId="17ECA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368" w:type="pct"/>
                  <w:tcBorders>
                    <w:tl2br w:val="nil"/>
                    <w:tr2bl w:val="nil"/>
                  </w:tcBorders>
                  <w:noWrap w:val="0"/>
                  <w:vAlign w:val="center"/>
                </w:tcPr>
                <w:p w14:paraId="5D33D48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序号</w:t>
                  </w:r>
                </w:p>
              </w:tc>
              <w:tc>
                <w:tcPr>
                  <w:tcW w:w="634" w:type="pct"/>
                  <w:tcBorders>
                    <w:tl2br w:val="nil"/>
                    <w:tr2bl w:val="nil"/>
                  </w:tcBorders>
                  <w:noWrap w:val="0"/>
                  <w:vAlign w:val="center"/>
                </w:tcPr>
                <w:p w14:paraId="187F50B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名称</w:t>
                  </w:r>
                </w:p>
              </w:tc>
              <w:tc>
                <w:tcPr>
                  <w:tcW w:w="692" w:type="pct"/>
                  <w:tcBorders>
                    <w:tl2br w:val="nil"/>
                    <w:tr2bl w:val="nil"/>
                  </w:tcBorders>
                  <w:noWrap w:val="0"/>
                  <w:vAlign w:val="center"/>
                </w:tcPr>
                <w:p w14:paraId="2ECA4C3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单位</w:t>
                  </w:r>
                </w:p>
              </w:tc>
              <w:tc>
                <w:tcPr>
                  <w:tcW w:w="487" w:type="pct"/>
                  <w:tcBorders>
                    <w:tl2br w:val="nil"/>
                    <w:tr2bl w:val="nil"/>
                  </w:tcBorders>
                  <w:noWrap w:val="0"/>
                  <w:vAlign w:val="center"/>
                </w:tcPr>
                <w:p w14:paraId="164AA4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消耗量</w:t>
                  </w:r>
                </w:p>
              </w:tc>
              <w:tc>
                <w:tcPr>
                  <w:tcW w:w="602" w:type="pct"/>
                  <w:tcBorders>
                    <w:tl2br w:val="nil"/>
                    <w:tr2bl w:val="nil"/>
                  </w:tcBorders>
                  <w:noWrap w:val="0"/>
                  <w:vAlign w:val="center"/>
                </w:tcPr>
                <w:p w14:paraId="7837864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来源</w:t>
                  </w:r>
                </w:p>
              </w:tc>
              <w:tc>
                <w:tcPr>
                  <w:tcW w:w="802" w:type="pct"/>
                  <w:tcBorders>
                    <w:tl2br w:val="nil"/>
                    <w:tr2bl w:val="nil"/>
                  </w:tcBorders>
                  <w:noWrap w:val="0"/>
                  <w:vAlign w:val="center"/>
                </w:tcPr>
                <w:p w14:paraId="6B61939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最大存储量</w:t>
                  </w:r>
                </w:p>
              </w:tc>
              <w:tc>
                <w:tcPr>
                  <w:tcW w:w="781" w:type="pct"/>
                  <w:tcBorders>
                    <w:tl2br w:val="nil"/>
                    <w:tr2bl w:val="nil"/>
                  </w:tcBorders>
                  <w:noWrap w:val="0"/>
                  <w:vAlign w:val="center"/>
                </w:tcPr>
                <w:p w14:paraId="2D38925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储存方式</w:t>
                  </w:r>
                </w:p>
              </w:tc>
              <w:tc>
                <w:tcPr>
                  <w:tcW w:w="631" w:type="pct"/>
                  <w:tcBorders>
                    <w:tl2br w:val="nil"/>
                    <w:tr2bl w:val="nil"/>
                  </w:tcBorders>
                  <w:noWrap w:val="0"/>
                  <w:vAlign w:val="center"/>
                </w:tcPr>
                <w:p w14:paraId="6D30B35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用途</w:t>
                  </w:r>
                </w:p>
              </w:tc>
            </w:tr>
            <w:tr w14:paraId="152A3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368" w:type="pct"/>
                  <w:tcBorders>
                    <w:tl2br w:val="nil"/>
                    <w:tr2bl w:val="nil"/>
                  </w:tcBorders>
                  <w:noWrap w:val="0"/>
                  <w:vAlign w:val="center"/>
                </w:tcPr>
                <w:p w14:paraId="0EFBBF6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1</w:t>
                  </w:r>
                </w:p>
              </w:tc>
              <w:tc>
                <w:tcPr>
                  <w:tcW w:w="634" w:type="pct"/>
                  <w:tcBorders>
                    <w:tl2br w:val="nil"/>
                    <w:tr2bl w:val="nil"/>
                  </w:tcBorders>
                  <w:noWrap w:val="0"/>
                  <w:vAlign w:val="center"/>
                </w:tcPr>
                <w:p w14:paraId="33A4C30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0"/>
                      <w:w w:val="100"/>
                      <w:sz w:val="21"/>
                      <w:szCs w:val="21"/>
                      <w:lang w:eastAsia="zh-CN"/>
                    </w:rPr>
                  </w:pPr>
                  <w:r>
                    <w:rPr>
                      <w:rFonts w:hint="default" w:ascii="Times New Roman" w:hAnsi="Times New Roman" w:cs="Times New Roman"/>
                      <w:color w:val="auto"/>
                      <w:spacing w:val="0"/>
                      <w:w w:val="100"/>
                    </w:rPr>
                    <w:t>乙酸钠</w:t>
                  </w:r>
                </w:p>
              </w:tc>
              <w:tc>
                <w:tcPr>
                  <w:tcW w:w="692" w:type="pct"/>
                  <w:tcBorders>
                    <w:tl2br w:val="nil"/>
                    <w:tr2bl w:val="nil"/>
                  </w:tcBorders>
                  <w:noWrap w:val="0"/>
                  <w:vAlign w:val="center"/>
                </w:tcPr>
                <w:p w14:paraId="25ACC77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t/a</w:t>
                  </w:r>
                </w:p>
              </w:tc>
              <w:tc>
                <w:tcPr>
                  <w:tcW w:w="487" w:type="pct"/>
                  <w:tcBorders>
                    <w:tl2br w:val="nil"/>
                    <w:tr2bl w:val="nil"/>
                  </w:tcBorders>
                  <w:noWrap w:val="0"/>
                  <w:vAlign w:val="center"/>
                </w:tcPr>
                <w:p w14:paraId="1599DB48">
                  <w:pPr>
                    <w:keepNext w:val="0"/>
                    <w:keepLines w:val="0"/>
                    <w:widowControl/>
                    <w:suppressLineNumbers w:val="0"/>
                    <w:spacing w:before="0" w:beforeAutospacing="0" w:after="0" w:afterAutospacing="0"/>
                    <w:ind w:left="0" w:right="0"/>
                    <w:jc w:val="right"/>
                    <w:textAlignment w:val="center"/>
                    <w:rPr>
                      <w:rFonts w:hint="default" w:ascii="Times New Roman" w:hAnsi="Times New Roman" w:cs="Times New Roman" w:eastAsiaTheme="minorEastAsia"/>
                      <w:color w:val="auto"/>
                      <w:spacing w:val="0"/>
                      <w:w w:val="100"/>
                      <w:sz w:val="21"/>
                      <w:szCs w:val="21"/>
                      <w:lang w:val="en-US" w:eastAsia="zh-CN"/>
                    </w:rPr>
                  </w:pPr>
                  <w:r>
                    <w:rPr>
                      <w:rFonts w:hint="default" w:ascii="Times New Roman" w:hAnsi="Times New Roman" w:eastAsia="宋体" w:cs="Times New Roman"/>
                      <w:i w:val="0"/>
                      <w:iCs w:val="0"/>
                      <w:color w:val="000000"/>
                      <w:kern w:val="0"/>
                      <w:sz w:val="22"/>
                      <w:szCs w:val="22"/>
                      <w:u w:val="none"/>
                      <w:lang w:val="en-US" w:eastAsia="zh-CN" w:bidi="ar"/>
                    </w:rPr>
                    <w:t>297.5</w:t>
                  </w:r>
                </w:p>
              </w:tc>
              <w:tc>
                <w:tcPr>
                  <w:tcW w:w="602" w:type="pct"/>
                  <w:tcBorders>
                    <w:tl2br w:val="nil"/>
                    <w:tr2bl w:val="nil"/>
                  </w:tcBorders>
                  <w:noWrap w:val="0"/>
                  <w:vAlign w:val="center"/>
                </w:tcPr>
                <w:p w14:paraId="476B37E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外购</w:t>
                  </w:r>
                </w:p>
              </w:tc>
              <w:tc>
                <w:tcPr>
                  <w:tcW w:w="802" w:type="pct"/>
                  <w:tcBorders>
                    <w:tl2br w:val="nil"/>
                    <w:tr2bl w:val="nil"/>
                  </w:tcBorders>
                  <w:noWrap w:val="0"/>
                  <w:vAlign w:val="center"/>
                </w:tcPr>
                <w:p w14:paraId="08C09DF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20</w:t>
                  </w:r>
                </w:p>
              </w:tc>
              <w:tc>
                <w:tcPr>
                  <w:tcW w:w="781" w:type="pct"/>
                  <w:tcBorders>
                    <w:tl2br w:val="nil"/>
                    <w:tr2bl w:val="nil"/>
                  </w:tcBorders>
                  <w:noWrap w:val="0"/>
                  <w:vAlign w:val="center"/>
                </w:tcPr>
                <w:p w14:paraId="37256B3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lang w:eastAsia="zh-CN"/>
                    </w:rPr>
                    <w:t>粉状、</w:t>
                  </w:r>
                  <w:r>
                    <w:rPr>
                      <w:rFonts w:hint="default" w:ascii="Times New Roman" w:hAnsi="Times New Roman" w:cs="Times New Roman"/>
                      <w:color w:val="auto"/>
                      <w:spacing w:val="0"/>
                      <w:w w:val="100"/>
                      <w:sz w:val="21"/>
                      <w:szCs w:val="21"/>
                    </w:rPr>
                    <w:t>桶装，纯度</w:t>
                  </w:r>
                  <w:r>
                    <w:rPr>
                      <w:rFonts w:hint="default" w:ascii="Times New Roman" w:hAnsi="Times New Roman" w:cs="Times New Roman"/>
                      <w:color w:val="auto"/>
                      <w:spacing w:val="0"/>
                      <w:w w:val="100"/>
                      <w:sz w:val="21"/>
                      <w:szCs w:val="21"/>
                      <w:lang w:val="en-US" w:eastAsia="zh-CN"/>
                    </w:rPr>
                    <w:t>20</w:t>
                  </w:r>
                  <w:r>
                    <w:rPr>
                      <w:rFonts w:hint="default" w:ascii="Times New Roman" w:hAnsi="Times New Roman" w:cs="Times New Roman"/>
                      <w:color w:val="auto"/>
                      <w:spacing w:val="0"/>
                      <w:w w:val="100"/>
                      <w:sz w:val="21"/>
                      <w:szCs w:val="21"/>
                    </w:rPr>
                    <w:t>%</w:t>
                  </w:r>
                </w:p>
              </w:tc>
              <w:tc>
                <w:tcPr>
                  <w:tcW w:w="631" w:type="pct"/>
                  <w:tcBorders>
                    <w:tl2br w:val="nil"/>
                    <w:tr2bl w:val="nil"/>
                  </w:tcBorders>
                  <w:noWrap w:val="0"/>
                  <w:vAlign w:val="center"/>
                </w:tcPr>
                <w:p w14:paraId="0BB4AFC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提供反硝化碳源</w:t>
                  </w:r>
                </w:p>
              </w:tc>
            </w:tr>
            <w:tr w14:paraId="24375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368" w:type="pct"/>
                  <w:tcBorders>
                    <w:tl2br w:val="nil"/>
                    <w:tr2bl w:val="nil"/>
                  </w:tcBorders>
                  <w:noWrap w:val="0"/>
                  <w:vAlign w:val="center"/>
                </w:tcPr>
                <w:p w14:paraId="4F64BD5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2</w:t>
                  </w:r>
                </w:p>
              </w:tc>
              <w:tc>
                <w:tcPr>
                  <w:tcW w:w="634" w:type="pct"/>
                  <w:tcBorders>
                    <w:tl2br w:val="nil"/>
                    <w:tr2bl w:val="nil"/>
                  </w:tcBorders>
                  <w:noWrap w:val="0"/>
                  <w:vAlign w:val="center"/>
                </w:tcPr>
                <w:p w14:paraId="06C91CB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PAM</w:t>
                  </w:r>
                </w:p>
              </w:tc>
              <w:tc>
                <w:tcPr>
                  <w:tcW w:w="692" w:type="pct"/>
                  <w:tcBorders>
                    <w:tl2br w:val="nil"/>
                    <w:tr2bl w:val="nil"/>
                  </w:tcBorders>
                  <w:noWrap w:val="0"/>
                  <w:vAlign w:val="center"/>
                </w:tcPr>
                <w:p w14:paraId="22C86A4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t/a</w:t>
                  </w:r>
                </w:p>
              </w:tc>
              <w:tc>
                <w:tcPr>
                  <w:tcW w:w="487" w:type="pct"/>
                  <w:tcBorders>
                    <w:tl2br w:val="nil"/>
                    <w:tr2bl w:val="nil"/>
                  </w:tcBorders>
                  <w:noWrap w:val="0"/>
                  <w:vAlign w:val="center"/>
                </w:tcPr>
                <w:p w14:paraId="58218B85">
                  <w:pPr>
                    <w:keepNext w:val="0"/>
                    <w:keepLines w:val="0"/>
                    <w:widowControl/>
                    <w:suppressLineNumbers w:val="0"/>
                    <w:spacing w:before="0" w:beforeAutospacing="0" w:after="0" w:afterAutospacing="0"/>
                    <w:ind w:left="0" w:right="0"/>
                    <w:jc w:val="right"/>
                    <w:textAlignment w:val="center"/>
                    <w:rPr>
                      <w:rFonts w:hint="default" w:ascii="Times New Roman" w:hAnsi="Times New Roman" w:cs="Times New Roman" w:eastAsiaTheme="minorEastAsia"/>
                      <w:color w:val="auto"/>
                      <w:spacing w:val="0"/>
                      <w:w w:val="100"/>
                      <w:sz w:val="21"/>
                      <w:szCs w:val="21"/>
                      <w:lang w:val="en-US" w:eastAsia="zh-CN"/>
                    </w:rPr>
                  </w:pPr>
                  <w:r>
                    <w:rPr>
                      <w:rFonts w:hint="default" w:ascii="Times New Roman" w:hAnsi="Times New Roman" w:eastAsia="宋体" w:cs="Times New Roman"/>
                      <w:i w:val="0"/>
                      <w:iCs w:val="0"/>
                      <w:color w:val="000000"/>
                      <w:kern w:val="0"/>
                      <w:sz w:val="22"/>
                      <w:szCs w:val="22"/>
                      <w:u w:val="none"/>
                      <w:lang w:val="en-US" w:eastAsia="zh-CN" w:bidi="ar"/>
                    </w:rPr>
                    <w:t>7.3</w:t>
                  </w:r>
                </w:p>
              </w:tc>
              <w:tc>
                <w:tcPr>
                  <w:tcW w:w="602" w:type="pct"/>
                  <w:tcBorders>
                    <w:tl2br w:val="nil"/>
                    <w:tr2bl w:val="nil"/>
                  </w:tcBorders>
                  <w:noWrap w:val="0"/>
                  <w:vAlign w:val="center"/>
                </w:tcPr>
                <w:p w14:paraId="0311C73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外购</w:t>
                  </w:r>
                </w:p>
              </w:tc>
              <w:tc>
                <w:tcPr>
                  <w:tcW w:w="802" w:type="pct"/>
                  <w:tcBorders>
                    <w:tl2br w:val="nil"/>
                    <w:tr2bl w:val="nil"/>
                  </w:tcBorders>
                  <w:noWrap w:val="0"/>
                  <w:vAlign w:val="center"/>
                </w:tcPr>
                <w:p w14:paraId="4BE6BF2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3</w:t>
                  </w:r>
                </w:p>
              </w:tc>
              <w:tc>
                <w:tcPr>
                  <w:tcW w:w="781" w:type="pct"/>
                  <w:tcBorders>
                    <w:tl2br w:val="nil"/>
                    <w:tr2bl w:val="nil"/>
                  </w:tcBorders>
                  <w:noWrap w:val="0"/>
                  <w:vAlign w:val="center"/>
                </w:tcPr>
                <w:p w14:paraId="1FA3308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lang w:eastAsia="zh-CN"/>
                    </w:rPr>
                    <w:t>粉状、袋装</w:t>
                  </w:r>
                </w:p>
              </w:tc>
              <w:tc>
                <w:tcPr>
                  <w:tcW w:w="631" w:type="pct"/>
                  <w:tcBorders>
                    <w:tl2br w:val="nil"/>
                    <w:tr2bl w:val="nil"/>
                  </w:tcBorders>
                  <w:noWrap w:val="0"/>
                  <w:vAlign w:val="center"/>
                </w:tcPr>
                <w:p w14:paraId="2B69F4E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eastAsia="zh-CN"/>
                    </w:rPr>
                  </w:pPr>
                  <w:r>
                    <w:rPr>
                      <w:rFonts w:hint="default" w:ascii="Times New Roman" w:hAnsi="Times New Roman" w:cs="Times New Roman"/>
                      <w:color w:val="auto"/>
                      <w:spacing w:val="0"/>
                      <w:w w:val="100"/>
                      <w:sz w:val="21"/>
                      <w:szCs w:val="21"/>
                      <w:lang w:eastAsia="zh-CN"/>
                    </w:rPr>
                    <w:t>絮凝剂</w:t>
                  </w:r>
                </w:p>
              </w:tc>
            </w:tr>
            <w:tr w14:paraId="3929E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368" w:type="pct"/>
                  <w:tcBorders>
                    <w:tl2br w:val="nil"/>
                    <w:tr2bl w:val="nil"/>
                  </w:tcBorders>
                  <w:noWrap w:val="0"/>
                  <w:vAlign w:val="center"/>
                </w:tcPr>
                <w:p w14:paraId="7BEC1A8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3</w:t>
                  </w:r>
                </w:p>
              </w:tc>
              <w:tc>
                <w:tcPr>
                  <w:tcW w:w="634" w:type="pct"/>
                  <w:tcBorders>
                    <w:tl2br w:val="nil"/>
                    <w:tr2bl w:val="nil"/>
                  </w:tcBorders>
                  <w:noWrap w:val="0"/>
                  <w:vAlign w:val="center"/>
                </w:tcPr>
                <w:p w14:paraId="3AA9F3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PAC</w:t>
                  </w:r>
                </w:p>
              </w:tc>
              <w:tc>
                <w:tcPr>
                  <w:tcW w:w="692" w:type="pct"/>
                  <w:tcBorders>
                    <w:tl2br w:val="nil"/>
                    <w:tr2bl w:val="nil"/>
                  </w:tcBorders>
                  <w:noWrap w:val="0"/>
                  <w:vAlign w:val="center"/>
                </w:tcPr>
                <w:p w14:paraId="697DAAC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t/a</w:t>
                  </w:r>
                </w:p>
              </w:tc>
              <w:tc>
                <w:tcPr>
                  <w:tcW w:w="487" w:type="pct"/>
                  <w:tcBorders>
                    <w:tl2br w:val="nil"/>
                    <w:tr2bl w:val="nil"/>
                  </w:tcBorders>
                  <w:noWrap w:val="0"/>
                  <w:vAlign w:val="center"/>
                </w:tcPr>
                <w:p w14:paraId="097B4376">
                  <w:pPr>
                    <w:keepNext w:val="0"/>
                    <w:keepLines w:val="0"/>
                    <w:widowControl/>
                    <w:suppressLineNumbers w:val="0"/>
                    <w:spacing w:before="0" w:beforeAutospacing="0" w:after="0" w:afterAutospacing="0"/>
                    <w:ind w:left="0" w:right="0"/>
                    <w:jc w:val="right"/>
                    <w:textAlignment w:val="center"/>
                    <w:rPr>
                      <w:rFonts w:hint="default" w:ascii="Times New Roman" w:hAnsi="Times New Roman" w:cs="Times New Roman" w:eastAsiaTheme="minorEastAsia"/>
                      <w:color w:val="auto"/>
                      <w:spacing w:val="0"/>
                      <w:w w:val="100"/>
                      <w:sz w:val="21"/>
                      <w:szCs w:val="21"/>
                      <w:lang w:val="en-US" w:eastAsia="zh-CN"/>
                    </w:rPr>
                  </w:pPr>
                  <w:r>
                    <w:rPr>
                      <w:rFonts w:hint="default" w:ascii="Times New Roman" w:hAnsi="Times New Roman" w:eastAsia="宋体" w:cs="Times New Roman"/>
                      <w:i w:val="0"/>
                      <w:iCs w:val="0"/>
                      <w:color w:val="000000"/>
                      <w:kern w:val="0"/>
                      <w:sz w:val="22"/>
                      <w:szCs w:val="22"/>
                      <w:u w:val="none"/>
                      <w:lang w:val="en-US" w:eastAsia="zh-CN" w:bidi="ar"/>
                    </w:rPr>
                    <w:t>27.35</w:t>
                  </w:r>
                </w:p>
              </w:tc>
              <w:tc>
                <w:tcPr>
                  <w:tcW w:w="602" w:type="pct"/>
                  <w:tcBorders>
                    <w:tl2br w:val="nil"/>
                    <w:tr2bl w:val="nil"/>
                  </w:tcBorders>
                  <w:noWrap w:val="0"/>
                  <w:vAlign w:val="center"/>
                </w:tcPr>
                <w:p w14:paraId="4A798D8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外购</w:t>
                  </w:r>
                </w:p>
              </w:tc>
              <w:tc>
                <w:tcPr>
                  <w:tcW w:w="802" w:type="pct"/>
                  <w:tcBorders>
                    <w:tl2br w:val="nil"/>
                    <w:tr2bl w:val="nil"/>
                  </w:tcBorders>
                  <w:noWrap w:val="0"/>
                  <w:vAlign w:val="center"/>
                </w:tcPr>
                <w:p w14:paraId="0718160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5</w:t>
                  </w:r>
                </w:p>
              </w:tc>
              <w:tc>
                <w:tcPr>
                  <w:tcW w:w="781" w:type="pct"/>
                  <w:tcBorders>
                    <w:tl2br w:val="nil"/>
                    <w:tr2bl w:val="nil"/>
                  </w:tcBorders>
                  <w:noWrap w:val="0"/>
                  <w:vAlign w:val="center"/>
                </w:tcPr>
                <w:p w14:paraId="797919C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lang w:eastAsia="zh-CN"/>
                    </w:rPr>
                    <w:t>粉状、袋装</w:t>
                  </w:r>
                </w:p>
              </w:tc>
              <w:tc>
                <w:tcPr>
                  <w:tcW w:w="631" w:type="pct"/>
                  <w:tcBorders>
                    <w:tl2br w:val="nil"/>
                    <w:tr2bl w:val="nil"/>
                  </w:tcBorders>
                  <w:noWrap w:val="0"/>
                  <w:vAlign w:val="center"/>
                </w:tcPr>
                <w:p w14:paraId="1ACA732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除磷药剂</w:t>
                  </w:r>
                </w:p>
              </w:tc>
            </w:tr>
            <w:tr w14:paraId="4ACE1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368" w:type="pct"/>
                  <w:tcBorders>
                    <w:tl2br w:val="nil"/>
                    <w:tr2bl w:val="nil"/>
                  </w:tcBorders>
                  <w:noWrap w:val="0"/>
                  <w:vAlign w:val="center"/>
                </w:tcPr>
                <w:p w14:paraId="29EF5E9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4</w:t>
                  </w:r>
                </w:p>
              </w:tc>
              <w:tc>
                <w:tcPr>
                  <w:tcW w:w="634" w:type="pct"/>
                  <w:tcBorders>
                    <w:tl2br w:val="nil"/>
                    <w:tr2bl w:val="nil"/>
                  </w:tcBorders>
                  <w:noWrap w:val="0"/>
                  <w:vAlign w:val="center"/>
                </w:tcPr>
                <w:p w14:paraId="59D4A67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eastAsia="zh-CN"/>
                    </w:rPr>
                  </w:pPr>
                  <w:r>
                    <w:rPr>
                      <w:rFonts w:hint="default" w:ascii="Times New Roman" w:hAnsi="Times New Roman" w:cs="Times New Roman"/>
                      <w:color w:val="auto"/>
                      <w:spacing w:val="0"/>
                      <w:w w:val="100"/>
                      <w:sz w:val="21"/>
                      <w:szCs w:val="21"/>
                      <w:lang w:eastAsia="zh-CN"/>
                    </w:rPr>
                    <w:t>次氯酸钠</w:t>
                  </w:r>
                </w:p>
              </w:tc>
              <w:tc>
                <w:tcPr>
                  <w:tcW w:w="692" w:type="pct"/>
                  <w:tcBorders>
                    <w:tl2br w:val="nil"/>
                    <w:tr2bl w:val="nil"/>
                  </w:tcBorders>
                  <w:noWrap w:val="0"/>
                  <w:vAlign w:val="center"/>
                </w:tcPr>
                <w:p w14:paraId="40E7BEA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t/a</w:t>
                  </w:r>
                </w:p>
              </w:tc>
              <w:tc>
                <w:tcPr>
                  <w:tcW w:w="487" w:type="pct"/>
                  <w:tcBorders>
                    <w:tl2br w:val="nil"/>
                    <w:tr2bl w:val="nil"/>
                  </w:tcBorders>
                  <w:noWrap w:val="0"/>
                  <w:vAlign w:val="center"/>
                </w:tcPr>
                <w:p w14:paraId="4F9D718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8.26</w:t>
                  </w:r>
                </w:p>
              </w:tc>
              <w:tc>
                <w:tcPr>
                  <w:tcW w:w="602" w:type="pct"/>
                  <w:tcBorders>
                    <w:tl2br w:val="nil"/>
                    <w:tr2bl w:val="nil"/>
                  </w:tcBorders>
                  <w:noWrap w:val="0"/>
                  <w:vAlign w:val="center"/>
                </w:tcPr>
                <w:p w14:paraId="1B658E1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外购</w:t>
                  </w:r>
                </w:p>
              </w:tc>
              <w:tc>
                <w:tcPr>
                  <w:tcW w:w="802" w:type="pct"/>
                  <w:tcBorders>
                    <w:tl2br w:val="nil"/>
                    <w:tr2bl w:val="nil"/>
                  </w:tcBorders>
                  <w:noWrap w:val="0"/>
                  <w:vAlign w:val="center"/>
                </w:tcPr>
                <w:p w14:paraId="7D3717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2</w:t>
                  </w:r>
                </w:p>
              </w:tc>
              <w:tc>
                <w:tcPr>
                  <w:tcW w:w="781" w:type="pct"/>
                  <w:tcBorders>
                    <w:tl2br w:val="nil"/>
                    <w:tr2bl w:val="nil"/>
                  </w:tcBorders>
                  <w:noWrap w:val="0"/>
                  <w:vAlign w:val="center"/>
                </w:tcPr>
                <w:p w14:paraId="3AED77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eastAsia="zh-CN"/>
                    </w:rPr>
                  </w:pPr>
                  <w:r>
                    <w:rPr>
                      <w:rFonts w:hint="default" w:ascii="Times New Roman" w:hAnsi="Times New Roman" w:cs="Times New Roman"/>
                      <w:color w:val="auto"/>
                      <w:spacing w:val="0"/>
                      <w:w w:val="100"/>
                      <w:sz w:val="21"/>
                      <w:szCs w:val="21"/>
                      <w:lang w:eastAsia="zh-CN"/>
                    </w:rPr>
                    <w:t>粉状、袋装</w:t>
                  </w:r>
                </w:p>
              </w:tc>
              <w:tc>
                <w:tcPr>
                  <w:tcW w:w="631" w:type="pct"/>
                  <w:tcBorders>
                    <w:tl2br w:val="nil"/>
                    <w:tr2bl w:val="nil"/>
                  </w:tcBorders>
                  <w:noWrap w:val="0"/>
                  <w:vAlign w:val="center"/>
                </w:tcPr>
                <w:p w14:paraId="230F5CE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消毒剂</w:t>
                  </w:r>
                </w:p>
              </w:tc>
            </w:tr>
            <w:tr w14:paraId="1B547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368" w:type="pct"/>
                  <w:tcBorders>
                    <w:tl2br w:val="nil"/>
                    <w:tr2bl w:val="nil"/>
                  </w:tcBorders>
                  <w:noWrap w:val="0"/>
                  <w:vAlign w:val="center"/>
                </w:tcPr>
                <w:p w14:paraId="202876E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5</w:t>
                  </w:r>
                </w:p>
              </w:tc>
              <w:tc>
                <w:tcPr>
                  <w:tcW w:w="634" w:type="pct"/>
                  <w:tcBorders>
                    <w:tl2br w:val="nil"/>
                    <w:tr2bl w:val="nil"/>
                  </w:tcBorders>
                  <w:noWrap w:val="0"/>
                  <w:vAlign w:val="center"/>
                </w:tcPr>
                <w:p w14:paraId="1C86D2B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eastAsia="zh-CN"/>
                    </w:rPr>
                  </w:pPr>
                  <w:r>
                    <w:rPr>
                      <w:rFonts w:hint="default" w:ascii="Times New Roman" w:hAnsi="Times New Roman" w:cs="Times New Roman"/>
                      <w:bCs/>
                      <w:color w:val="auto"/>
                      <w:spacing w:val="0"/>
                      <w:w w:val="100"/>
                      <w:lang w:eastAsia="zh-CN"/>
                    </w:rPr>
                    <w:t>三</w:t>
                  </w:r>
                  <w:r>
                    <w:rPr>
                      <w:rFonts w:hint="default" w:ascii="Times New Roman" w:hAnsi="Times New Roman" w:cs="Times New Roman"/>
                      <w:bCs/>
                      <w:color w:val="auto"/>
                      <w:spacing w:val="0"/>
                      <w:w w:val="100"/>
                    </w:rPr>
                    <w:t>氯化铁</w:t>
                  </w:r>
                </w:p>
              </w:tc>
              <w:tc>
                <w:tcPr>
                  <w:tcW w:w="692" w:type="pct"/>
                  <w:tcBorders>
                    <w:tl2br w:val="nil"/>
                    <w:tr2bl w:val="nil"/>
                  </w:tcBorders>
                  <w:noWrap w:val="0"/>
                  <w:vAlign w:val="center"/>
                </w:tcPr>
                <w:p w14:paraId="51380AF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t/a</w:t>
                  </w:r>
                </w:p>
              </w:tc>
              <w:tc>
                <w:tcPr>
                  <w:tcW w:w="487" w:type="pct"/>
                  <w:tcBorders>
                    <w:tl2br w:val="nil"/>
                    <w:tr2bl w:val="nil"/>
                  </w:tcBorders>
                  <w:noWrap w:val="0"/>
                  <w:vAlign w:val="center"/>
                </w:tcPr>
                <w:p w14:paraId="02C2627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13.7</w:t>
                  </w:r>
                </w:p>
              </w:tc>
              <w:tc>
                <w:tcPr>
                  <w:tcW w:w="602" w:type="pct"/>
                  <w:tcBorders>
                    <w:tl2br w:val="nil"/>
                    <w:tr2bl w:val="nil"/>
                  </w:tcBorders>
                  <w:noWrap w:val="0"/>
                  <w:vAlign w:val="center"/>
                </w:tcPr>
                <w:p w14:paraId="1390A9B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外购</w:t>
                  </w:r>
                </w:p>
              </w:tc>
              <w:tc>
                <w:tcPr>
                  <w:tcW w:w="802" w:type="pct"/>
                  <w:tcBorders>
                    <w:tl2br w:val="nil"/>
                    <w:tr2bl w:val="nil"/>
                  </w:tcBorders>
                  <w:noWrap w:val="0"/>
                  <w:vAlign w:val="center"/>
                </w:tcPr>
                <w:p w14:paraId="5452F89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3</w:t>
                  </w:r>
                </w:p>
              </w:tc>
              <w:tc>
                <w:tcPr>
                  <w:tcW w:w="781" w:type="pct"/>
                  <w:tcBorders>
                    <w:tl2br w:val="nil"/>
                    <w:tr2bl w:val="nil"/>
                  </w:tcBorders>
                  <w:noWrap w:val="0"/>
                  <w:vAlign w:val="center"/>
                </w:tcPr>
                <w:p w14:paraId="2C3BBAD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eastAsia="zh-CN"/>
                    </w:rPr>
                  </w:pPr>
                  <w:r>
                    <w:rPr>
                      <w:rFonts w:hint="default" w:ascii="Times New Roman" w:hAnsi="Times New Roman" w:cs="Times New Roman"/>
                      <w:color w:val="auto"/>
                      <w:spacing w:val="0"/>
                      <w:w w:val="100"/>
                      <w:sz w:val="21"/>
                      <w:szCs w:val="21"/>
                      <w:lang w:eastAsia="zh-CN"/>
                    </w:rPr>
                    <w:t>颗粒状、袋装</w:t>
                  </w:r>
                </w:p>
              </w:tc>
              <w:tc>
                <w:tcPr>
                  <w:tcW w:w="631" w:type="pct"/>
                  <w:tcBorders>
                    <w:tl2br w:val="nil"/>
                    <w:tr2bl w:val="nil"/>
                  </w:tcBorders>
                  <w:noWrap w:val="0"/>
                  <w:vAlign w:val="center"/>
                </w:tcPr>
                <w:p w14:paraId="5B5F0AD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污泥调质剂</w:t>
                  </w:r>
                </w:p>
              </w:tc>
            </w:tr>
            <w:tr w14:paraId="61DF2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68" w:type="pct"/>
                  <w:tcBorders>
                    <w:tl2br w:val="nil"/>
                    <w:tr2bl w:val="nil"/>
                  </w:tcBorders>
                  <w:noWrap w:val="0"/>
                  <w:vAlign w:val="center"/>
                </w:tcPr>
                <w:p w14:paraId="2170FAA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lang w:val="en-US" w:eastAsia="zh-CN"/>
                    </w:rPr>
                    <w:t>6</w:t>
                  </w:r>
                </w:p>
              </w:tc>
              <w:tc>
                <w:tcPr>
                  <w:tcW w:w="634" w:type="pct"/>
                  <w:tcBorders>
                    <w:tl2br w:val="nil"/>
                    <w:tr2bl w:val="nil"/>
                  </w:tcBorders>
                  <w:noWrap w:val="0"/>
                  <w:vAlign w:val="center"/>
                </w:tcPr>
                <w:p w14:paraId="0B23735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eastAsia="zh-CN"/>
                    </w:rPr>
                  </w:pPr>
                  <w:r>
                    <w:rPr>
                      <w:rFonts w:hint="default" w:ascii="Times New Roman" w:hAnsi="Times New Roman" w:cs="Times New Roman"/>
                      <w:color w:val="auto"/>
                      <w:spacing w:val="0"/>
                      <w:w w:val="100"/>
                      <w:sz w:val="21"/>
                      <w:szCs w:val="21"/>
                      <w:lang w:eastAsia="zh-CN"/>
                    </w:rPr>
                    <w:t>柴油</w:t>
                  </w:r>
                </w:p>
              </w:tc>
              <w:tc>
                <w:tcPr>
                  <w:tcW w:w="692" w:type="pct"/>
                  <w:tcBorders>
                    <w:tl2br w:val="nil"/>
                    <w:tr2bl w:val="nil"/>
                  </w:tcBorders>
                  <w:noWrap w:val="0"/>
                  <w:vAlign w:val="center"/>
                </w:tcPr>
                <w:p w14:paraId="1807511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t/a</w:t>
                  </w:r>
                </w:p>
              </w:tc>
              <w:tc>
                <w:tcPr>
                  <w:tcW w:w="487" w:type="pct"/>
                  <w:tcBorders>
                    <w:tl2br w:val="nil"/>
                    <w:tr2bl w:val="nil"/>
                  </w:tcBorders>
                  <w:noWrap w:val="0"/>
                  <w:vAlign w:val="center"/>
                </w:tcPr>
                <w:p w14:paraId="55F340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0.0525</w:t>
                  </w:r>
                </w:p>
              </w:tc>
              <w:tc>
                <w:tcPr>
                  <w:tcW w:w="602" w:type="pct"/>
                  <w:tcBorders>
                    <w:tl2br w:val="nil"/>
                    <w:tr2bl w:val="nil"/>
                  </w:tcBorders>
                  <w:noWrap w:val="0"/>
                  <w:vAlign w:val="center"/>
                </w:tcPr>
                <w:p w14:paraId="7BB5FC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外购</w:t>
                  </w:r>
                </w:p>
              </w:tc>
              <w:tc>
                <w:tcPr>
                  <w:tcW w:w="802" w:type="pct"/>
                  <w:tcBorders>
                    <w:tl2br w:val="nil"/>
                    <w:tr2bl w:val="nil"/>
                  </w:tcBorders>
                  <w:noWrap w:val="0"/>
                  <w:vAlign w:val="center"/>
                </w:tcPr>
                <w:p w14:paraId="465AF8A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eastAsia="zh-CN"/>
                    </w:rPr>
                    <w:t>52.5公斤（kg）=65.6升（L）</w:t>
                  </w:r>
                </w:p>
              </w:tc>
              <w:tc>
                <w:tcPr>
                  <w:tcW w:w="781" w:type="pct"/>
                  <w:tcBorders>
                    <w:tl2br w:val="nil"/>
                    <w:tr2bl w:val="nil"/>
                  </w:tcBorders>
                  <w:noWrap w:val="0"/>
                  <w:vAlign w:val="center"/>
                </w:tcPr>
                <w:p w14:paraId="40434FC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eastAsia="zh-CN"/>
                    </w:rPr>
                  </w:pPr>
                  <w:r>
                    <w:rPr>
                      <w:rFonts w:hint="default" w:ascii="Times New Roman" w:hAnsi="Times New Roman" w:cs="Times New Roman"/>
                      <w:color w:val="auto"/>
                      <w:spacing w:val="0"/>
                      <w:w w:val="100"/>
                      <w:sz w:val="21"/>
                      <w:szCs w:val="21"/>
                      <w:lang w:eastAsia="zh-CN"/>
                    </w:rPr>
                    <w:t>液态、桶装</w:t>
                  </w:r>
                </w:p>
              </w:tc>
              <w:tc>
                <w:tcPr>
                  <w:tcW w:w="631" w:type="pct"/>
                  <w:tcBorders>
                    <w:tl2br w:val="nil"/>
                    <w:tr2bl w:val="nil"/>
                  </w:tcBorders>
                  <w:noWrap w:val="0"/>
                  <w:vAlign w:val="center"/>
                </w:tcPr>
                <w:p w14:paraId="30F9D82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备用发电机</w:t>
                  </w:r>
                </w:p>
              </w:tc>
            </w:tr>
            <w:tr w14:paraId="6A38D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368" w:type="pct"/>
                  <w:tcBorders>
                    <w:tl2br w:val="nil"/>
                    <w:tr2bl w:val="nil"/>
                  </w:tcBorders>
                  <w:noWrap w:val="0"/>
                  <w:vAlign w:val="center"/>
                </w:tcPr>
                <w:p w14:paraId="0725910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7</w:t>
                  </w:r>
                </w:p>
              </w:tc>
              <w:tc>
                <w:tcPr>
                  <w:tcW w:w="634" w:type="pct"/>
                  <w:tcBorders>
                    <w:tl2br w:val="nil"/>
                    <w:tr2bl w:val="nil"/>
                  </w:tcBorders>
                  <w:noWrap w:val="0"/>
                  <w:vAlign w:val="center"/>
                </w:tcPr>
                <w:p w14:paraId="7FC68FC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电</w:t>
                  </w:r>
                </w:p>
              </w:tc>
              <w:tc>
                <w:tcPr>
                  <w:tcW w:w="692" w:type="pct"/>
                  <w:tcBorders>
                    <w:tl2br w:val="nil"/>
                    <w:tr2bl w:val="nil"/>
                  </w:tcBorders>
                  <w:noWrap w:val="0"/>
                  <w:vAlign w:val="center"/>
                </w:tcPr>
                <w:p w14:paraId="06917D3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万kW·h/a</w:t>
                  </w:r>
                </w:p>
              </w:tc>
              <w:tc>
                <w:tcPr>
                  <w:tcW w:w="487" w:type="pct"/>
                  <w:tcBorders>
                    <w:tl2br w:val="nil"/>
                    <w:tr2bl w:val="nil"/>
                  </w:tcBorders>
                  <w:noWrap w:val="0"/>
                  <w:vAlign w:val="center"/>
                </w:tcPr>
                <w:p w14:paraId="63055E6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330.41</w:t>
                  </w:r>
                </w:p>
              </w:tc>
              <w:tc>
                <w:tcPr>
                  <w:tcW w:w="602" w:type="pct"/>
                  <w:tcBorders>
                    <w:tl2br w:val="nil"/>
                    <w:tr2bl w:val="nil"/>
                  </w:tcBorders>
                  <w:noWrap w:val="0"/>
                  <w:vAlign w:val="center"/>
                </w:tcPr>
                <w:p w14:paraId="6CE482B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市政电网</w:t>
                  </w:r>
                </w:p>
              </w:tc>
              <w:tc>
                <w:tcPr>
                  <w:tcW w:w="802" w:type="pct"/>
                  <w:tcBorders>
                    <w:tl2br w:val="nil"/>
                    <w:tr2bl w:val="nil"/>
                  </w:tcBorders>
                  <w:noWrap w:val="0"/>
                  <w:vAlign w:val="center"/>
                </w:tcPr>
                <w:p w14:paraId="27613A0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w:t>
                  </w:r>
                </w:p>
              </w:tc>
              <w:tc>
                <w:tcPr>
                  <w:tcW w:w="781" w:type="pct"/>
                  <w:tcBorders>
                    <w:tl2br w:val="nil"/>
                    <w:tr2bl w:val="nil"/>
                  </w:tcBorders>
                  <w:noWrap w:val="0"/>
                  <w:vAlign w:val="center"/>
                </w:tcPr>
                <w:p w14:paraId="707FCA4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eastAsia="zh-CN"/>
                    </w:rPr>
                  </w:pPr>
                  <w:r>
                    <w:rPr>
                      <w:rFonts w:hint="default" w:ascii="Times New Roman" w:hAnsi="Times New Roman" w:cs="Times New Roman"/>
                      <w:color w:val="auto"/>
                      <w:spacing w:val="0"/>
                      <w:w w:val="100"/>
                      <w:sz w:val="21"/>
                      <w:szCs w:val="21"/>
                      <w:lang w:val="en-US" w:eastAsia="zh-CN"/>
                    </w:rPr>
                    <w:t>园区</w:t>
                  </w:r>
                  <w:r>
                    <w:rPr>
                      <w:rFonts w:hint="default" w:ascii="Times New Roman" w:hAnsi="Times New Roman" w:cs="Times New Roman"/>
                      <w:color w:val="auto"/>
                      <w:spacing w:val="0"/>
                      <w:w w:val="100"/>
                      <w:sz w:val="21"/>
                      <w:szCs w:val="21"/>
                      <w:lang w:eastAsia="zh-CN"/>
                    </w:rPr>
                    <w:t>供电</w:t>
                  </w:r>
                </w:p>
              </w:tc>
              <w:tc>
                <w:tcPr>
                  <w:tcW w:w="631" w:type="pct"/>
                  <w:tcBorders>
                    <w:tl2br w:val="nil"/>
                    <w:tr2bl w:val="nil"/>
                  </w:tcBorders>
                  <w:noWrap w:val="0"/>
                  <w:vAlign w:val="center"/>
                </w:tcPr>
                <w:p w14:paraId="4A52F4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w:t>
                  </w:r>
                </w:p>
              </w:tc>
            </w:tr>
            <w:tr w14:paraId="06A24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368" w:type="pct"/>
                  <w:tcBorders>
                    <w:tl2br w:val="nil"/>
                    <w:tr2bl w:val="nil"/>
                  </w:tcBorders>
                  <w:noWrap w:val="0"/>
                  <w:vAlign w:val="center"/>
                </w:tcPr>
                <w:p w14:paraId="1288E6C7">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8</w:t>
                  </w:r>
                </w:p>
              </w:tc>
              <w:tc>
                <w:tcPr>
                  <w:tcW w:w="634" w:type="pct"/>
                  <w:tcBorders>
                    <w:tl2br w:val="nil"/>
                    <w:tr2bl w:val="nil"/>
                  </w:tcBorders>
                  <w:noWrap w:val="0"/>
                  <w:vAlign w:val="center"/>
                </w:tcPr>
                <w:p w14:paraId="4BADC7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0"/>
                      <w:w w:val="100"/>
                      <w:sz w:val="21"/>
                      <w:szCs w:val="21"/>
                      <w:lang w:eastAsia="zh-CN"/>
                    </w:rPr>
                  </w:pPr>
                  <w:r>
                    <w:rPr>
                      <w:rFonts w:hint="default" w:ascii="Times New Roman" w:hAnsi="Times New Roman" w:cs="Times New Roman"/>
                      <w:color w:val="auto"/>
                      <w:spacing w:val="0"/>
                      <w:w w:val="100"/>
                      <w:sz w:val="21"/>
                      <w:szCs w:val="21"/>
                      <w:lang w:eastAsia="zh-CN"/>
                    </w:rPr>
                    <w:t>水</w:t>
                  </w:r>
                </w:p>
              </w:tc>
              <w:tc>
                <w:tcPr>
                  <w:tcW w:w="692" w:type="pct"/>
                  <w:tcBorders>
                    <w:tl2br w:val="nil"/>
                    <w:tr2bl w:val="nil"/>
                  </w:tcBorders>
                  <w:noWrap w:val="0"/>
                  <w:vAlign w:val="center"/>
                </w:tcPr>
                <w:p w14:paraId="32E7640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t/a</w:t>
                  </w:r>
                </w:p>
              </w:tc>
              <w:tc>
                <w:tcPr>
                  <w:tcW w:w="487" w:type="pct"/>
                  <w:tcBorders>
                    <w:tl2br w:val="nil"/>
                    <w:tr2bl w:val="nil"/>
                  </w:tcBorders>
                  <w:noWrap w:val="0"/>
                  <w:vAlign w:val="center"/>
                </w:tcPr>
                <w:p w14:paraId="7D11F0C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237.25</w:t>
                  </w:r>
                </w:p>
              </w:tc>
              <w:tc>
                <w:tcPr>
                  <w:tcW w:w="602" w:type="pct"/>
                  <w:tcBorders>
                    <w:tl2br w:val="nil"/>
                    <w:tr2bl w:val="nil"/>
                  </w:tcBorders>
                  <w:noWrap w:val="0"/>
                  <w:vAlign w:val="center"/>
                </w:tcPr>
                <w:p w14:paraId="0C76810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0"/>
                      <w:w w:val="100"/>
                      <w:sz w:val="21"/>
                      <w:szCs w:val="21"/>
                      <w:lang w:eastAsia="zh-CN"/>
                    </w:rPr>
                  </w:pPr>
                  <w:r>
                    <w:rPr>
                      <w:rFonts w:hint="default" w:ascii="Times New Roman" w:hAnsi="Times New Roman" w:cs="Times New Roman"/>
                      <w:color w:val="auto"/>
                      <w:spacing w:val="0"/>
                      <w:w w:val="100"/>
                      <w:sz w:val="21"/>
                      <w:szCs w:val="21"/>
                      <w:lang w:eastAsia="zh-CN"/>
                    </w:rPr>
                    <w:t>市政供水</w:t>
                  </w:r>
                </w:p>
              </w:tc>
              <w:tc>
                <w:tcPr>
                  <w:tcW w:w="802" w:type="pct"/>
                  <w:tcBorders>
                    <w:tl2br w:val="nil"/>
                    <w:tr2bl w:val="nil"/>
                  </w:tcBorders>
                  <w:noWrap w:val="0"/>
                  <w:vAlign w:val="center"/>
                </w:tcPr>
                <w:p w14:paraId="6FE0735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w:t>
                  </w:r>
                </w:p>
              </w:tc>
              <w:tc>
                <w:tcPr>
                  <w:tcW w:w="781" w:type="pct"/>
                  <w:tcBorders>
                    <w:tl2br w:val="nil"/>
                    <w:tr2bl w:val="nil"/>
                  </w:tcBorders>
                  <w:noWrap w:val="0"/>
                  <w:vAlign w:val="center"/>
                </w:tcPr>
                <w:p w14:paraId="1F8F520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园区</w:t>
                  </w:r>
                  <w:r>
                    <w:rPr>
                      <w:rFonts w:hint="default" w:ascii="Times New Roman" w:hAnsi="Times New Roman" w:cs="Times New Roman"/>
                      <w:color w:val="auto"/>
                      <w:spacing w:val="0"/>
                      <w:w w:val="100"/>
                      <w:sz w:val="21"/>
                      <w:szCs w:val="21"/>
                      <w:lang w:eastAsia="zh-CN"/>
                    </w:rPr>
                    <w:t>供水</w:t>
                  </w:r>
                </w:p>
              </w:tc>
              <w:tc>
                <w:tcPr>
                  <w:tcW w:w="631" w:type="pct"/>
                  <w:tcBorders>
                    <w:tl2br w:val="nil"/>
                    <w:tr2bl w:val="nil"/>
                  </w:tcBorders>
                  <w:noWrap w:val="0"/>
                  <w:vAlign w:val="center"/>
                </w:tcPr>
                <w:p w14:paraId="41CE978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职工生活用水</w:t>
                  </w:r>
                </w:p>
              </w:tc>
            </w:tr>
          </w:tbl>
          <w:p w14:paraId="08F659F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主要物质理化性质见表</w:t>
            </w:r>
            <w:r>
              <w:rPr>
                <w:rFonts w:hint="default" w:ascii="Times New Roman" w:hAnsi="Times New Roman" w:eastAsia="宋体" w:cs="Times New Roman"/>
                <w:color w:val="auto"/>
                <w:spacing w:val="0"/>
                <w:w w:val="100"/>
                <w:sz w:val="24"/>
                <w:szCs w:val="24"/>
                <w:lang w:val="en-US" w:eastAsia="zh-CN"/>
              </w:rPr>
              <w:t>2-5</w:t>
            </w:r>
            <w:r>
              <w:rPr>
                <w:rFonts w:hint="default" w:ascii="Times New Roman" w:hAnsi="Times New Roman" w:eastAsia="宋体" w:cs="Times New Roman"/>
                <w:color w:val="auto"/>
                <w:spacing w:val="0"/>
                <w:w w:val="100"/>
                <w:sz w:val="24"/>
                <w:szCs w:val="24"/>
              </w:rPr>
              <w:t>。</w:t>
            </w:r>
          </w:p>
          <w:p w14:paraId="0E9D06B3">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表</w:t>
            </w:r>
            <w:r>
              <w:rPr>
                <w:rFonts w:hint="default" w:ascii="Times New Roman" w:hAnsi="Times New Roman" w:eastAsia="宋体" w:cs="Times New Roman"/>
                <w:b/>
                <w:bCs/>
                <w:color w:val="auto"/>
                <w:spacing w:val="0"/>
                <w:w w:val="100"/>
                <w:sz w:val="21"/>
                <w:szCs w:val="21"/>
                <w:lang w:val="en-US" w:eastAsia="zh-CN"/>
              </w:rPr>
              <w:t xml:space="preserve">2-5  </w:t>
            </w:r>
            <w:r>
              <w:rPr>
                <w:rFonts w:hint="default" w:ascii="Times New Roman" w:hAnsi="Times New Roman" w:eastAsia="宋体" w:cs="Times New Roman"/>
                <w:b/>
                <w:bCs/>
                <w:color w:val="auto"/>
                <w:spacing w:val="0"/>
                <w:w w:val="100"/>
                <w:sz w:val="21"/>
                <w:szCs w:val="21"/>
              </w:rPr>
              <w:t>主要物质理化性质</w:t>
            </w:r>
          </w:p>
          <w:tbl>
            <w:tblPr>
              <w:tblStyle w:val="21"/>
              <w:tblW w:w="502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836"/>
              <w:gridCol w:w="6339"/>
              <w:gridCol w:w="991"/>
            </w:tblGrid>
            <w:tr w14:paraId="1F569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326" w:type="pct"/>
                  <w:tcBorders>
                    <w:tl2br w:val="nil"/>
                    <w:tr2bl w:val="nil"/>
                  </w:tcBorders>
                  <w:noWrap w:val="0"/>
                  <w:tcMar>
                    <w:top w:w="0" w:type="dxa"/>
                    <w:left w:w="57" w:type="dxa"/>
                    <w:bottom w:w="0" w:type="dxa"/>
                    <w:right w:w="57" w:type="dxa"/>
                  </w:tcMar>
                  <w:vAlign w:val="center"/>
                </w:tcPr>
                <w:p w14:paraId="153319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序号</w:t>
                  </w:r>
                </w:p>
              </w:tc>
              <w:tc>
                <w:tcPr>
                  <w:tcW w:w="478" w:type="pct"/>
                  <w:tcBorders>
                    <w:tl2br w:val="nil"/>
                    <w:tr2bl w:val="nil"/>
                  </w:tcBorders>
                  <w:noWrap w:val="0"/>
                  <w:tcMar>
                    <w:top w:w="0" w:type="dxa"/>
                    <w:left w:w="57" w:type="dxa"/>
                    <w:bottom w:w="0" w:type="dxa"/>
                    <w:right w:w="57" w:type="dxa"/>
                  </w:tcMar>
                  <w:vAlign w:val="center"/>
                </w:tcPr>
                <w:p w14:paraId="621FF3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名称</w:t>
                  </w:r>
                </w:p>
              </w:tc>
              <w:tc>
                <w:tcPr>
                  <w:tcW w:w="3628" w:type="pct"/>
                  <w:tcBorders>
                    <w:tl2br w:val="nil"/>
                    <w:tr2bl w:val="nil"/>
                  </w:tcBorders>
                  <w:noWrap w:val="0"/>
                  <w:tcMar>
                    <w:top w:w="0" w:type="dxa"/>
                    <w:left w:w="57" w:type="dxa"/>
                    <w:bottom w:w="0" w:type="dxa"/>
                    <w:right w:w="57" w:type="dxa"/>
                  </w:tcMar>
                  <w:vAlign w:val="center"/>
                </w:tcPr>
                <w:p w14:paraId="682A5C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性质与稳定性</w:t>
                  </w:r>
                </w:p>
              </w:tc>
              <w:tc>
                <w:tcPr>
                  <w:tcW w:w="567" w:type="pct"/>
                  <w:tcBorders>
                    <w:tl2br w:val="nil"/>
                    <w:tr2bl w:val="nil"/>
                  </w:tcBorders>
                  <w:noWrap w:val="0"/>
                  <w:tcMar>
                    <w:top w:w="0" w:type="dxa"/>
                    <w:left w:w="57" w:type="dxa"/>
                    <w:bottom w:w="0" w:type="dxa"/>
                    <w:right w:w="57" w:type="dxa"/>
                  </w:tcMar>
                  <w:vAlign w:val="center"/>
                </w:tcPr>
                <w:p w14:paraId="5FC2A6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使用特性</w:t>
                  </w:r>
                </w:p>
              </w:tc>
            </w:tr>
            <w:tr w14:paraId="309BA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326" w:type="pct"/>
                  <w:tcBorders>
                    <w:tl2br w:val="nil"/>
                    <w:tr2bl w:val="nil"/>
                  </w:tcBorders>
                  <w:noWrap w:val="0"/>
                  <w:tcMar>
                    <w:top w:w="0" w:type="dxa"/>
                    <w:left w:w="57" w:type="dxa"/>
                    <w:bottom w:w="0" w:type="dxa"/>
                    <w:right w:w="57" w:type="dxa"/>
                  </w:tcMar>
                  <w:vAlign w:val="center"/>
                </w:tcPr>
                <w:p w14:paraId="1E8B80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1</w:t>
                  </w:r>
                </w:p>
              </w:tc>
              <w:tc>
                <w:tcPr>
                  <w:tcW w:w="478" w:type="pct"/>
                  <w:tcBorders>
                    <w:tl2br w:val="nil"/>
                    <w:tr2bl w:val="nil"/>
                  </w:tcBorders>
                  <w:noWrap w:val="0"/>
                  <w:tcMar>
                    <w:top w:w="0" w:type="dxa"/>
                    <w:left w:w="57" w:type="dxa"/>
                    <w:bottom w:w="0" w:type="dxa"/>
                    <w:right w:w="57" w:type="dxa"/>
                  </w:tcMar>
                  <w:vAlign w:val="center"/>
                </w:tcPr>
                <w:p w14:paraId="753AAB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乙酸钠</w:t>
                  </w:r>
                </w:p>
              </w:tc>
              <w:tc>
                <w:tcPr>
                  <w:tcW w:w="3628" w:type="pct"/>
                  <w:tcBorders>
                    <w:tl2br w:val="nil"/>
                    <w:tr2bl w:val="nil"/>
                  </w:tcBorders>
                  <w:noWrap w:val="0"/>
                  <w:tcMar>
                    <w:top w:w="0" w:type="dxa"/>
                    <w:left w:w="57" w:type="dxa"/>
                    <w:bottom w:w="0" w:type="dxa"/>
                    <w:right w:w="57" w:type="dxa"/>
                  </w:tcMar>
                  <w:vAlign w:val="center"/>
                </w:tcPr>
                <w:p w14:paraId="7F886E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乙酸钠：无色无味的结晶体，在空气中可被风化，可燃。易溶于水，微溶于乙醇，不溶于乙醚。123℃时失去结晶水。但是通常湿法制取的有醋酸的味道。水中发生</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"https://baike.so.com/doc/1558182.html"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水解</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。显碱性。</w:t>
                  </w:r>
                </w:p>
                <w:p w14:paraId="3000E6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0"/>
                      <w:sz w:val="21"/>
                      <w:szCs w:val="21"/>
                      <w:lang w:val="en-US" w:eastAsia="zh-CN" w:bidi="ar"/>
                    </w:rPr>
                    <w:t>1.性状：无色透明结晶或白色颗粒，2. </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"https://baike.so.com/doc/2751462-2903816.html"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相对密度</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：1.45（三水合物）；1.528（无水物）。3.折光率：1.464。4.熔点（℃）：324。5.溶解性：易溶于水，稍溶于乙醇、乙醚。</w:t>
                  </w:r>
                </w:p>
              </w:tc>
              <w:tc>
                <w:tcPr>
                  <w:tcW w:w="567" w:type="pct"/>
                  <w:tcBorders>
                    <w:tl2br w:val="nil"/>
                    <w:tr2bl w:val="nil"/>
                  </w:tcBorders>
                  <w:noWrap w:val="0"/>
                  <w:tcMar>
                    <w:top w:w="0" w:type="dxa"/>
                    <w:left w:w="57" w:type="dxa"/>
                    <w:bottom w:w="0" w:type="dxa"/>
                    <w:right w:w="57" w:type="dxa"/>
                  </w:tcMar>
                  <w:vAlign w:val="center"/>
                </w:tcPr>
                <w:p w14:paraId="49FA97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eastAsia="zh-CN"/>
                    </w:rPr>
                    <w:t>提供反硝化碳源</w:t>
                  </w:r>
                </w:p>
              </w:tc>
            </w:tr>
            <w:tr w14:paraId="42541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tcBorders>
                    <w:tl2br w:val="nil"/>
                    <w:tr2bl w:val="nil"/>
                  </w:tcBorders>
                  <w:noWrap w:val="0"/>
                  <w:tcMar>
                    <w:top w:w="0" w:type="dxa"/>
                    <w:left w:w="57" w:type="dxa"/>
                    <w:bottom w:w="0" w:type="dxa"/>
                    <w:right w:w="57" w:type="dxa"/>
                  </w:tcMar>
                  <w:vAlign w:val="center"/>
                </w:tcPr>
                <w:p w14:paraId="3EE08A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2</w:t>
                  </w:r>
                </w:p>
              </w:tc>
              <w:tc>
                <w:tcPr>
                  <w:tcW w:w="478" w:type="pct"/>
                  <w:tcBorders>
                    <w:tl2br w:val="nil"/>
                    <w:tr2bl w:val="nil"/>
                  </w:tcBorders>
                  <w:noWrap w:val="0"/>
                  <w:tcMar>
                    <w:top w:w="0" w:type="dxa"/>
                    <w:left w:w="57" w:type="dxa"/>
                    <w:bottom w:w="0" w:type="dxa"/>
                    <w:right w:w="57" w:type="dxa"/>
                  </w:tcMar>
                  <w:vAlign w:val="center"/>
                </w:tcPr>
                <w:p w14:paraId="7C2139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cs="Times New Roman"/>
                      <w:b w:val="0"/>
                      <w:bCs w:val="0"/>
                      <w:color w:val="auto"/>
                      <w:spacing w:val="0"/>
                      <w:w w:val="100"/>
                      <w:sz w:val="21"/>
                      <w:szCs w:val="21"/>
                    </w:rPr>
                    <w:t>PAM</w:t>
                  </w:r>
                </w:p>
              </w:tc>
              <w:tc>
                <w:tcPr>
                  <w:tcW w:w="3628" w:type="pct"/>
                  <w:tcBorders>
                    <w:tl2br w:val="nil"/>
                    <w:tr2bl w:val="nil"/>
                  </w:tcBorders>
                  <w:noWrap w:val="0"/>
                  <w:tcMar>
                    <w:top w:w="0" w:type="dxa"/>
                    <w:left w:w="57" w:type="dxa"/>
                    <w:bottom w:w="0" w:type="dxa"/>
                    <w:right w:w="57" w:type="dxa"/>
                  </w:tcMar>
                  <w:vAlign w:val="center"/>
                </w:tcPr>
                <w:p w14:paraId="79770A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聚丙烯酰胺PAM（粉剂）：是一种线状的有机高分子聚合物，同时也是一种高分子水处理絮凝剂</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"https://baike.so.com/doc/409015-433180.html"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产品</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，可以</w:t>
                  </w:r>
                  <w:r>
                    <w:rPr>
                      <w:rFonts w:hint="default" w:ascii="Times New Roman" w:hAnsi="Times New Roman" w:eastAsia="宋体" w:cs="Times New Roman"/>
                      <w:b w:val="0"/>
                      <w:bCs w:val="0"/>
                      <w:color w:val="auto"/>
                      <w:spacing w:val="0"/>
                      <w:w w:val="100"/>
                      <w:sz w:val="21"/>
                      <w:szCs w:val="21"/>
                      <w:lang w:val="en-US" w:eastAsia="zh-CN"/>
                    </w:rPr>
                    <w:t>吸附</w:t>
                  </w:r>
                  <w:r>
                    <w:rPr>
                      <w:rFonts w:hint="default" w:ascii="Times New Roman" w:hAnsi="Times New Roman" w:eastAsia="宋体" w:cs="Times New Roman"/>
                      <w:b w:val="0"/>
                      <w:bCs w:val="0"/>
                      <w:color w:val="auto"/>
                      <w:spacing w:val="0"/>
                      <w:w w:val="100"/>
                      <w:kern w:val="0"/>
                      <w:sz w:val="21"/>
                      <w:szCs w:val="21"/>
                      <w:lang w:val="en-US" w:eastAsia="zh-CN" w:bidi="ar"/>
                    </w:rPr>
                    <w:t>水中的悬浮颗粒，在颗粒之间起连接架桥作用，使细颗粒形成比较大的絮团，并且加快了沉淀的速度。这一过程称之为絮凝，因其良好的絮凝效果PAM作为水处理的絮凝剂并且被广泛用于污水</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"https://baike.so.com/doc/5018612-5244237.html"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处理</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w:t>
                  </w:r>
                </w:p>
              </w:tc>
              <w:tc>
                <w:tcPr>
                  <w:tcW w:w="567" w:type="pct"/>
                  <w:tcBorders>
                    <w:tl2br w:val="nil"/>
                    <w:tr2bl w:val="nil"/>
                  </w:tcBorders>
                  <w:noWrap w:val="0"/>
                  <w:tcMar>
                    <w:top w:w="0" w:type="dxa"/>
                    <w:left w:w="57" w:type="dxa"/>
                    <w:bottom w:w="0" w:type="dxa"/>
                    <w:right w:w="57" w:type="dxa"/>
                  </w:tcMar>
                  <w:vAlign w:val="center"/>
                </w:tcPr>
                <w:p w14:paraId="233AAD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絮凝剂，加快沉淀效果</w:t>
                  </w:r>
                </w:p>
              </w:tc>
            </w:tr>
            <w:tr w14:paraId="241AC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6" w:hRule="atLeast"/>
              </w:trPr>
              <w:tc>
                <w:tcPr>
                  <w:tcW w:w="326" w:type="pct"/>
                  <w:tcBorders>
                    <w:tl2br w:val="nil"/>
                    <w:tr2bl w:val="nil"/>
                  </w:tcBorders>
                  <w:noWrap w:val="0"/>
                  <w:tcMar>
                    <w:top w:w="0" w:type="dxa"/>
                    <w:left w:w="57" w:type="dxa"/>
                    <w:bottom w:w="0" w:type="dxa"/>
                    <w:right w:w="57" w:type="dxa"/>
                  </w:tcMar>
                  <w:vAlign w:val="center"/>
                </w:tcPr>
                <w:p w14:paraId="5C2FB3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3</w:t>
                  </w:r>
                </w:p>
              </w:tc>
              <w:tc>
                <w:tcPr>
                  <w:tcW w:w="478" w:type="pct"/>
                  <w:tcBorders>
                    <w:tl2br w:val="nil"/>
                    <w:tr2bl w:val="nil"/>
                  </w:tcBorders>
                  <w:noWrap w:val="0"/>
                  <w:tcMar>
                    <w:top w:w="0" w:type="dxa"/>
                    <w:left w:w="57" w:type="dxa"/>
                    <w:bottom w:w="0" w:type="dxa"/>
                    <w:right w:w="57" w:type="dxa"/>
                  </w:tcMar>
                  <w:vAlign w:val="center"/>
                </w:tcPr>
                <w:p w14:paraId="2BDFD4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cs="Times New Roman"/>
                      <w:b w:val="0"/>
                      <w:bCs w:val="0"/>
                      <w:color w:val="auto"/>
                      <w:spacing w:val="0"/>
                      <w:w w:val="100"/>
                      <w:sz w:val="21"/>
                      <w:szCs w:val="21"/>
                    </w:rPr>
                    <w:t>PAC</w:t>
                  </w:r>
                </w:p>
              </w:tc>
              <w:tc>
                <w:tcPr>
                  <w:tcW w:w="3628" w:type="pct"/>
                  <w:tcBorders>
                    <w:tl2br w:val="nil"/>
                    <w:tr2bl w:val="nil"/>
                  </w:tcBorders>
                  <w:noWrap w:val="0"/>
                  <w:tcMar>
                    <w:top w:w="0" w:type="dxa"/>
                    <w:left w:w="57" w:type="dxa"/>
                    <w:bottom w:w="0" w:type="dxa"/>
                    <w:right w:w="57" w:type="dxa"/>
                  </w:tcMar>
                  <w:vAlign w:val="center"/>
                </w:tcPr>
                <w:p w14:paraId="1326A5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聚合氯化铝PAC（粉剂）：无色或黄色树脂状固体。是一种净水材料，无机高分子混凝剂，又被简称为聚铝，英文缩写为</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"https://baike.so.com/doc/2090402-2211374.html"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PAC</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，由于氢氧根离子的架桥作用和多价阴离子的聚合作用而生产的分子量较大、电荷较高的无机高分子水处理药剂。</w:t>
                  </w:r>
                </w:p>
              </w:tc>
              <w:tc>
                <w:tcPr>
                  <w:tcW w:w="567" w:type="pct"/>
                  <w:tcBorders>
                    <w:tl2br w:val="nil"/>
                    <w:tr2bl w:val="nil"/>
                  </w:tcBorders>
                  <w:noWrap w:val="0"/>
                  <w:tcMar>
                    <w:top w:w="0" w:type="dxa"/>
                    <w:left w:w="57" w:type="dxa"/>
                    <w:bottom w:w="0" w:type="dxa"/>
                    <w:right w:w="57" w:type="dxa"/>
                  </w:tcMar>
                  <w:vAlign w:val="center"/>
                </w:tcPr>
                <w:p w14:paraId="52E275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kern w:val="0"/>
                      <w:sz w:val="21"/>
                      <w:szCs w:val="21"/>
                      <w:lang w:val="en-US" w:eastAsia="zh-CN" w:bidi="ar"/>
                    </w:rPr>
                    <w:t>混凝剂</w:t>
                  </w:r>
                  <w:r>
                    <w:rPr>
                      <w:rFonts w:hint="default" w:ascii="Times New Roman" w:hAnsi="Times New Roman" w:eastAsia="宋体" w:cs="Times New Roman"/>
                      <w:b w:val="0"/>
                      <w:bCs w:val="0"/>
                      <w:color w:val="auto"/>
                      <w:spacing w:val="0"/>
                      <w:w w:val="100"/>
                      <w:kern w:val="2"/>
                      <w:sz w:val="21"/>
                      <w:szCs w:val="21"/>
                      <w:lang w:val="en-US" w:eastAsia="zh-CN" w:bidi="ar-SA"/>
                    </w:rPr>
                    <w:t>、</w:t>
                  </w:r>
                  <w:r>
                    <w:rPr>
                      <w:rFonts w:hint="default" w:ascii="Times New Roman" w:hAnsi="Times New Roman" w:eastAsia="宋体" w:cs="Times New Roman"/>
                      <w:b w:val="0"/>
                      <w:bCs w:val="0"/>
                      <w:color w:val="auto"/>
                      <w:spacing w:val="0"/>
                      <w:w w:val="100"/>
                      <w:sz w:val="21"/>
                      <w:szCs w:val="21"/>
                      <w:lang w:eastAsia="zh-CN"/>
                    </w:rPr>
                    <w:t>除磷药剂</w:t>
                  </w:r>
                </w:p>
              </w:tc>
            </w:tr>
            <w:tr w14:paraId="6C84D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3" w:hRule="atLeast"/>
              </w:trPr>
              <w:tc>
                <w:tcPr>
                  <w:tcW w:w="326" w:type="pct"/>
                  <w:tcBorders>
                    <w:tl2br w:val="nil"/>
                    <w:tr2bl w:val="nil"/>
                  </w:tcBorders>
                  <w:noWrap w:val="0"/>
                  <w:tcMar>
                    <w:top w:w="0" w:type="dxa"/>
                    <w:left w:w="57" w:type="dxa"/>
                    <w:bottom w:w="0" w:type="dxa"/>
                    <w:right w:w="57" w:type="dxa"/>
                  </w:tcMar>
                  <w:vAlign w:val="center"/>
                </w:tcPr>
                <w:p w14:paraId="4C608C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4</w:t>
                  </w:r>
                </w:p>
              </w:tc>
              <w:tc>
                <w:tcPr>
                  <w:tcW w:w="478" w:type="pct"/>
                  <w:tcBorders>
                    <w:tl2br w:val="nil"/>
                    <w:tr2bl w:val="nil"/>
                  </w:tcBorders>
                  <w:noWrap w:val="0"/>
                  <w:tcMar>
                    <w:top w:w="0" w:type="dxa"/>
                    <w:left w:w="57" w:type="dxa"/>
                    <w:bottom w:w="0" w:type="dxa"/>
                    <w:right w:w="57" w:type="dxa"/>
                  </w:tcMar>
                  <w:vAlign w:val="center"/>
                </w:tcPr>
                <w:p w14:paraId="50CD44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次氯酸钠</w:t>
                  </w:r>
                </w:p>
              </w:tc>
              <w:tc>
                <w:tcPr>
                  <w:tcW w:w="3628" w:type="pct"/>
                  <w:tcBorders>
                    <w:tl2br w:val="nil"/>
                    <w:tr2bl w:val="nil"/>
                  </w:tcBorders>
                  <w:noWrap w:val="0"/>
                  <w:tcMar>
                    <w:top w:w="0" w:type="dxa"/>
                    <w:left w:w="57" w:type="dxa"/>
                    <w:bottom w:w="0" w:type="dxa"/>
                    <w:right w:w="57" w:type="dxa"/>
                  </w:tcMar>
                  <w:vAlign w:val="center"/>
                </w:tcPr>
                <w:p w14:paraId="7D148B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"https://baike.so.com/doc/5051997-5279107.html"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次氯酸</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钠：是钠的</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"https://baike.so.com/doc/5867141-25177845.html"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次氯酸盐</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。次</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"https://baike.so.com/doc/5952327-6165268.html"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氯酸</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钠与二氧化碳反应产生的</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"https://baike.so.com/doc/5051997-5279107.html"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次氯酸</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是</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"https://baike.so.com/doc/5569283-5784470.html"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漂白剂</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的有效成分。</w:t>
                  </w:r>
                </w:p>
                <w:p w14:paraId="421E85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理化性质：化学式：NaClO；危险性类别：</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"https://baike.so.com/doc/7542052-7816145.html"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腐蚀品</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侵入途径：吸入、食入、皮肤接触吸收。健康危害：经常用手接触本品的工人，手掌大量出汗，指甲变薄，毛发脱落。本品有致敏作用。本品放出的氯气有可能引起中毒。环境危害：无明显污染。燃爆危险：本品不燃，</w:t>
                  </w:r>
                  <w:r>
                    <w:rPr>
                      <w:rFonts w:hint="eastAsia" w:ascii="Times New Roman" w:hAnsi="Times New Roman" w:eastAsia="宋体" w:cs="Times New Roman"/>
                      <w:b w:val="0"/>
                      <w:bCs w:val="0"/>
                      <w:color w:val="auto"/>
                      <w:spacing w:val="0"/>
                      <w:w w:val="100"/>
                      <w:kern w:val="0"/>
                      <w:sz w:val="21"/>
                      <w:szCs w:val="21"/>
                      <w:lang w:val="en-US" w:eastAsia="zh-CN" w:bidi="ar"/>
                    </w:rPr>
                    <w:t>具有</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"https://baike.so.com/doc/6094923-6308031.html"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腐蚀性</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，可致人体灼伤，具有致敏性。</w:t>
                  </w:r>
                </w:p>
                <w:p w14:paraId="6CADC1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主要成分：含量：工业级（以</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"https://baike.so.com/doc/1743258-1842928.html"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有效氯</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计）一级13%；二级10%。外观与性状：微黄色（溶液）或白色粉末（固体），有似氯气的气味。酸碱性：强碱弱酸盐；相对密度（水=1）：1.10；</w:t>
                  </w:r>
                </w:p>
                <w:p w14:paraId="721C60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和草酸反应：H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C</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O4+NaClO=NaCl+2CO</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O；</w:t>
                  </w:r>
                </w:p>
                <w:p w14:paraId="6FA56A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和盐酸反应：NaClO+HCl=NaCl+Cl</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O；</w:t>
                  </w:r>
                </w:p>
                <w:p w14:paraId="30B89F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生成</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"https://baike.so.com/doc/5051997-5279107.html"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次氯酸</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：NaClO+CO</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O=NaHCO</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3</w:t>
                  </w:r>
                  <w:r>
                    <w:rPr>
                      <w:rFonts w:hint="default" w:ascii="Times New Roman" w:hAnsi="Times New Roman" w:eastAsia="宋体" w:cs="Times New Roman"/>
                      <w:b w:val="0"/>
                      <w:bCs w:val="0"/>
                      <w:color w:val="auto"/>
                      <w:spacing w:val="0"/>
                      <w:w w:val="100"/>
                      <w:kern w:val="0"/>
                      <w:sz w:val="21"/>
                      <w:szCs w:val="21"/>
                      <w:lang w:val="en-US" w:eastAsia="zh-CN" w:bidi="ar"/>
                    </w:rPr>
                    <w:t>+HClO；</w:t>
                  </w:r>
                </w:p>
                <w:p w14:paraId="518543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稳定性：不稳定，见光分解。禁配物：还原剂、有机物和酸类。避免接触的条件：光照热源。</w:t>
                  </w:r>
                </w:p>
              </w:tc>
              <w:tc>
                <w:tcPr>
                  <w:tcW w:w="567" w:type="pct"/>
                  <w:tcBorders>
                    <w:tl2br w:val="nil"/>
                    <w:tr2bl w:val="nil"/>
                  </w:tcBorders>
                  <w:noWrap w:val="0"/>
                  <w:tcMar>
                    <w:top w:w="0" w:type="dxa"/>
                    <w:left w:w="57" w:type="dxa"/>
                    <w:bottom w:w="0" w:type="dxa"/>
                    <w:right w:w="57" w:type="dxa"/>
                  </w:tcMar>
                  <w:vAlign w:val="center"/>
                </w:tcPr>
                <w:p w14:paraId="18BF31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消毒剂</w:t>
                  </w:r>
                </w:p>
              </w:tc>
            </w:tr>
            <w:tr w14:paraId="04712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tcBorders>
                    <w:tl2br w:val="nil"/>
                    <w:tr2bl w:val="nil"/>
                  </w:tcBorders>
                  <w:noWrap w:val="0"/>
                  <w:tcMar>
                    <w:top w:w="0" w:type="dxa"/>
                    <w:left w:w="57" w:type="dxa"/>
                    <w:bottom w:w="0" w:type="dxa"/>
                    <w:right w:w="57" w:type="dxa"/>
                  </w:tcMar>
                  <w:vAlign w:val="center"/>
                </w:tcPr>
                <w:p w14:paraId="3E1661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5</w:t>
                  </w:r>
                </w:p>
              </w:tc>
              <w:tc>
                <w:tcPr>
                  <w:tcW w:w="478" w:type="pct"/>
                  <w:tcBorders>
                    <w:tl2br w:val="nil"/>
                    <w:tr2bl w:val="nil"/>
                  </w:tcBorders>
                  <w:noWrap w:val="0"/>
                  <w:tcMar>
                    <w:top w:w="0" w:type="dxa"/>
                    <w:left w:w="57" w:type="dxa"/>
                    <w:bottom w:w="0" w:type="dxa"/>
                    <w:right w:w="57" w:type="dxa"/>
                  </w:tcMar>
                  <w:vAlign w:val="center"/>
                </w:tcPr>
                <w:p w14:paraId="192AC1E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cs="Times New Roman"/>
                      <w:bCs/>
                      <w:color w:val="auto"/>
                      <w:spacing w:val="0"/>
                      <w:w w:val="100"/>
                      <w:lang w:eastAsia="zh-CN"/>
                    </w:rPr>
                    <w:t>三</w:t>
                  </w:r>
                  <w:r>
                    <w:rPr>
                      <w:rFonts w:hint="default" w:ascii="Times New Roman" w:hAnsi="Times New Roman" w:cs="Times New Roman"/>
                      <w:bCs/>
                      <w:color w:val="auto"/>
                      <w:spacing w:val="0"/>
                      <w:w w:val="100"/>
                    </w:rPr>
                    <w:t>氯化铁</w:t>
                  </w:r>
                </w:p>
              </w:tc>
              <w:tc>
                <w:tcPr>
                  <w:tcW w:w="3628" w:type="pct"/>
                  <w:tcBorders>
                    <w:tl2br w:val="nil"/>
                    <w:tr2bl w:val="nil"/>
                  </w:tcBorders>
                  <w:noWrap w:val="0"/>
                  <w:tcMar>
                    <w:top w:w="0" w:type="dxa"/>
                    <w:left w:w="57" w:type="dxa"/>
                    <w:bottom w:w="0" w:type="dxa"/>
                    <w:right w:w="57" w:type="dxa"/>
                  </w:tcMar>
                  <w:vAlign w:val="center"/>
                </w:tcPr>
                <w:p w14:paraId="7E453C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氯化铁是一种共价无机化合物，化学式FeCl</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3</w:t>
                  </w:r>
                  <w:r>
                    <w:rPr>
                      <w:rFonts w:hint="default" w:ascii="Times New Roman" w:hAnsi="Times New Roman" w:eastAsia="宋体" w:cs="Times New Roman"/>
                      <w:b w:val="0"/>
                      <w:bCs w:val="0"/>
                      <w:color w:val="auto"/>
                      <w:spacing w:val="0"/>
                      <w:w w:val="100"/>
                      <w:kern w:val="0"/>
                      <w:sz w:val="21"/>
                      <w:szCs w:val="21"/>
                      <w:lang w:val="en-US" w:eastAsia="zh-CN" w:bidi="ar"/>
                    </w:rPr>
                    <w:t>。是一种共价化合物。为黑棕色结晶，也有薄片状，熔点306℃、沸点316℃ ，易溶于水并且有强烈的</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"https://baike.so.com/doc/6728418-6942701.html"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吸水性</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，能吸收空气里的水分而潮解。FeCl</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3</w:t>
                  </w:r>
                  <w:r>
                    <w:rPr>
                      <w:rFonts w:hint="default" w:ascii="Times New Roman" w:hAnsi="Times New Roman" w:eastAsia="宋体" w:cs="Times New Roman"/>
                      <w:b w:val="0"/>
                      <w:bCs w:val="0"/>
                      <w:color w:val="auto"/>
                      <w:spacing w:val="0"/>
                      <w:w w:val="100"/>
                      <w:kern w:val="0"/>
                      <w:sz w:val="21"/>
                      <w:szCs w:val="21"/>
                      <w:lang w:val="en-US" w:eastAsia="zh-CN" w:bidi="ar"/>
                    </w:rPr>
                    <w:t>从水溶液析出时带六个</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"https://baike.so.com/doc/6031438-6244439.html"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结晶水</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为FeCl</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3</w:t>
                  </w:r>
                  <w:r>
                    <w:rPr>
                      <w:rFonts w:hint="default" w:ascii="Times New Roman" w:hAnsi="Times New Roman" w:eastAsia="宋体" w:cs="Times New Roman"/>
                      <w:b w:val="0"/>
                      <w:bCs w:val="0"/>
                      <w:color w:val="auto"/>
                      <w:spacing w:val="0"/>
                      <w:w w:val="100"/>
                      <w:kern w:val="0"/>
                      <w:sz w:val="21"/>
                      <w:szCs w:val="21"/>
                      <w:lang w:val="en-US" w:eastAsia="zh-CN" w:bidi="ar"/>
                    </w:rPr>
                    <w:t>·6H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O，六水合氯化铁是橘黄色的晶体。三氯化铁是一种重要的水处理剂。它的真正特点是它不仅能去除水中杂质因而具有混凝剂的功能，而且兼有助凝剂的絮凝功能，所以具有多功能性。它是一种水溶液，用氯气氧化氯化亚铁而成。其突出特点是质量纯净，铁的含量高。而三价铁混凝剂生成的矾花水合作用弱、机械强度高、不易破碎，即使遭到破碎，也易于重新絮凝，所以滤池出水浊度低，而且自来水中的残余铁含量低，且无毒性。三价铁混凝剂除腐殖质等有机物的性能也比铝混凝剂好。</w:t>
                  </w:r>
                </w:p>
                <w:p w14:paraId="07FD94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物理性质：外观与性状：黑棕色结晶，粉状也略带块状；熔点（℃）：306；相对密度（水=1）：2.90；沸点（℃）：316；相对蒸气密度（空气=1）：5.61；溶解性：易溶于水，不溶于甘油，易溶于甲醇、乙醇、</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"https://baike.so.com/doc/252057-266820.html"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丙酮</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w:t>
                  </w:r>
                  <w:r>
                    <w:rPr>
                      <w:rFonts w:hint="default" w:ascii="Times New Roman" w:hAnsi="Times New Roman" w:eastAsia="宋体" w:cs="Times New Roman"/>
                      <w:b w:val="0"/>
                      <w:bCs w:val="0"/>
                      <w:color w:val="auto"/>
                      <w:spacing w:val="0"/>
                      <w:w w:val="100"/>
                      <w:kern w:val="0"/>
                      <w:sz w:val="21"/>
                      <w:szCs w:val="21"/>
                      <w:lang w:val="en-US" w:eastAsia="zh-CN" w:bidi="ar"/>
                    </w:rPr>
                    <w:fldChar w:fldCharType="begin"/>
                  </w:r>
                  <w:r>
                    <w:rPr>
                      <w:rFonts w:hint="default" w:ascii="Times New Roman" w:hAnsi="Times New Roman" w:eastAsia="宋体" w:cs="Times New Roman"/>
                      <w:b w:val="0"/>
                      <w:bCs w:val="0"/>
                      <w:color w:val="auto"/>
                      <w:spacing w:val="0"/>
                      <w:w w:val="100"/>
                      <w:kern w:val="0"/>
                      <w:sz w:val="21"/>
                      <w:szCs w:val="21"/>
                      <w:lang w:val="en-US" w:eastAsia="zh-CN" w:bidi="ar"/>
                    </w:rPr>
                    <w:instrText xml:space="preserve"> HYPERLINK "https://baike.so.com/doc/1041070-1101158.html" \t "https://baike.so.com/doc/_blank" </w:instrText>
                  </w:r>
                  <w:r>
                    <w:rPr>
                      <w:rFonts w:hint="default" w:ascii="Times New Roman" w:hAnsi="Times New Roman" w:eastAsia="宋体" w:cs="Times New Roman"/>
                      <w:b w:val="0"/>
                      <w:bCs w:val="0"/>
                      <w:color w:val="auto"/>
                      <w:spacing w:val="0"/>
                      <w:w w:val="100"/>
                      <w:kern w:val="0"/>
                      <w:sz w:val="21"/>
                      <w:szCs w:val="21"/>
                      <w:lang w:val="en-US" w:eastAsia="zh-CN" w:bidi="ar"/>
                    </w:rPr>
                    <w:fldChar w:fldCharType="separate"/>
                  </w:r>
                  <w:r>
                    <w:rPr>
                      <w:rFonts w:hint="default" w:ascii="Times New Roman" w:hAnsi="Times New Roman" w:eastAsia="宋体" w:cs="Times New Roman"/>
                      <w:b w:val="0"/>
                      <w:bCs w:val="0"/>
                      <w:color w:val="auto"/>
                      <w:spacing w:val="0"/>
                      <w:w w:val="100"/>
                      <w:kern w:val="0"/>
                      <w:sz w:val="21"/>
                      <w:szCs w:val="21"/>
                      <w:lang w:val="en-US" w:eastAsia="zh-CN" w:bidi="ar"/>
                    </w:rPr>
                    <w:t>乙醚</w:t>
                  </w:r>
                  <w:r>
                    <w:rPr>
                      <w:rFonts w:hint="default" w:ascii="Times New Roman" w:hAnsi="Times New Roman" w:eastAsia="宋体" w:cs="Times New Roman"/>
                      <w:b w:val="0"/>
                      <w:bCs w:val="0"/>
                      <w:color w:val="auto"/>
                      <w:spacing w:val="0"/>
                      <w:w w:val="100"/>
                      <w:kern w:val="0"/>
                      <w:sz w:val="21"/>
                      <w:szCs w:val="21"/>
                      <w:lang w:val="en-US" w:eastAsia="zh-CN" w:bidi="ar"/>
                    </w:rPr>
                    <w:fldChar w:fldCharType="end"/>
                  </w:r>
                  <w:r>
                    <w:rPr>
                      <w:rFonts w:hint="default" w:ascii="Times New Roman" w:hAnsi="Times New Roman" w:eastAsia="宋体" w:cs="Times New Roman"/>
                      <w:b w:val="0"/>
                      <w:bCs w:val="0"/>
                      <w:color w:val="auto"/>
                      <w:spacing w:val="0"/>
                      <w:w w:val="100"/>
                      <w:kern w:val="0"/>
                      <w:sz w:val="21"/>
                      <w:szCs w:val="21"/>
                      <w:lang w:val="en-US" w:eastAsia="zh-CN" w:bidi="ar"/>
                    </w:rPr>
                    <w:t>。</w:t>
                  </w:r>
                  <w:bookmarkStart w:id="3" w:name="882348-932664-1_2"/>
                  <w:bookmarkEnd w:id="3"/>
                </w:p>
                <w:p w14:paraId="054F10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化学性质：1、与碱反应：Fe +3OH=Fe(OH)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3</w:t>
                  </w:r>
                </w:p>
                <w:p w14:paraId="5B9019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FeCl</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3</w:t>
                  </w:r>
                  <w:r>
                    <w:rPr>
                      <w:rFonts w:hint="default" w:ascii="Times New Roman" w:hAnsi="Times New Roman" w:eastAsia="宋体" w:cs="Times New Roman"/>
                      <w:b w:val="0"/>
                      <w:bCs w:val="0"/>
                      <w:color w:val="auto"/>
                      <w:spacing w:val="0"/>
                      <w:w w:val="100"/>
                      <w:kern w:val="0"/>
                      <w:sz w:val="21"/>
                      <w:szCs w:val="21"/>
                      <w:lang w:val="en-US" w:eastAsia="zh-CN" w:bidi="ar"/>
                    </w:rPr>
                    <w:t>+3NH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3</w:t>
                  </w:r>
                  <w:r>
                    <w:rPr>
                      <w:rFonts w:hint="default" w:ascii="Times New Roman" w:hAnsi="Times New Roman" w:eastAsia="宋体" w:cs="Times New Roman"/>
                      <w:b w:val="0"/>
                      <w:bCs w:val="0"/>
                      <w:color w:val="auto"/>
                      <w:spacing w:val="0"/>
                      <w:w w:val="100"/>
                      <w:kern w:val="0"/>
                      <w:sz w:val="21"/>
                      <w:szCs w:val="21"/>
                      <w:lang w:val="en-US" w:eastAsia="zh-CN" w:bidi="ar"/>
                    </w:rPr>
                    <w:t>·H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O=Fe(OH)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3</w:t>
                  </w:r>
                  <w:r>
                    <w:rPr>
                      <w:rFonts w:hint="default" w:ascii="Times New Roman" w:hAnsi="Times New Roman" w:eastAsia="宋体" w:cs="Times New Roman"/>
                      <w:b w:val="0"/>
                      <w:bCs w:val="0"/>
                      <w:color w:val="auto"/>
                      <w:spacing w:val="0"/>
                      <w:w w:val="100"/>
                      <w:kern w:val="0"/>
                      <w:sz w:val="21"/>
                      <w:szCs w:val="21"/>
                      <w:lang w:val="en-US" w:eastAsia="zh-CN" w:bidi="ar"/>
                    </w:rPr>
                    <w:t>↓+3NH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4</w:t>
                  </w:r>
                  <w:r>
                    <w:rPr>
                      <w:rFonts w:hint="default" w:ascii="Times New Roman" w:hAnsi="Times New Roman" w:eastAsia="宋体" w:cs="Times New Roman"/>
                      <w:b w:val="0"/>
                      <w:bCs w:val="0"/>
                      <w:color w:val="auto"/>
                      <w:spacing w:val="0"/>
                      <w:w w:val="100"/>
                      <w:kern w:val="0"/>
                      <w:sz w:val="21"/>
                      <w:szCs w:val="21"/>
                      <w:lang w:val="en-US" w:eastAsia="zh-CN" w:bidi="ar"/>
                    </w:rPr>
                    <w:t>Cl</w:t>
                  </w:r>
                </w:p>
                <w:p w14:paraId="01E95B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2、与还原剂反应</w:t>
                  </w:r>
                </w:p>
                <w:p w14:paraId="4410CF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2FeCl</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3</w:t>
                  </w:r>
                  <w:r>
                    <w:rPr>
                      <w:rFonts w:hint="default" w:ascii="Times New Roman" w:hAnsi="Times New Roman" w:eastAsia="宋体" w:cs="Times New Roman"/>
                      <w:b w:val="0"/>
                      <w:bCs w:val="0"/>
                      <w:color w:val="auto"/>
                      <w:spacing w:val="0"/>
                      <w:w w:val="100"/>
                      <w:kern w:val="0"/>
                      <w:sz w:val="21"/>
                      <w:szCs w:val="21"/>
                      <w:lang w:val="en-US" w:eastAsia="zh-CN" w:bidi="ar"/>
                    </w:rPr>
                    <w:t>+SO</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+2H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O=2FeCl</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SO</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4</w:t>
                  </w:r>
                  <w:r>
                    <w:rPr>
                      <w:rFonts w:hint="default" w:ascii="Times New Roman" w:hAnsi="Times New Roman" w:eastAsia="宋体" w:cs="Times New Roman"/>
                      <w:b w:val="0"/>
                      <w:bCs w:val="0"/>
                      <w:color w:val="auto"/>
                      <w:spacing w:val="0"/>
                      <w:w w:val="100"/>
                      <w:kern w:val="0"/>
                      <w:sz w:val="21"/>
                      <w:szCs w:val="21"/>
                      <w:lang w:val="en-US" w:eastAsia="zh-CN" w:bidi="ar"/>
                    </w:rPr>
                    <w:t>+2HCl</w:t>
                  </w:r>
                </w:p>
                <w:p w14:paraId="31D6B3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color w:val="auto"/>
                      <w:spacing w:val="0"/>
                      <w:w w:val="100"/>
                      <w:kern w:val="0"/>
                      <w:sz w:val="21"/>
                      <w:szCs w:val="21"/>
                      <w:lang w:val="en-US" w:eastAsia="zh-CN" w:bidi="ar"/>
                    </w:rPr>
                  </w:pPr>
                  <w:r>
                    <w:rPr>
                      <w:rFonts w:hint="default" w:ascii="Times New Roman" w:hAnsi="Times New Roman" w:eastAsia="宋体" w:cs="Times New Roman"/>
                      <w:b w:val="0"/>
                      <w:bCs w:val="0"/>
                      <w:color w:val="auto"/>
                      <w:spacing w:val="0"/>
                      <w:w w:val="100"/>
                      <w:kern w:val="0"/>
                      <w:sz w:val="21"/>
                      <w:szCs w:val="21"/>
                      <w:lang w:val="en-US" w:eastAsia="zh-CN" w:bidi="ar"/>
                    </w:rPr>
                    <w:t>2FeCl</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3</w:t>
                  </w:r>
                  <w:r>
                    <w:rPr>
                      <w:rFonts w:hint="default" w:ascii="Times New Roman" w:hAnsi="Times New Roman" w:eastAsia="宋体" w:cs="Times New Roman"/>
                      <w:b w:val="0"/>
                      <w:bCs w:val="0"/>
                      <w:color w:val="auto"/>
                      <w:spacing w:val="0"/>
                      <w:w w:val="100"/>
                      <w:kern w:val="0"/>
                      <w:sz w:val="21"/>
                      <w:szCs w:val="21"/>
                      <w:lang w:val="en-US" w:eastAsia="zh-CN" w:bidi="ar"/>
                    </w:rPr>
                    <w:t>+H</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S=2FeCl</w:t>
                  </w:r>
                  <w:r>
                    <w:rPr>
                      <w:rFonts w:hint="default" w:ascii="Times New Roman" w:hAnsi="Times New Roman" w:eastAsia="宋体" w:cs="Times New Roman"/>
                      <w:b w:val="0"/>
                      <w:bCs w:val="0"/>
                      <w:color w:val="auto"/>
                      <w:spacing w:val="0"/>
                      <w:w w:val="100"/>
                      <w:kern w:val="0"/>
                      <w:sz w:val="21"/>
                      <w:szCs w:val="21"/>
                      <w:vertAlign w:val="subscript"/>
                      <w:lang w:val="en-US" w:eastAsia="zh-CN" w:bidi="ar"/>
                    </w:rPr>
                    <w:t>2</w:t>
                  </w:r>
                  <w:r>
                    <w:rPr>
                      <w:rFonts w:hint="default" w:ascii="Times New Roman" w:hAnsi="Times New Roman" w:eastAsia="宋体" w:cs="Times New Roman"/>
                      <w:b w:val="0"/>
                      <w:bCs w:val="0"/>
                      <w:color w:val="auto"/>
                      <w:spacing w:val="0"/>
                      <w:w w:val="100"/>
                      <w:kern w:val="0"/>
                      <w:sz w:val="21"/>
                      <w:szCs w:val="21"/>
                      <w:lang w:val="en-US" w:eastAsia="zh-CN" w:bidi="ar"/>
                    </w:rPr>
                    <w:t>+S↓+2HCl</w:t>
                  </w:r>
                </w:p>
              </w:tc>
              <w:tc>
                <w:tcPr>
                  <w:tcW w:w="567" w:type="pct"/>
                  <w:tcBorders>
                    <w:tl2br w:val="nil"/>
                    <w:tr2bl w:val="nil"/>
                  </w:tcBorders>
                  <w:noWrap w:val="0"/>
                  <w:tcMar>
                    <w:top w:w="0" w:type="dxa"/>
                    <w:left w:w="57" w:type="dxa"/>
                    <w:bottom w:w="0" w:type="dxa"/>
                    <w:right w:w="57" w:type="dxa"/>
                  </w:tcMar>
                  <w:vAlign w:val="center"/>
                </w:tcPr>
                <w:p w14:paraId="4B02C4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污泥调质、混凝剂</w:t>
                  </w:r>
                </w:p>
              </w:tc>
            </w:tr>
          </w:tbl>
          <w:p w14:paraId="74E9FD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60"/>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五、</w:t>
            </w:r>
            <w:r>
              <w:rPr>
                <w:rFonts w:hint="default" w:ascii="Times New Roman" w:hAnsi="Times New Roman" w:eastAsia="宋体" w:cs="Times New Roman"/>
                <w:color w:val="auto"/>
                <w:spacing w:val="0"/>
                <w:w w:val="100"/>
                <w:sz w:val="24"/>
                <w:szCs w:val="24"/>
                <w:lang w:val="en-US" w:eastAsia="zh-CN"/>
              </w:rPr>
              <w:t>排污口</w:t>
            </w:r>
            <w:r>
              <w:rPr>
                <w:rFonts w:hint="default" w:ascii="Times New Roman" w:hAnsi="Times New Roman" w:eastAsia="宋体" w:cs="Times New Roman"/>
                <w:b w:val="0"/>
                <w:bCs w:val="0"/>
                <w:color w:val="auto"/>
                <w:spacing w:val="0"/>
                <w:w w:val="100"/>
                <w:sz w:val="24"/>
                <w:szCs w:val="24"/>
                <w:lang w:val="en-US" w:eastAsia="zh-CN"/>
              </w:rPr>
              <w:t>设置</w:t>
            </w:r>
          </w:p>
          <w:p w14:paraId="08E969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62"/>
              <w:textAlignment w:val="auto"/>
              <w:rPr>
                <w:rFonts w:hint="default" w:ascii="Times New Roman" w:hAnsi="Times New Roman" w:cs="Times New Roman"/>
                <w:bCs/>
                <w:color w:val="auto"/>
                <w:spacing w:val="0"/>
                <w:w w:val="100"/>
                <w:sz w:val="24"/>
                <w:szCs w:val="24"/>
              </w:rPr>
            </w:pPr>
            <w:r>
              <w:rPr>
                <w:rFonts w:hint="default" w:ascii="Times New Roman" w:hAnsi="Times New Roman" w:cs="Times New Roman"/>
                <w:bCs/>
                <w:color w:val="auto"/>
                <w:spacing w:val="0"/>
                <w:w w:val="100"/>
                <w:sz w:val="24"/>
                <w:szCs w:val="24"/>
              </w:rPr>
              <w:t>按照《排污口规范化整治技术要求</w:t>
            </w:r>
            <w:r>
              <w:rPr>
                <w:rFonts w:hint="default" w:ascii="Times New Roman" w:hAnsi="Times New Roman" w:cs="Times New Roman"/>
                <w:bCs/>
                <w:color w:val="auto"/>
                <w:spacing w:val="0"/>
                <w:w w:val="100"/>
                <w:sz w:val="24"/>
                <w:szCs w:val="24"/>
                <w:lang w:eastAsia="zh-CN"/>
              </w:rPr>
              <w:t>（试行）》</w:t>
            </w:r>
            <w:r>
              <w:rPr>
                <w:rFonts w:hint="default" w:ascii="Times New Roman" w:hAnsi="Times New Roman" w:cs="Times New Roman"/>
                <w:bCs/>
                <w:color w:val="auto"/>
                <w:spacing w:val="0"/>
                <w:w w:val="100"/>
                <w:sz w:val="24"/>
                <w:szCs w:val="24"/>
              </w:rPr>
              <w:t>（GB/T15562.1）建设符合要求的污水排放口及标志。</w:t>
            </w:r>
          </w:p>
          <w:p w14:paraId="13C66C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6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bCs/>
                <w:color w:val="auto"/>
                <w:spacing w:val="0"/>
                <w:w w:val="100"/>
                <w:sz w:val="24"/>
                <w:szCs w:val="24"/>
              </w:rPr>
              <w:t>污水处理进水口与出水口设置在线水质监测仪器及计量装置，并与省、市环保在线监测平台联网</w:t>
            </w:r>
            <w:r>
              <w:rPr>
                <w:rFonts w:hint="default" w:ascii="Times New Roman" w:hAnsi="Times New Roman" w:cs="Times New Roman"/>
                <w:color w:val="auto"/>
                <w:spacing w:val="0"/>
                <w:w w:val="100"/>
                <w:sz w:val="24"/>
                <w:szCs w:val="24"/>
              </w:rPr>
              <w:t>。</w:t>
            </w:r>
          </w:p>
          <w:p w14:paraId="25E17B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6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b w:val="0"/>
                <w:bCs w:val="0"/>
                <w:color w:val="auto"/>
                <w:spacing w:val="0"/>
                <w:w w:val="100"/>
                <w:sz w:val="24"/>
                <w:szCs w:val="24"/>
                <w:lang w:val="en-US" w:eastAsia="zh-CN"/>
              </w:rPr>
              <w:t>六、</w:t>
            </w:r>
            <w:r>
              <w:rPr>
                <w:rFonts w:hint="default" w:ascii="Times New Roman" w:hAnsi="Times New Roman" w:eastAsia="宋体" w:cs="Times New Roman"/>
                <w:color w:val="auto"/>
                <w:spacing w:val="0"/>
                <w:w w:val="100"/>
                <w:sz w:val="24"/>
                <w:szCs w:val="24"/>
              </w:rPr>
              <w:t>总平面设计</w:t>
            </w:r>
            <w:r>
              <w:rPr>
                <w:rFonts w:hint="default" w:ascii="Times New Roman" w:hAnsi="Times New Roman" w:eastAsia="宋体" w:cs="Times New Roman"/>
                <w:color w:val="auto"/>
                <w:spacing w:val="0"/>
                <w:w w:val="100"/>
                <w:sz w:val="24"/>
                <w:szCs w:val="24"/>
                <w:lang w:eastAsia="zh-CN"/>
              </w:rPr>
              <w:t>及选址合理性分析</w:t>
            </w:r>
          </w:p>
          <w:p w14:paraId="11509A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60"/>
              <w:textAlignment w:val="auto"/>
              <w:rPr>
                <w:rFonts w:hint="default" w:ascii="Times New Roman" w:hAnsi="Times New Roman" w:cs="Times New Roman"/>
                <w:bCs/>
                <w:color w:val="auto"/>
                <w:spacing w:val="0"/>
                <w:w w:val="100"/>
                <w:sz w:val="24"/>
                <w:szCs w:val="24"/>
                <w:lang w:val="en-US" w:eastAsia="zh-CN"/>
              </w:rPr>
            </w:pPr>
            <w:r>
              <w:rPr>
                <w:rFonts w:hint="default" w:ascii="Times New Roman" w:hAnsi="Times New Roman" w:cs="Times New Roman"/>
                <w:bCs/>
                <w:color w:val="auto"/>
                <w:spacing w:val="0"/>
                <w:w w:val="100"/>
                <w:sz w:val="24"/>
                <w:szCs w:val="24"/>
                <w:lang w:val="en-US" w:eastAsia="zh-CN"/>
              </w:rPr>
              <w:t>（1）总平面布置</w:t>
            </w:r>
          </w:p>
          <w:p w14:paraId="136477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60"/>
              <w:textAlignment w:val="auto"/>
              <w:rPr>
                <w:rFonts w:hint="default" w:ascii="Times New Roman" w:hAnsi="Times New Roman" w:cs="Times New Roman"/>
                <w:bCs/>
                <w:color w:val="auto"/>
                <w:spacing w:val="0"/>
                <w:w w:val="100"/>
                <w:sz w:val="24"/>
                <w:szCs w:val="24"/>
                <w:lang w:val="en-US" w:eastAsia="zh-CN"/>
              </w:rPr>
            </w:pPr>
            <w:r>
              <w:rPr>
                <w:rFonts w:hint="default" w:ascii="Times New Roman" w:hAnsi="Times New Roman" w:cs="Times New Roman"/>
                <w:bCs/>
                <w:color w:val="auto"/>
                <w:spacing w:val="0"/>
                <w:w w:val="100"/>
                <w:sz w:val="24"/>
                <w:szCs w:val="24"/>
                <w:lang w:val="en-US" w:eastAsia="zh-CN"/>
              </w:rPr>
              <w:t xml:space="preserve">污水处理厂平面布置由生产设施、辅助生产设施、运行管理设施三部分组成。 </w:t>
            </w:r>
          </w:p>
          <w:p w14:paraId="51B523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6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cs="Times New Roman"/>
                <w:bCs/>
                <w:color w:val="auto"/>
                <w:spacing w:val="0"/>
                <w:w w:val="100"/>
                <w:sz w:val="24"/>
                <w:szCs w:val="24"/>
                <w:lang w:val="en-US" w:eastAsia="zh-CN"/>
              </w:rPr>
              <w:t>主要生产设施：格栅间、沉砂池、AAO+MBR池、二沉池、巴氏计量槽、污泥贮存池、污泥脱水间。辅助生产设施：出水检测室、鼓风机间、配电间等。运行管理设施：综合管理用房。</w:t>
            </w:r>
            <w:r>
              <w:rPr>
                <w:rFonts w:hint="default" w:ascii="Times New Roman" w:hAnsi="Times New Roman" w:eastAsia="宋体" w:cs="Times New Roman"/>
                <w:color w:val="auto"/>
                <w:spacing w:val="0"/>
                <w:w w:val="100"/>
                <w:sz w:val="24"/>
                <w:szCs w:val="24"/>
                <w:lang w:eastAsia="zh-CN"/>
              </w:rPr>
              <w:t>详见附图项目</w:t>
            </w:r>
            <w:r>
              <w:rPr>
                <w:rFonts w:hint="default" w:ascii="Times New Roman" w:hAnsi="Times New Roman" w:eastAsia="宋体" w:cs="Times New Roman"/>
                <w:color w:val="auto"/>
                <w:spacing w:val="0"/>
                <w:w w:val="100"/>
                <w:sz w:val="24"/>
                <w:szCs w:val="24"/>
                <w:highlight w:val="none"/>
                <w:lang w:eastAsia="zh-CN"/>
              </w:rPr>
              <w:t>平面布置图</w:t>
            </w:r>
            <w:r>
              <w:rPr>
                <w:rFonts w:hint="default" w:ascii="Times New Roman" w:hAnsi="Times New Roman" w:eastAsia="宋体" w:cs="Times New Roman"/>
                <w:color w:val="auto"/>
                <w:spacing w:val="0"/>
                <w:w w:val="100"/>
                <w:sz w:val="24"/>
                <w:szCs w:val="24"/>
              </w:rPr>
              <w:t>。</w:t>
            </w:r>
          </w:p>
          <w:p w14:paraId="32F9DD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60"/>
              <w:textAlignment w:val="auto"/>
              <w:rPr>
                <w:rFonts w:hint="default" w:ascii="Times New Roman" w:hAnsi="Times New Roman" w:cs="Times New Roman"/>
                <w:bCs/>
                <w:color w:val="auto"/>
                <w:spacing w:val="0"/>
                <w:w w:val="100"/>
                <w:sz w:val="24"/>
                <w:szCs w:val="24"/>
                <w:lang w:val="en-US" w:eastAsia="zh-CN"/>
              </w:rPr>
            </w:pPr>
            <w:r>
              <w:rPr>
                <w:rFonts w:hint="default" w:ascii="Times New Roman" w:hAnsi="Times New Roman" w:cs="Times New Roman"/>
                <w:bCs/>
                <w:color w:val="auto"/>
                <w:spacing w:val="0"/>
                <w:w w:val="100"/>
                <w:sz w:val="24"/>
                <w:szCs w:val="24"/>
                <w:lang w:val="en-US" w:eastAsia="zh-CN"/>
              </w:rPr>
              <w:t>（2）污水处理厂选址合理性分析</w:t>
            </w:r>
          </w:p>
          <w:p w14:paraId="30421E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60"/>
              <w:textAlignment w:val="auto"/>
              <w:rPr>
                <w:rFonts w:hint="default" w:ascii="Times New Roman" w:hAnsi="Times New Roman" w:eastAsia="宋体" w:cs="Times New Roman"/>
                <w:color w:val="FF0000"/>
                <w:spacing w:val="0"/>
                <w:w w:val="100"/>
                <w:sz w:val="24"/>
                <w:szCs w:val="24"/>
              </w:rPr>
            </w:pPr>
            <w:r>
              <w:rPr>
                <w:rFonts w:hint="default" w:ascii="Times New Roman" w:hAnsi="Times New Roman" w:eastAsia="宋体" w:cs="Times New Roman"/>
                <w:color w:val="auto"/>
                <w:spacing w:val="0"/>
                <w:w w:val="100"/>
                <w:sz w:val="24"/>
                <w:szCs w:val="24"/>
              </w:rPr>
              <w:t>本项目污水处理厂选址</w:t>
            </w:r>
            <w:r>
              <w:rPr>
                <w:rFonts w:hint="default" w:ascii="Times New Roman" w:hAnsi="Times New Roman" w:eastAsia="宋体" w:cs="Times New Roman"/>
                <w:color w:val="auto"/>
                <w:spacing w:val="0"/>
                <w:w w:val="100"/>
                <w:sz w:val="24"/>
                <w:szCs w:val="24"/>
                <w:lang w:eastAsia="zh-CN"/>
              </w:rPr>
              <w:t>陇县千河东岸，园区东南角，</w:t>
            </w:r>
            <w:r>
              <w:rPr>
                <w:rFonts w:hint="default" w:ascii="Times New Roman" w:hAnsi="Times New Roman" w:eastAsia="宋体" w:cs="Times New Roman"/>
                <w:color w:val="auto"/>
                <w:spacing w:val="0"/>
                <w:w w:val="100"/>
                <w:sz w:val="24"/>
                <w:szCs w:val="24"/>
              </w:rPr>
              <w:t>占地面积14351.6</w:t>
            </w:r>
            <w:r>
              <w:rPr>
                <w:rFonts w:hint="default" w:ascii="Times New Roman" w:hAnsi="Times New Roman" w:eastAsia="宋体" w:cs="Times New Roman"/>
                <w:color w:val="auto"/>
                <w:spacing w:val="0"/>
                <w:w w:val="100"/>
                <w:sz w:val="24"/>
                <w:szCs w:val="24"/>
                <w:lang w:val="en-US" w:eastAsia="zh-CN"/>
              </w:rPr>
              <w:t>m</w:t>
            </w:r>
            <w:r>
              <w:rPr>
                <w:rFonts w:hint="default"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rPr>
              <w:t>（约21亩），排污口下游</w:t>
            </w:r>
            <w:r>
              <w:rPr>
                <w:rFonts w:hint="default" w:ascii="Times New Roman" w:hAnsi="Times New Roman" w:eastAsia="宋体" w:cs="Times New Roman"/>
                <w:color w:val="auto"/>
                <w:spacing w:val="0"/>
                <w:w w:val="100"/>
                <w:sz w:val="24"/>
                <w:szCs w:val="24"/>
                <w:lang w:val="en-US" w:eastAsia="zh-CN"/>
              </w:rPr>
              <w:t>评价</w:t>
            </w:r>
            <w:r>
              <w:rPr>
                <w:rFonts w:hint="default" w:ascii="Times New Roman" w:hAnsi="Times New Roman" w:eastAsia="宋体" w:cs="Times New Roman"/>
                <w:color w:val="auto"/>
                <w:spacing w:val="0"/>
                <w:w w:val="100"/>
                <w:sz w:val="24"/>
                <w:szCs w:val="24"/>
              </w:rPr>
              <w:t>范围内均无集中生活取水口。处理后尾水外排</w:t>
            </w:r>
            <w:r>
              <w:rPr>
                <w:rFonts w:hint="default"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，位于周围村镇下游，不在水源地保护区范围内</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项目位于冯家山水库准保护区，不在一级及二级保护区范围内</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w:t>
            </w:r>
            <w:r>
              <w:rPr>
                <w:rFonts w:hint="default" w:ascii="Times New Roman" w:hAnsi="Times New Roman" w:cs="Times New Roman"/>
                <w:bCs/>
                <w:color w:val="auto"/>
                <w:spacing w:val="0"/>
                <w:w w:val="100"/>
                <w:sz w:val="24"/>
                <w:szCs w:val="24"/>
                <w:lang w:val="en-US" w:eastAsia="zh-CN"/>
              </w:rPr>
              <w:t>位于</w:t>
            </w:r>
            <w:r>
              <w:rPr>
                <w:rFonts w:hint="default" w:ascii="Times New Roman" w:hAnsi="Times New Roman" w:eastAsia="宋体" w:cs="Times New Roman"/>
                <w:color w:val="auto"/>
                <w:spacing w:val="0"/>
                <w:w w:val="100"/>
                <w:sz w:val="24"/>
                <w:szCs w:val="24"/>
              </w:rPr>
              <w:t>村镇常年主导风向下风向；道路交通、工程地质、防洪排涝条件良好；周围有空地，有扩建可能。污水处理</w:t>
            </w:r>
            <w:r>
              <w:rPr>
                <w:rFonts w:hint="default" w:ascii="Times New Roman" w:hAnsi="Times New Roman" w:eastAsia="宋体" w:cs="Times New Roman"/>
                <w:color w:val="auto"/>
                <w:spacing w:val="0"/>
                <w:w w:val="100"/>
                <w:sz w:val="24"/>
                <w:szCs w:val="24"/>
                <w:lang w:val="en-US" w:eastAsia="zh-CN"/>
              </w:rPr>
              <w:t>厂</w:t>
            </w:r>
            <w:r>
              <w:rPr>
                <w:rFonts w:hint="default" w:ascii="Times New Roman" w:hAnsi="Times New Roman" w:eastAsia="宋体" w:cs="Times New Roman"/>
                <w:color w:val="auto"/>
                <w:spacing w:val="0"/>
                <w:w w:val="100"/>
                <w:sz w:val="24"/>
                <w:szCs w:val="24"/>
              </w:rPr>
              <w:t>所在地周围</w:t>
            </w:r>
            <w:r>
              <w:rPr>
                <w:rFonts w:hint="default" w:ascii="Times New Roman" w:hAnsi="Times New Roman" w:eastAsia="Times New Roman" w:cs="Times New Roman"/>
                <w:color w:val="auto"/>
                <w:spacing w:val="0"/>
                <w:w w:val="100"/>
                <w:sz w:val="24"/>
                <w:szCs w:val="24"/>
              </w:rPr>
              <w:t>1km</w:t>
            </w:r>
            <w:r>
              <w:rPr>
                <w:rFonts w:hint="default" w:ascii="Times New Roman" w:hAnsi="Times New Roman" w:eastAsia="宋体" w:cs="Times New Roman"/>
                <w:color w:val="auto"/>
                <w:spacing w:val="0"/>
                <w:w w:val="100"/>
                <w:sz w:val="24"/>
                <w:szCs w:val="24"/>
              </w:rPr>
              <w:t>范围内无风景名</w:t>
            </w:r>
            <w:r>
              <w:rPr>
                <w:rFonts w:hint="default" w:ascii="Times New Roman" w:hAnsi="Times New Roman" w:eastAsia="宋体" w:cs="Times New Roman"/>
                <w:color w:val="auto"/>
                <w:spacing w:val="0"/>
                <w:w w:val="100"/>
                <w:sz w:val="24"/>
                <w:szCs w:val="24"/>
                <w:lang w:eastAsia="zh-CN"/>
              </w:rPr>
              <w:t>胜区</w:t>
            </w:r>
            <w:r>
              <w:rPr>
                <w:rFonts w:hint="default" w:ascii="Times New Roman" w:hAnsi="Times New Roman" w:eastAsia="宋体" w:cs="Times New Roman"/>
                <w:color w:val="auto"/>
                <w:spacing w:val="0"/>
                <w:w w:val="100"/>
                <w:sz w:val="24"/>
                <w:szCs w:val="24"/>
              </w:rPr>
              <w:t>、旅游景区、军事管理区等，外环境无重大环境制约因素，</w:t>
            </w:r>
            <w:r>
              <w:rPr>
                <w:rFonts w:hint="default" w:ascii="Times New Roman" w:hAnsi="Times New Roman" w:eastAsia="宋体" w:cs="Times New Roman"/>
                <w:color w:val="auto"/>
                <w:spacing w:val="0"/>
                <w:w w:val="100"/>
                <w:sz w:val="24"/>
                <w:szCs w:val="24"/>
                <w:lang w:val="en-US" w:eastAsia="zh-CN"/>
              </w:rPr>
              <w:t>虽</w:t>
            </w:r>
            <w:r>
              <w:rPr>
                <w:rFonts w:hint="default" w:ascii="Times New Roman" w:hAnsi="Times New Roman" w:eastAsia="宋体" w:cs="Times New Roman"/>
                <w:color w:val="auto"/>
                <w:spacing w:val="0"/>
                <w:w w:val="100"/>
                <w:sz w:val="24"/>
                <w:szCs w:val="24"/>
              </w:rPr>
              <w:t>受纳河段敏感保护对象</w:t>
            </w:r>
            <w:r>
              <w:rPr>
                <w:rFonts w:hint="default" w:ascii="Times New Roman" w:hAnsi="Times New Roman" w:eastAsia="宋体" w:cs="Times New Roman"/>
                <w:color w:val="auto"/>
                <w:spacing w:val="0"/>
                <w:w w:val="100"/>
                <w:sz w:val="24"/>
                <w:szCs w:val="24"/>
                <w:lang w:val="en-US" w:eastAsia="zh-CN"/>
              </w:rPr>
              <w:t>为千河国家级</w:t>
            </w:r>
            <w:r>
              <w:rPr>
                <w:rFonts w:hint="default" w:ascii="Times New Roman" w:hAnsi="Times New Roman" w:eastAsia="宋体" w:cs="Times New Roman"/>
                <w:color w:val="auto"/>
                <w:spacing w:val="0"/>
                <w:w w:val="100"/>
                <w:sz w:val="24"/>
                <w:szCs w:val="24"/>
              </w:rPr>
              <w:t>水产种质资源保护区</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但经分析项目的建设基本不会对其产生影响</w:t>
            </w:r>
            <w:r>
              <w:rPr>
                <w:rFonts w:hint="default" w:ascii="Times New Roman" w:hAnsi="Times New Roman" w:eastAsia="宋体" w:cs="Times New Roman"/>
                <w:color w:val="auto"/>
                <w:spacing w:val="0"/>
                <w:w w:val="100"/>
                <w:sz w:val="24"/>
                <w:szCs w:val="24"/>
              </w:rPr>
              <w:t>。</w:t>
            </w:r>
          </w:p>
          <w:p w14:paraId="29545F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9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污水处理厂工程属于</w:t>
            </w:r>
            <w:r>
              <w:rPr>
                <w:rFonts w:hint="default" w:ascii="Times New Roman" w:hAnsi="Times New Roman" w:eastAsia="宋体" w:cs="Times New Roman"/>
                <w:color w:val="auto"/>
                <w:spacing w:val="0"/>
                <w:w w:val="100"/>
                <w:sz w:val="24"/>
                <w:szCs w:val="24"/>
                <w:lang w:val="en-US" w:eastAsia="zh-CN"/>
              </w:rPr>
              <w:t>园区</w:t>
            </w:r>
            <w:r>
              <w:rPr>
                <w:rFonts w:hint="default" w:ascii="Times New Roman" w:hAnsi="Times New Roman" w:eastAsia="宋体" w:cs="Times New Roman"/>
                <w:color w:val="auto"/>
                <w:spacing w:val="0"/>
                <w:w w:val="100"/>
                <w:sz w:val="24"/>
                <w:szCs w:val="24"/>
              </w:rPr>
              <w:t>最低点，根据本项目初设报告，厂址设计满足</w:t>
            </w:r>
            <w:r>
              <w:rPr>
                <w:rFonts w:hint="default" w:ascii="Times New Roman" w:hAnsi="Times New Roman" w:eastAsia="Times New Roman" w:cs="Times New Roman"/>
                <w:color w:val="auto"/>
                <w:spacing w:val="0"/>
                <w:w w:val="100"/>
                <w:sz w:val="24"/>
                <w:szCs w:val="24"/>
              </w:rPr>
              <w:t>20</w:t>
            </w:r>
            <w:r>
              <w:rPr>
                <w:rFonts w:hint="default" w:ascii="Times New Roman" w:hAnsi="Times New Roman" w:eastAsia="宋体" w:cs="Times New Roman"/>
                <w:color w:val="auto"/>
                <w:spacing w:val="0"/>
                <w:w w:val="100"/>
                <w:sz w:val="24"/>
                <w:szCs w:val="24"/>
              </w:rPr>
              <w:t>年一遇洪水位要求，地势较平缓，场镇污水均能依靠重力排入站址，站址靠近河流，尾水排放方便，离集中居民点有一定距离，</w:t>
            </w:r>
            <w:r>
              <w:rPr>
                <w:rFonts w:hint="default" w:ascii="Times New Roman" w:hAnsi="Times New Roman" w:eastAsia="宋体" w:cs="Times New Roman"/>
                <w:color w:val="auto"/>
                <w:spacing w:val="0"/>
                <w:w w:val="100"/>
                <w:sz w:val="24"/>
                <w:szCs w:val="24"/>
                <w:lang w:eastAsia="zh-CN"/>
              </w:rPr>
              <w:t>且位于居民点下风向</w:t>
            </w:r>
            <w:r>
              <w:rPr>
                <w:rFonts w:hint="default" w:ascii="Times New Roman" w:hAnsi="Times New Roman" w:eastAsia="宋体" w:cs="Times New Roman"/>
                <w:color w:val="auto"/>
                <w:spacing w:val="0"/>
                <w:w w:val="100"/>
                <w:sz w:val="24"/>
                <w:szCs w:val="24"/>
              </w:rPr>
              <w:t>。</w:t>
            </w:r>
          </w:p>
          <w:p w14:paraId="729058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04"/>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因此，本项目污水处理厂选址合理。</w:t>
            </w:r>
          </w:p>
          <w:p w14:paraId="2852B0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七、</w:t>
            </w:r>
            <w:r>
              <w:rPr>
                <w:rFonts w:hint="default" w:ascii="Times New Roman" w:hAnsi="Times New Roman" w:eastAsia="宋体" w:cs="Times New Roman"/>
                <w:color w:val="auto"/>
                <w:spacing w:val="0"/>
                <w:w w:val="100"/>
                <w:sz w:val="24"/>
                <w:szCs w:val="24"/>
              </w:rPr>
              <w:t>项目</w:t>
            </w:r>
            <w:r>
              <w:rPr>
                <w:rFonts w:hint="default" w:ascii="Times New Roman" w:hAnsi="Times New Roman" w:eastAsia="宋体" w:cs="Times New Roman"/>
                <w:color w:val="auto"/>
                <w:spacing w:val="0"/>
                <w:w w:val="100"/>
                <w:sz w:val="24"/>
                <w:szCs w:val="24"/>
                <w:lang w:eastAsia="zh-CN"/>
              </w:rPr>
              <w:t>工程建设进度计划</w:t>
            </w:r>
          </w:p>
          <w:p w14:paraId="5DA9AE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bCs/>
                <w:color w:val="auto"/>
                <w:spacing w:val="0"/>
                <w:w w:val="100"/>
                <w:sz w:val="24"/>
                <w:szCs w:val="24"/>
                <w:lang w:val="en-US" w:eastAsia="zh-CN"/>
              </w:rPr>
            </w:pPr>
            <w:r>
              <w:rPr>
                <w:rFonts w:hint="default" w:ascii="Times New Roman" w:hAnsi="Times New Roman" w:cs="Times New Roman"/>
                <w:bCs/>
                <w:color w:val="auto"/>
                <w:spacing w:val="0"/>
                <w:w w:val="100"/>
                <w:sz w:val="24"/>
                <w:szCs w:val="24"/>
                <w:lang w:val="en-US" w:eastAsia="zh-CN"/>
              </w:rPr>
              <w:t>建设工期：本工程建设工期为24个月，其中施工准备期为2个月，施工工</w:t>
            </w:r>
            <w:r>
              <w:rPr>
                <w:rFonts w:hint="eastAsia" w:ascii="Times New Roman" w:hAnsi="Times New Roman" w:cs="Times New Roman"/>
                <w:bCs/>
                <w:color w:val="auto"/>
                <w:spacing w:val="0"/>
                <w:w w:val="100"/>
                <w:sz w:val="24"/>
                <w:szCs w:val="24"/>
                <w:lang w:val="en-US" w:eastAsia="zh-CN"/>
              </w:rPr>
              <w:t>期为</w:t>
            </w:r>
            <w:r>
              <w:rPr>
                <w:rFonts w:hint="default" w:ascii="Times New Roman" w:hAnsi="Times New Roman" w:cs="Times New Roman"/>
                <w:bCs/>
                <w:color w:val="auto"/>
                <w:spacing w:val="0"/>
                <w:w w:val="100"/>
                <w:sz w:val="24"/>
                <w:szCs w:val="24"/>
                <w:lang w:val="en-US" w:eastAsia="zh-CN"/>
              </w:rPr>
              <w:t>17个月，调试验收为2个月，预计2026年1月开始施工，2027年12月竣工验收。</w:t>
            </w:r>
          </w:p>
          <w:p w14:paraId="0349AA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eastAsia="宋体" w:cs="Times New Roman"/>
                <w:color w:val="auto"/>
                <w:spacing w:val="0"/>
                <w:w w:val="100"/>
                <w:sz w:val="24"/>
                <w:szCs w:val="24"/>
                <w:lang w:eastAsia="zh-CN"/>
              </w:rPr>
              <w:t>八</w:t>
            </w:r>
            <w:r>
              <w:rPr>
                <w:rFonts w:hint="default" w:ascii="Times New Roman" w:hAnsi="Times New Roman" w:eastAsia="宋体" w:cs="Times New Roman"/>
                <w:color w:val="auto"/>
                <w:spacing w:val="0"/>
                <w:w w:val="100"/>
                <w:sz w:val="24"/>
                <w:szCs w:val="24"/>
              </w:rPr>
              <w:t>、工作制度及劳动定员</w:t>
            </w:r>
          </w:p>
          <w:p w14:paraId="63C416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pacing w:val="0"/>
                <w:w w:val="100"/>
                <w:kern w:val="0"/>
                <w:sz w:val="24"/>
                <w:szCs w:val="24"/>
                <w:lang w:val="en-US" w:eastAsia="zh-CN" w:bidi="ar"/>
              </w:rPr>
            </w:pPr>
            <w:r>
              <w:rPr>
                <w:rFonts w:hint="default" w:ascii="Times New Roman" w:hAnsi="Times New Roman" w:eastAsia="宋体" w:cs="Times New Roman"/>
                <w:color w:val="auto"/>
                <w:spacing w:val="0"/>
                <w:w w:val="100"/>
                <w:kern w:val="0"/>
                <w:sz w:val="24"/>
                <w:szCs w:val="24"/>
                <w:lang w:val="en-US" w:eastAsia="zh-CN" w:bidi="ar"/>
              </w:rPr>
              <w:t>本工程完成后，</w:t>
            </w:r>
            <w:r>
              <w:rPr>
                <w:rFonts w:hint="default" w:ascii="Times New Roman" w:hAnsi="Times New Roman" w:eastAsia="宋体" w:cs="Times New Roman"/>
                <w:color w:val="auto"/>
                <w:spacing w:val="0"/>
                <w:w w:val="100"/>
                <w:sz w:val="24"/>
                <w:szCs w:val="32"/>
                <w:lang w:val="en-US" w:eastAsia="zh-CN"/>
              </w:rPr>
              <w:t>预计</w:t>
            </w:r>
            <w:r>
              <w:rPr>
                <w:rFonts w:hint="default" w:ascii="Times New Roman" w:hAnsi="Times New Roman" w:eastAsia="宋体" w:cs="Times New Roman"/>
                <w:color w:val="auto"/>
                <w:spacing w:val="0"/>
                <w:w w:val="100"/>
                <w:kern w:val="0"/>
                <w:sz w:val="24"/>
                <w:szCs w:val="24"/>
                <w:lang w:val="en-US" w:eastAsia="zh-CN" w:bidi="ar"/>
              </w:rPr>
              <w:t>劳动定员7人，八小时工作制，白班5人，夜班2人，污水处理厂年运行365天（24小时），年运行时间8760小时。</w:t>
            </w:r>
          </w:p>
          <w:p w14:paraId="63F7A0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九、公用工程。</w:t>
            </w:r>
          </w:p>
          <w:p w14:paraId="4893A9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Times New Roman" w:cs="Times New Roman"/>
                <w:b w:val="0"/>
                <w:bCs w:val="0"/>
                <w:color w:val="auto"/>
                <w:spacing w:val="0"/>
                <w:w w:val="100"/>
                <w:sz w:val="24"/>
                <w:szCs w:val="24"/>
              </w:rPr>
              <w:t>1</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b w:val="0"/>
                <w:bCs w:val="0"/>
                <w:color w:val="auto"/>
                <w:spacing w:val="0"/>
                <w:w w:val="100"/>
                <w:sz w:val="24"/>
                <w:szCs w:val="24"/>
              </w:rPr>
              <w:t>供电</w:t>
            </w:r>
          </w:p>
          <w:p w14:paraId="0E70A1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lang w:eastAsia="zh-CN"/>
              </w:rPr>
            </w:pPr>
            <w:r>
              <w:rPr>
                <w:rFonts w:hint="default" w:ascii="Times New Roman" w:hAnsi="Times New Roman" w:eastAsia="宋体" w:cs="Times New Roman"/>
                <w:b w:val="0"/>
                <w:bCs w:val="0"/>
                <w:color w:val="auto"/>
                <w:spacing w:val="0"/>
                <w:w w:val="100"/>
                <w:sz w:val="24"/>
                <w:szCs w:val="24"/>
              </w:rPr>
              <w:t>由建设单位从</w:t>
            </w:r>
            <w:r>
              <w:rPr>
                <w:rFonts w:hint="default" w:ascii="Times New Roman" w:hAnsi="Times New Roman" w:eastAsia="宋体" w:cs="Times New Roman"/>
                <w:b w:val="0"/>
                <w:bCs w:val="0"/>
                <w:color w:val="auto"/>
                <w:spacing w:val="0"/>
                <w:w w:val="100"/>
                <w:sz w:val="24"/>
                <w:szCs w:val="24"/>
                <w:lang w:val="en-US" w:eastAsia="zh-CN"/>
              </w:rPr>
              <w:t>经济技术开发区</w:t>
            </w:r>
            <w:r>
              <w:rPr>
                <w:rFonts w:hint="default" w:ascii="Times New Roman" w:hAnsi="Times New Roman" w:eastAsia="宋体" w:cs="Times New Roman"/>
                <w:b w:val="0"/>
                <w:bCs w:val="0"/>
                <w:color w:val="auto"/>
                <w:spacing w:val="0"/>
                <w:w w:val="100"/>
                <w:sz w:val="24"/>
                <w:szCs w:val="24"/>
              </w:rPr>
              <w:t>低压配电所引至污水处理</w:t>
            </w:r>
            <w:r>
              <w:rPr>
                <w:rFonts w:hint="default" w:ascii="Times New Roman" w:hAnsi="Times New Roman" w:eastAsia="宋体" w:cs="Times New Roman"/>
                <w:b w:val="0"/>
                <w:bCs w:val="0"/>
                <w:color w:val="auto"/>
                <w:spacing w:val="0"/>
                <w:w w:val="100"/>
                <w:sz w:val="24"/>
                <w:szCs w:val="24"/>
                <w:lang w:eastAsia="zh-CN"/>
              </w:rPr>
              <w:t>厂</w:t>
            </w:r>
            <w:r>
              <w:rPr>
                <w:rFonts w:hint="default" w:ascii="Times New Roman" w:hAnsi="Times New Roman" w:eastAsia="宋体" w:cs="Times New Roman"/>
                <w:b w:val="0"/>
                <w:bCs w:val="0"/>
                <w:color w:val="auto"/>
                <w:spacing w:val="0"/>
                <w:w w:val="100"/>
                <w:sz w:val="24"/>
                <w:szCs w:val="24"/>
              </w:rPr>
              <w:t>配电柜，分别给各动力设备供电。负荷等级为</w:t>
            </w:r>
            <w:r>
              <w:rPr>
                <w:rFonts w:hint="default" w:ascii="Times New Roman" w:hAnsi="Times New Roman" w:eastAsia="宋体" w:cs="Times New Roman"/>
                <w:b w:val="0"/>
                <w:bCs w:val="0"/>
                <w:color w:val="auto"/>
                <w:spacing w:val="0"/>
                <w:w w:val="100"/>
                <w:sz w:val="24"/>
                <w:szCs w:val="24"/>
                <w:lang w:eastAsia="zh-CN"/>
              </w:rPr>
              <w:t>二</w:t>
            </w:r>
            <w:r>
              <w:rPr>
                <w:rFonts w:hint="default" w:ascii="Times New Roman" w:hAnsi="Times New Roman" w:eastAsia="宋体" w:cs="Times New Roman"/>
                <w:b w:val="0"/>
                <w:bCs w:val="0"/>
                <w:color w:val="auto"/>
                <w:spacing w:val="0"/>
                <w:w w:val="100"/>
                <w:sz w:val="24"/>
                <w:szCs w:val="24"/>
              </w:rPr>
              <w:t>级，</w:t>
            </w:r>
            <w:r>
              <w:rPr>
                <w:rFonts w:hint="default" w:ascii="Times New Roman" w:hAnsi="Times New Roman" w:eastAsia="宋体" w:cs="Times New Roman"/>
                <w:b w:val="0"/>
                <w:bCs w:val="0"/>
                <w:color w:val="auto"/>
                <w:spacing w:val="0"/>
                <w:w w:val="100"/>
                <w:sz w:val="24"/>
                <w:szCs w:val="24"/>
                <w:lang w:eastAsia="zh-CN"/>
              </w:rPr>
              <w:t>采用两回路独立电源供电</w:t>
            </w:r>
            <w:r>
              <w:rPr>
                <w:rFonts w:hint="default" w:ascii="Times New Roman" w:hAnsi="Times New Roman" w:eastAsia="宋体" w:cs="Times New Roman"/>
                <w:b w:val="0"/>
                <w:bCs w:val="0"/>
                <w:color w:val="auto"/>
                <w:spacing w:val="0"/>
                <w:w w:val="100"/>
                <w:sz w:val="24"/>
                <w:szCs w:val="24"/>
              </w:rPr>
              <w:t>，</w:t>
            </w:r>
            <w:r>
              <w:rPr>
                <w:rFonts w:hint="default" w:ascii="Times New Roman" w:hAnsi="Times New Roman" w:eastAsia="宋体" w:cs="Times New Roman"/>
                <w:b w:val="0"/>
                <w:bCs w:val="0"/>
                <w:color w:val="auto"/>
                <w:spacing w:val="0"/>
                <w:w w:val="100"/>
                <w:sz w:val="24"/>
                <w:szCs w:val="24"/>
                <w:lang w:eastAsia="zh-CN"/>
              </w:rPr>
              <w:t>一路</w:t>
            </w:r>
            <w:r>
              <w:rPr>
                <w:rFonts w:hint="default" w:ascii="Times New Roman" w:hAnsi="Times New Roman" w:eastAsia="宋体" w:cs="Times New Roman"/>
                <w:b w:val="0"/>
                <w:bCs w:val="0"/>
                <w:color w:val="auto"/>
                <w:spacing w:val="0"/>
                <w:w w:val="100"/>
                <w:sz w:val="24"/>
                <w:szCs w:val="24"/>
              </w:rPr>
              <w:t>由</w:t>
            </w:r>
            <w:r>
              <w:rPr>
                <w:rFonts w:hint="default" w:ascii="Times New Roman" w:hAnsi="Times New Roman" w:eastAsia="宋体" w:cs="Times New Roman"/>
                <w:b w:val="0"/>
                <w:bCs w:val="0"/>
                <w:color w:val="auto"/>
                <w:spacing w:val="0"/>
                <w:w w:val="100"/>
                <w:sz w:val="24"/>
                <w:szCs w:val="24"/>
                <w:lang w:eastAsia="zh-CN"/>
              </w:rPr>
              <w:t>就近</w:t>
            </w:r>
            <w:r>
              <w:rPr>
                <w:rFonts w:hint="default" w:ascii="Times New Roman" w:hAnsi="Times New Roman" w:eastAsia="宋体" w:cs="Times New Roman"/>
                <w:b w:val="0"/>
                <w:bCs w:val="0"/>
                <w:color w:val="auto"/>
                <w:spacing w:val="0"/>
                <w:w w:val="100"/>
                <w:sz w:val="24"/>
                <w:szCs w:val="24"/>
                <w:lang w:val="en-US" w:eastAsia="zh-CN"/>
              </w:rPr>
              <w:t>10kV电网引入，</w:t>
            </w:r>
            <w:r>
              <w:rPr>
                <w:rFonts w:hint="default" w:ascii="Times New Roman" w:hAnsi="Times New Roman" w:eastAsia="宋体" w:cs="Times New Roman"/>
                <w:b w:val="0"/>
                <w:bCs w:val="0"/>
                <w:color w:val="auto"/>
                <w:spacing w:val="0"/>
                <w:w w:val="100"/>
                <w:sz w:val="24"/>
                <w:szCs w:val="24"/>
                <w:lang w:eastAsia="zh-CN"/>
              </w:rPr>
              <w:t>另一路引自备用柴油发电机。</w:t>
            </w:r>
          </w:p>
          <w:p w14:paraId="3BBBD9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lang w:eastAsia="zh-CN"/>
              </w:rPr>
            </w:pPr>
            <w:r>
              <w:rPr>
                <w:rFonts w:hint="default" w:ascii="Times New Roman" w:hAnsi="Times New Roman" w:eastAsia="宋体" w:cs="Times New Roman"/>
                <w:b w:val="0"/>
                <w:bCs w:val="0"/>
                <w:color w:val="auto"/>
                <w:spacing w:val="0"/>
                <w:w w:val="100"/>
                <w:sz w:val="24"/>
                <w:szCs w:val="24"/>
              </w:rPr>
              <w:t>2</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b w:val="0"/>
                <w:bCs w:val="0"/>
                <w:color w:val="auto"/>
                <w:spacing w:val="0"/>
                <w:w w:val="100"/>
                <w:sz w:val="24"/>
                <w:szCs w:val="24"/>
              </w:rPr>
              <w:t>给水</w:t>
            </w:r>
          </w:p>
          <w:p w14:paraId="39597E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本项目给水系统</w:t>
            </w:r>
            <w:r>
              <w:rPr>
                <w:rFonts w:hint="default" w:ascii="Times New Roman" w:hAnsi="Times New Roman" w:eastAsia="宋体" w:cs="Times New Roman"/>
                <w:b w:val="0"/>
                <w:bCs w:val="0"/>
                <w:color w:val="auto"/>
                <w:spacing w:val="0"/>
                <w:w w:val="100"/>
                <w:sz w:val="24"/>
                <w:szCs w:val="24"/>
                <w:lang w:val="en-US" w:eastAsia="zh-CN"/>
              </w:rPr>
              <w:t>由园区统一供水</w:t>
            </w:r>
            <w:r>
              <w:rPr>
                <w:rFonts w:hint="default" w:ascii="Times New Roman" w:hAnsi="Times New Roman" w:eastAsia="宋体" w:cs="Times New Roman"/>
                <w:b w:val="0"/>
                <w:bCs w:val="0"/>
                <w:color w:val="auto"/>
                <w:spacing w:val="0"/>
                <w:w w:val="100"/>
                <w:sz w:val="24"/>
                <w:szCs w:val="24"/>
              </w:rPr>
              <w:t>，满足</w:t>
            </w:r>
            <w:r>
              <w:rPr>
                <w:rFonts w:hint="default" w:ascii="Times New Roman" w:hAnsi="Times New Roman" w:eastAsia="宋体" w:cs="Times New Roman"/>
                <w:b w:val="0"/>
                <w:bCs w:val="0"/>
                <w:color w:val="auto"/>
                <w:spacing w:val="0"/>
                <w:w w:val="100"/>
                <w:sz w:val="24"/>
                <w:szCs w:val="24"/>
                <w:lang w:eastAsia="zh-CN"/>
              </w:rPr>
              <w:t>厂</w:t>
            </w:r>
            <w:r>
              <w:rPr>
                <w:rFonts w:hint="default" w:ascii="Times New Roman" w:hAnsi="Times New Roman" w:eastAsia="宋体" w:cs="Times New Roman"/>
                <w:b w:val="0"/>
                <w:bCs w:val="0"/>
                <w:color w:val="auto"/>
                <w:spacing w:val="0"/>
                <w:w w:val="100"/>
                <w:sz w:val="24"/>
                <w:szCs w:val="24"/>
              </w:rPr>
              <w:t>内用水</w:t>
            </w:r>
            <w:r>
              <w:rPr>
                <w:rFonts w:hint="default" w:ascii="Times New Roman" w:hAnsi="Times New Roman" w:eastAsia="宋体" w:cs="Times New Roman"/>
                <w:b w:val="0"/>
                <w:bCs w:val="0"/>
                <w:color w:val="auto"/>
                <w:spacing w:val="0"/>
                <w:w w:val="100"/>
                <w:sz w:val="24"/>
                <w:szCs w:val="24"/>
                <w:lang w:val="en-US" w:eastAsia="zh-CN"/>
              </w:rPr>
              <w:t>需求</w:t>
            </w:r>
            <w:r>
              <w:rPr>
                <w:rFonts w:hint="default" w:ascii="Times New Roman" w:hAnsi="Times New Roman" w:eastAsia="宋体" w:cs="Times New Roman"/>
                <w:b w:val="0"/>
                <w:bCs w:val="0"/>
                <w:color w:val="auto"/>
                <w:spacing w:val="0"/>
                <w:w w:val="100"/>
                <w:sz w:val="24"/>
                <w:szCs w:val="24"/>
              </w:rPr>
              <w:t>。</w:t>
            </w:r>
          </w:p>
          <w:p w14:paraId="341528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val="0"/>
                <w:bCs w:val="0"/>
                <w:color w:val="auto"/>
                <w:spacing w:val="0"/>
                <w:w w:val="100"/>
                <w:sz w:val="24"/>
                <w:szCs w:val="24"/>
                <w:lang w:eastAsia="zh-CN"/>
              </w:rPr>
              <w:t>职工生活用水，</w:t>
            </w:r>
            <w:r>
              <w:rPr>
                <w:rFonts w:hint="default" w:ascii="Times New Roman" w:hAnsi="Times New Roman" w:eastAsia="宋体" w:cs="Times New Roman"/>
                <w:color w:val="auto"/>
                <w:sz w:val="24"/>
                <w:szCs w:val="24"/>
              </w:rPr>
              <w:t>项目劳动定员为</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人，年工作</w:t>
            </w:r>
            <w:r>
              <w:rPr>
                <w:rFonts w:hint="default" w:ascii="Times New Roman" w:hAnsi="Times New Roman" w:eastAsia="宋体" w:cs="Times New Roman"/>
                <w:color w:val="auto"/>
                <w:sz w:val="24"/>
                <w:szCs w:val="24"/>
                <w:lang w:val="en-US" w:eastAsia="zh-CN"/>
              </w:rPr>
              <w:t>365天</w:t>
            </w:r>
            <w:r>
              <w:rPr>
                <w:rFonts w:hint="default" w:ascii="Times New Roman" w:hAnsi="Times New Roman" w:eastAsia="宋体" w:cs="Times New Roman"/>
                <w:color w:val="auto"/>
                <w:sz w:val="24"/>
                <w:szCs w:val="24"/>
              </w:rPr>
              <w:t>。按照《</w:t>
            </w:r>
            <w:r>
              <w:rPr>
                <w:rFonts w:hint="default" w:ascii="Times New Roman" w:hAnsi="Times New Roman" w:eastAsia="宋体" w:cs="Times New Roman"/>
                <w:bCs/>
                <w:color w:val="auto"/>
                <w:kern w:val="0"/>
                <w:sz w:val="24"/>
                <w:szCs w:val="24"/>
              </w:rPr>
              <w:t>陕西省行业用水定额</w:t>
            </w:r>
            <w:r>
              <w:rPr>
                <w:rFonts w:hint="default" w:ascii="Times New Roman" w:hAnsi="Times New Roman" w:eastAsia="宋体" w:cs="Times New Roman"/>
                <w:color w:val="auto"/>
                <w:sz w:val="24"/>
                <w:szCs w:val="24"/>
              </w:rPr>
              <w:t>》（</w:t>
            </w:r>
            <w:r>
              <w:rPr>
                <w:rFonts w:hint="default" w:ascii="Times New Roman" w:hAnsi="Times New Roman" w:eastAsia="宋体" w:cs="Times New Roman"/>
                <w:bCs/>
                <w:color w:val="auto"/>
                <w:kern w:val="0"/>
                <w:sz w:val="24"/>
                <w:szCs w:val="24"/>
              </w:rPr>
              <w:t>DB61/T943-</w:t>
            </w:r>
            <w:r>
              <w:rPr>
                <w:rFonts w:hint="default" w:ascii="Times New Roman" w:hAnsi="Times New Roman" w:eastAsia="宋体" w:cs="Times New Roman"/>
                <w:bCs/>
                <w:color w:val="auto"/>
                <w:kern w:val="0"/>
                <w:sz w:val="24"/>
                <w:szCs w:val="24"/>
                <w:lang w:val="en-US" w:eastAsia="zh-CN"/>
              </w:rPr>
              <w:t>2020</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及实际情况</w:t>
            </w:r>
            <w:r>
              <w:rPr>
                <w:rFonts w:hint="default" w:ascii="Times New Roman" w:hAnsi="Times New Roman" w:eastAsia="宋体" w:cs="Times New Roman"/>
                <w:color w:val="auto"/>
                <w:sz w:val="24"/>
                <w:szCs w:val="24"/>
              </w:rPr>
              <w:t>，生活用水量</w:t>
            </w:r>
            <w:bookmarkStart w:id="4" w:name="OLE_LINK1"/>
            <w:r>
              <w:rPr>
                <w:rFonts w:hint="default" w:ascii="Times New Roman" w:hAnsi="Times New Roman" w:eastAsia="宋体" w:cs="Times New Roman"/>
                <w:color w:val="auto"/>
                <w:sz w:val="24"/>
                <w:szCs w:val="24"/>
              </w:rPr>
              <w:t>按</w:t>
            </w:r>
            <w:r>
              <w:rPr>
                <w:rFonts w:hint="default" w:ascii="Times New Roman" w:hAnsi="Times New Roman" w:eastAsia="宋体" w:cs="Times New Roman"/>
                <w:color w:val="auto"/>
                <w:sz w:val="24"/>
                <w:szCs w:val="24"/>
                <w:lang w:val="en-US" w:eastAsia="zh-CN"/>
              </w:rPr>
              <w:t>56</w:t>
            </w:r>
            <w:r>
              <w:rPr>
                <w:rFonts w:hint="default" w:ascii="Times New Roman" w:hAnsi="Times New Roman" w:eastAsia="宋体" w:cs="Times New Roman"/>
                <w:color w:val="auto"/>
                <w:sz w:val="24"/>
                <w:szCs w:val="24"/>
              </w:rPr>
              <w:t>L/人·日计</w:t>
            </w:r>
            <w:bookmarkEnd w:id="4"/>
            <w:r>
              <w:rPr>
                <w:rFonts w:hint="default" w:ascii="Times New Roman" w:hAnsi="Times New Roman" w:eastAsia="宋体" w:cs="Times New Roman"/>
                <w:color w:val="auto"/>
                <w:sz w:val="24"/>
                <w:szCs w:val="24"/>
              </w:rPr>
              <w:t>，则职工生活用水量为</w:t>
            </w:r>
            <w:r>
              <w:rPr>
                <w:rFonts w:hint="default" w:ascii="Times New Roman" w:hAnsi="Times New Roman" w:eastAsia="宋体" w:cs="Times New Roman"/>
                <w:color w:val="auto"/>
                <w:sz w:val="24"/>
                <w:szCs w:val="24"/>
                <w:lang w:val="en-US" w:eastAsia="zh-CN"/>
              </w:rPr>
              <w:t>0.392</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default" w:ascii="Times New Roman" w:hAnsi="Times New Roman" w:eastAsia="宋体" w:cs="Times New Roman"/>
                <w:color w:val="auto"/>
                <w:sz w:val="24"/>
                <w:szCs w:val="24"/>
                <w:lang w:val="en-US" w:eastAsia="zh-CN"/>
              </w:rPr>
              <w:t>143.08</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p>
          <w:p w14:paraId="1155DA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pacing w:val="0"/>
                <w:w w:val="100"/>
                <w:sz w:val="24"/>
                <w:szCs w:val="24"/>
              </w:rPr>
            </w:pPr>
            <w:r>
              <w:rPr>
                <w:rFonts w:hint="default" w:ascii="Times New Roman" w:hAnsi="Times New Roman" w:eastAsia="宋体" w:cs="Times New Roman"/>
                <w:b w:val="0"/>
                <w:bCs w:val="0"/>
                <w:color w:val="auto"/>
                <w:spacing w:val="0"/>
                <w:w w:val="100"/>
                <w:sz w:val="24"/>
                <w:szCs w:val="24"/>
              </w:rPr>
              <w:t>3</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排水</w:t>
            </w:r>
          </w:p>
          <w:p w14:paraId="787E2B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本项目采用雨污分流排水系统。</w:t>
            </w:r>
            <w:r>
              <w:rPr>
                <w:rFonts w:hint="default" w:ascii="Times New Roman" w:hAnsi="Times New Roman" w:eastAsia="宋体" w:cs="Times New Roman"/>
                <w:color w:val="auto"/>
                <w:sz w:val="24"/>
                <w:szCs w:val="24"/>
                <w:lang w:eastAsia="zh-CN"/>
              </w:rPr>
              <w:t>生活污水</w:t>
            </w:r>
            <w:r>
              <w:rPr>
                <w:rFonts w:hint="default" w:ascii="Times New Roman" w:hAnsi="Times New Roman" w:eastAsia="宋体" w:cs="Times New Roman"/>
                <w:color w:val="auto"/>
                <w:sz w:val="24"/>
                <w:szCs w:val="24"/>
              </w:rPr>
              <w:t>取产污系数0.8，</w:t>
            </w:r>
            <w:r>
              <w:rPr>
                <w:rFonts w:hint="default" w:ascii="Times New Roman" w:hAnsi="Times New Roman" w:eastAsia="宋体" w:cs="Times New Roman"/>
                <w:color w:val="auto"/>
                <w:sz w:val="24"/>
                <w:szCs w:val="24"/>
                <w:lang w:eastAsia="zh-CN"/>
              </w:rPr>
              <w:t>则生活污水</w:t>
            </w:r>
            <w:r>
              <w:rPr>
                <w:rFonts w:hint="default" w:ascii="Times New Roman" w:hAnsi="Times New Roman" w:eastAsia="宋体" w:cs="Times New Roman"/>
                <w:color w:val="auto"/>
                <w:sz w:val="24"/>
                <w:szCs w:val="24"/>
              </w:rPr>
              <w:t>产生量</w:t>
            </w:r>
            <w:r>
              <w:rPr>
                <w:rFonts w:hint="default" w:ascii="Times New Roman" w:hAnsi="Times New Roman" w:eastAsia="宋体" w:cs="Times New Roman"/>
                <w:color w:val="auto"/>
                <w:sz w:val="24"/>
                <w:szCs w:val="24"/>
                <w:lang w:val="en-US" w:eastAsia="zh-CN"/>
              </w:rPr>
              <w:t>0.0.31</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sz w:val="24"/>
                <w:szCs w:val="24"/>
                <w:lang w:val="en-US" w:eastAsia="zh-CN"/>
              </w:rPr>
              <w:t>，114.46</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生活污水经厂区化粪池处理后排入项目污水处理厂处理后排放渭河。</w:t>
            </w:r>
            <w:r>
              <w:rPr>
                <w:rFonts w:hint="default" w:ascii="Times New Roman" w:hAnsi="Times New Roman" w:eastAsia="宋体" w:cs="Times New Roman"/>
                <w:color w:val="auto"/>
                <w:spacing w:val="0"/>
                <w:w w:val="100"/>
                <w:sz w:val="24"/>
                <w:szCs w:val="24"/>
              </w:rPr>
              <w:t>项目生活污水经管网引入集水池，进入废水处理系统，同</w:t>
            </w:r>
            <w:r>
              <w:rPr>
                <w:rFonts w:hint="default" w:ascii="Times New Roman" w:hAnsi="Times New Roman" w:eastAsia="宋体" w:cs="Times New Roman"/>
                <w:color w:val="auto"/>
                <w:spacing w:val="0"/>
                <w:w w:val="100"/>
                <w:sz w:val="24"/>
                <w:szCs w:val="24"/>
                <w:lang w:val="en-US" w:eastAsia="zh-CN"/>
              </w:rPr>
              <w:t>园区</w:t>
            </w:r>
            <w:r>
              <w:rPr>
                <w:rFonts w:hint="default" w:ascii="Times New Roman" w:hAnsi="Times New Roman" w:eastAsia="宋体" w:cs="Times New Roman"/>
                <w:color w:val="auto"/>
                <w:spacing w:val="0"/>
                <w:w w:val="100"/>
                <w:sz w:val="24"/>
                <w:szCs w:val="24"/>
              </w:rPr>
              <w:t>污水一并处理达到《陕西省黄河流域污水综合排</w:t>
            </w:r>
            <w:r>
              <w:rPr>
                <w:rFonts w:hint="default" w:ascii="Times New Roman" w:hAnsi="Times New Roman" w:eastAsia="宋体" w:cs="Times New Roman"/>
                <w:color w:val="auto"/>
                <w:spacing w:val="0"/>
                <w:w w:val="100"/>
                <w:sz w:val="24"/>
                <w:szCs w:val="24"/>
              </w:rPr>
              <w:t>放标准》（DB61/224-2018）A</w:t>
            </w:r>
            <w:r>
              <w:rPr>
                <w:rFonts w:hint="default" w:ascii="Times New Roman" w:hAnsi="Times New Roman" w:eastAsia="宋体" w:cs="Times New Roman"/>
                <w:color w:val="auto"/>
                <w:spacing w:val="0"/>
                <w:w w:val="100"/>
                <w:sz w:val="24"/>
                <w:szCs w:val="24"/>
                <w:lang w:val="en-US" w:eastAsia="zh-CN"/>
              </w:rPr>
              <w:t>级</w:t>
            </w:r>
            <w:r>
              <w:rPr>
                <w:rFonts w:hint="default" w:ascii="Times New Roman" w:hAnsi="Times New Roman" w:eastAsia="宋体" w:cs="Times New Roman"/>
                <w:color w:val="auto"/>
                <w:spacing w:val="0"/>
                <w:w w:val="100"/>
                <w:sz w:val="24"/>
                <w:szCs w:val="24"/>
              </w:rPr>
              <w:t>标准</w:t>
            </w:r>
            <w:r>
              <w:rPr>
                <w:rFonts w:hint="default" w:ascii="Times New Roman" w:hAnsi="Times New Roman" w:eastAsia="宋体" w:cs="Times New Roman"/>
                <w:color w:val="auto"/>
                <w:spacing w:val="0"/>
                <w:w w:val="100"/>
                <w:sz w:val="24"/>
                <w:szCs w:val="24"/>
                <w:lang w:eastAsia="zh-CN"/>
              </w:rPr>
              <w:t>排放至千河。</w:t>
            </w:r>
          </w:p>
        </w:tc>
      </w:tr>
      <w:tr w14:paraId="241B22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61" w:hRule="atLeast"/>
          <w:jc w:val="center"/>
        </w:trPr>
        <w:tc>
          <w:tcPr>
            <w:tcW w:w="755" w:type="dxa"/>
            <w:tcBorders>
              <w:top w:val="single" w:color="auto" w:sz="4" w:space="0"/>
              <w:left w:val="single" w:color="auto" w:sz="8" w:space="0"/>
              <w:bottom w:val="single" w:color="auto" w:sz="4" w:space="0"/>
              <w:right w:val="single" w:color="auto" w:sz="4" w:space="0"/>
            </w:tcBorders>
            <w:shd w:val="clear" w:color="auto" w:fill="auto"/>
            <w:vAlign w:val="center"/>
          </w:tcPr>
          <w:p w14:paraId="70B748FD">
            <w:pPr>
              <w:pStyle w:val="19"/>
              <w:widowControl/>
              <w:adjustRightInd w:val="0"/>
              <w:snapToGrid w:val="0"/>
              <w:spacing w:before="0" w:beforeAutospacing="0" w:after="0" w:afterAutospacing="0"/>
              <w:ind w:left="0" w:right="0"/>
              <w:jc w:val="center"/>
              <w:rPr>
                <w:rFonts w:hint="default" w:ascii="Times New Roman" w:hAnsi="Times New Roman" w:cs="Times New Roman"/>
                <w:color w:val="auto"/>
                <w:spacing w:val="0"/>
                <w:w w:val="100"/>
                <w:sz w:val="21"/>
                <w:szCs w:val="21"/>
                <w:lang w:val="en-US"/>
              </w:rPr>
            </w:pPr>
            <w:r>
              <w:rPr>
                <w:rFonts w:hint="default" w:ascii="Times New Roman" w:hAnsi="Times New Roman" w:cs="Times New Roman"/>
                <w:color w:val="auto"/>
                <w:spacing w:val="0"/>
                <w:w w:val="100"/>
                <w:sz w:val="24"/>
                <w:szCs w:val="24"/>
              </w:rPr>
              <w:t>工艺流程和产排污环节</w:t>
            </w:r>
          </w:p>
        </w:tc>
        <w:tc>
          <w:tcPr>
            <w:tcW w:w="8924" w:type="dxa"/>
            <w:tcBorders>
              <w:top w:val="single" w:color="auto" w:sz="4" w:space="0"/>
              <w:left w:val="single" w:color="auto" w:sz="4" w:space="0"/>
              <w:bottom w:val="single" w:color="auto" w:sz="4" w:space="0"/>
              <w:right w:val="single" w:color="auto" w:sz="8" w:space="0"/>
            </w:tcBorders>
            <w:shd w:val="clear" w:color="auto" w:fill="auto"/>
            <w:vAlign w:val="top"/>
          </w:tcPr>
          <w:p w14:paraId="625E53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1、施工期工艺及产污工序</w:t>
            </w:r>
          </w:p>
          <w:p w14:paraId="45DAA7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根据建设单位提供资料，项目施工期主要包括污水处理厂建设工程及配套管道建设工程。</w:t>
            </w:r>
          </w:p>
          <w:p w14:paraId="212026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（1）污水处理厂施工工艺</w:t>
            </w:r>
          </w:p>
          <w:p w14:paraId="6664F4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施工期工艺及产污节点示意图如下。</w:t>
            </w:r>
          </w:p>
          <w:p w14:paraId="11F786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color w:val="auto"/>
                <w:spacing w:val="0"/>
                <w:w w:val="100"/>
              </w:rPr>
            </w:pPr>
            <w:r>
              <w:rPr>
                <w:rFonts w:hint="default" w:ascii="Times New Roman" w:hAnsi="Times New Roman" w:eastAsia="宋体" w:cs="Times New Roman"/>
                <w:color w:val="auto"/>
                <w:spacing w:val="0"/>
                <w:w w:val="100"/>
              </w:rPr>
              <w:drawing>
                <wp:inline distT="0" distB="0" distL="114300" distR="114300">
                  <wp:extent cx="5565775" cy="1894840"/>
                  <wp:effectExtent l="0" t="0" r="12065" b="1016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19"/>
                          <a:stretch>
                            <a:fillRect/>
                          </a:stretch>
                        </pic:blipFill>
                        <pic:spPr>
                          <a:xfrm>
                            <a:off x="0" y="0"/>
                            <a:ext cx="5565775" cy="1894840"/>
                          </a:xfrm>
                          <a:prstGeom prst="rect">
                            <a:avLst/>
                          </a:prstGeom>
                          <a:noFill/>
                          <a:ln>
                            <a:noFill/>
                          </a:ln>
                        </pic:spPr>
                      </pic:pic>
                    </a:graphicData>
                  </a:graphic>
                </wp:inline>
              </w:drawing>
            </w:r>
          </w:p>
          <w:p w14:paraId="245E6E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pacing w:val="0"/>
                <w:w w:val="100"/>
                <w:sz w:val="21"/>
                <w:szCs w:val="21"/>
                <w14:textOutline w14:w="3831" w14:cap="flat" w14:cmpd="sng">
                  <w14:solidFill>
                    <w14:srgbClr w14:val="000000"/>
                  </w14:solidFill>
                  <w14:prstDash w14:val="solid"/>
                  <w14:miter w14:val="0"/>
                </w14:textOutline>
              </w:rPr>
            </w:pPr>
            <w:r>
              <w:rPr>
                <w:rFonts w:hint="default" w:ascii="Times New Roman" w:hAnsi="Times New Roman" w:eastAsia="宋体" w:cs="Times New Roman"/>
                <w:color w:val="auto"/>
                <w:spacing w:val="0"/>
                <w:w w:val="100"/>
                <w:sz w:val="21"/>
                <w:szCs w:val="21"/>
                <w14:textOutline w14:w="3831" w14:cap="flat" w14:cmpd="sng">
                  <w14:solidFill>
                    <w14:srgbClr w14:val="000000"/>
                  </w14:solidFill>
                  <w14:prstDash w14:val="solid"/>
                  <w14:miter w14:val="0"/>
                </w14:textOutline>
              </w:rPr>
              <w:t>图</w:t>
            </w:r>
            <w:r>
              <w:rPr>
                <w:rFonts w:hint="default" w:ascii="Times New Roman" w:hAnsi="Times New Roman" w:eastAsia="宋体" w:cs="Times New Roman"/>
                <w:b/>
                <w:bCs/>
                <w:color w:val="auto"/>
                <w:spacing w:val="0"/>
                <w:w w:val="100"/>
                <w:sz w:val="21"/>
                <w:szCs w:val="21"/>
                <w:lang w:val="en-US" w:eastAsia="zh-CN"/>
              </w:rPr>
              <w:t xml:space="preserve">2-1  </w:t>
            </w:r>
            <w:r>
              <w:rPr>
                <w:rFonts w:hint="default" w:ascii="Times New Roman" w:hAnsi="Times New Roman" w:eastAsia="宋体" w:cs="Times New Roman"/>
                <w:color w:val="auto"/>
                <w:spacing w:val="0"/>
                <w:w w:val="100"/>
                <w:sz w:val="21"/>
                <w:szCs w:val="21"/>
                <w14:textOutline w14:w="3831" w14:cap="flat" w14:cmpd="sng">
                  <w14:solidFill>
                    <w14:srgbClr w14:val="000000"/>
                  </w14:solidFill>
                  <w14:prstDash w14:val="solid"/>
                  <w14:miter w14:val="0"/>
                </w14:textOutline>
              </w:rPr>
              <w:t>项目</w:t>
            </w:r>
            <w:r>
              <w:rPr>
                <w:rFonts w:hint="default" w:ascii="Times New Roman" w:hAnsi="Times New Roman" w:eastAsia="宋体" w:cs="Times New Roman"/>
                <w:color w:val="auto"/>
                <w:spacing w:val="0"/>
                <w:w w:val="100"/>
                <w:sz w:val="21"/>
                <w:szCs w:val="21"/>
                <w:lang w:eastAsia="zh-CN"/>
                <w14:textOutline w14:w="3831" w14:cap="flat" w14:cmpd="sng">
                  <w14:solidFill>
                    <w14:srgbClr w14:val="000000"/>
                  </w14:solidFill>
                  <w14:prstDash w14:val="solid"/>
                  <w14:miter w14:val="0"/>
                </w14:textOutline>
              </w:rPr>
              <w:t>污水处理厂</w:t>
            </w:r>
            <w:r>
              <w:rPr>
                <w:rFonts w:hint="default" w:ascii="Times New Roman" w:hAnsi="Times New Roman" w:eastAsia="宋体" w:cs="Times New Roman"/>
                <w:color w:val="auto"/>
                <w:spacing w:val="0"/>
                <w:w w:val="100"/>
                <w:sz w:val="21"/>
                <w:szCs w:val="21"/>
                <w14:textOutline w14:w="3831" w14:cap="flat" w14:cmpd="sng">
                  <w14:solidFill>
                    <w14:srgbClr w14:val="000000"/>
                  </w14:solidFill>
                  <w14:prstDash w14:val="solid"/>
                  <w14:miter w14:val="0"/>
                </w14:textOutline>
              </w:rPr>
              <w:t>施工工艺流程及产污节点示意图</w:t>
            </w:r>
          </w:p>
          <w:p w14:paraId="52D5E3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eastAsia="zh-CN"/>
              </w:rPr>
              <w:fldChar w:fldCharType="begin"/>
            </w:r>
            <w:r>
              <w:rPr>
                <w:rFonts w:hint="default" w:ascii="Times New Roman" w:hAnsi="Times New Roman" w:eastAsia="宋体" w:cs="Times New Roman"/>
                <w:color w:val="auto"/>
                <w:spacing w:val="0"/>
                <w:w w:val="100"/>
                <w:sz w:val="24"/>
                <w:szCs w:val="24"/>
                <w:lang w:eastAsia="zh-CN"/>
              </w:rPr>
              <w:instrText xml:space="preserve"> = 1 \* GB3 \* MERGEFORMAT </w:instrText>
            </w:r>
            <w:r>
              <w:rPr>
                <w:rFonts w:hint="default" w:ascii="Times New Roman" w:hAnsi="Times New Roman" w:eastAsia="宋体" w:cs="Times New Roman"/>
                <w:color w:val="auto"/>
                <w:spacing w:val="0"/>
                <w:w w:val="100"/>
                <w:sz w:val="24"/>
                <w:szCs w:val="24"/>
                <w:lang w:eastAsia="zh-CN"/>
              </w:rPr>
              <w:fldChar w:fldCharType="separate"/>
            </w:r>
            <w:r>
              <w:rPr>
                <w:rFonts w:hint="default" w:ascii="Times New Roman" w:hAnsi="Times New Roman" w:cs="Times New Roman"/>
                <w:color w:val="auto"/>
                <w:spacing w:val="0"/>
                <w:w w:val="100"/>
                <w:sz w:val="24"/>
                <w:szCs w:val="24"/>
              </w:rPr>
              <w:t>①</w:t>
            </w:r>
            <w:r>
              <w:rPr>
                <w:rFonts w:hint="default" w:ascii="Times New Roman" w:hAnsi="Times New Roman" w:eastAsia="宋体" w:cs="Times New Roman"/>
                <w:color w:val="auto"/>
                <w:spacing w:val="0"/>
                <w:w w:val="100"/>
                <w:sz w:val="24"/>
                <w:szCs w:val="24"/>
                <w:lang w:eastAsia="zh-CN"/>
              </w:rPr>
              <w:fldChar w:fldCharType="end"/>
            </w:r>
            <w:r>
              <w:rPr>
                <w:rFonts w:hint="default" w:ascii="Times New Roman" w:hAnsi="Times New Roman" w:eastAsia="宋体" w:cs="Times New Roman"/>
                <w:color w:val="auto"/>
                <w:spacing w:val="0"/>
                <w:w w:val="100"/>
                <w:sz w:val="24"/>
                <w:szCs w:val="24"/>
              </w:rPr>
              <w:t>场地平整、土石方工程：主要为施工场地场平工程、临时弃土场建设等，在此过</w:t>
            </w:r>
            <w:r>
              <w:rPr>
                <w:rFonts w:hint="eastAsia" w:ascii="Times New Roman" w:hAnsi="Times New Roman" w:eastAsia="宋体" w:cs="Times New Roman"/>
                <w:color w:val="auto"/>
                <w:spacing w:val="0"/>
                <w:w w:val="100"/>
                <w:sz w:val="24"/>
                <w:szCs w:val="24"/>
                <w:lang w:eastAsia="zh-CN"/>
              </w:rPr>
              <w:t>程中</w:t>
            </w:r>
            <w:r>
              <w:rPr>
                <w:rFonts w:hint="default" w:ascii="Times New Roman" w:hAnsi="Times New Roman" w:eastAsia="宋体" w:cs="Times New Roman"/>
                <w:color w:val="auto"/>
                <w:spacing w:val="0"/>
                <w:w w:val="100"/>
                <w:sz w:val="24"/>
                <w:szCs w:val="24"/>
              </w:rPr>
              <w:t>将产生施工扬尘、施工废水、施工噪声、建筑垃圾等环境污染；</w:t>
            </w:r>
          </w:p>
          <w:p w14:paraId="68B1BD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fldChar w:fldCharType="begin"/>
            </w:r>
            <w:r>
              <w:rPr>
                <w:rFonts w:hint="default" w:ascii="Times New Roman" w:hAnsi="Times New Roman" w:eastAsia="宋体" w:cs="Times New Roman"/>
                <w:color w:val="auto"/>
                <w:spacing w:val="0"/>
                <w:w w:val="100"/>
                <w:sz w:val="24"/>
                <w:szCs w:val="24"/>
              </w:rPr>
              <w:instrText xml:space="preserve"> = 2 \* GB3 \* MERGEFORMAT </w:instrText>
            </w:r>
            <w:r>
              <w:rPr>
                <w:rFonts w:hint="default" w:ascii="Times New Roman" w:hAnsi="Times New Roman" w:eastAsia="宋体" w:cs="Times New Roman"/>
                <w:color w:val="auto"/>
                <w:spacing w:val="0"/>
                <w:w w:val="100"/>
                <w:sz w:val="24"/>
                <w:szCs w:val="24"/>
              </w:rPr>
              <w:fldChar w:fldCharType="separate"/>
            </w:r>
            <w:r>
              <w:rPr>
                <w:rFonts w:hint="default" w:ascii="Times New Roman" w:hAnsi="Times New Roman" w:eastAsia="宋体" w:cs="Times New Roman"/>
                <w:color w:val="auto"/>
                <w:spacing w:val="0"/>
                <w:w w:val="100"/>
                <w:sz w:val="24"/>
                <w:szCs w:val="24"/>
              </w:rPr>
              <w:t>②</w:t>
            </w:r>
            <w:r>
              <w:rPr>
                <w:rFonts w:hint="default" w:ascii="Times New Roman" w:hAnsi="Times New Roman" w:eastAsia="宋体" w:cs="Times New Roman"/>
                <w:color w:val="auto"/>
                <w:spacing w:val="0"/>
                <w:w w:val="100"/>
                <w:sz w:val="24"/>
                <w:szCs w:val="24"/>
              </w:rPr>
              <w:fldChar w:fldCharType="end"/>
            </w:r>
            <w:r>
              <w:rPr>
                <w:rFonts w:hint="default" w:ascii="Times New Roman" w:hAnsi="Times New Roman" w:eastAsia="宋体" w:cs="Times New Roman"/>
                <w:color w:val="auto"/>
                <w:spacing w:val="0"/>
                <w:w w:val="100"/>
                <w:sz w:val="24"/>
                <w:szCs w:val="24"/>
              </w:rPr>
              <w:t>主体工程：主要为厂内构筑物建设阶段，本项目污水处理设备均为一体化设备，并采取地下设计，其地上构筑物较少，主要为监测房、值班房及绿化。在此过</w:t>
            </w:r>
            <w:r>
              <w:rPr>
                <w:rFonts w:hint="eastAsia" w:ascii="Times New Roman" w:hAnsi="Times New Roman" w:eastAsia="宋体" w:cs="Times New Roman"/>
                <w:color w:val="auto"/>
                <w:spacing w:val="0"/>
                <w:w w:val="100"/>
                <w:sz w:val="24"/>
                <w:szCs w:val="24"/>
                <w:lang w:eastAsia="zh-CN"/>
              </w:rPr>
              <w:t>程中</w:t>
            </w:r>
            <w:r>
              <w:rPr>
                <w:rFonts w:hint="default" w:ascii="Times New Roman" w:hAnsi="Times New Roman" w:eastAsia="宋体" w:cs="Times New Roman"/>
                <w:color w:val="auto"/>
                <w:spacing w:val="0"/>
                <w:w w:val="100"/>
                <w:sz w:val="24"/>
                <w:szCs w:val="24"/>
              </w:rPr>
              <w:t>将产生施工扬尘、施工废水、施工噪声及建筑垃圾等环境污染；</w:t>
            </w:r>
          </w:p>
          <w:p w14:paraId="7A7B9E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fldChar w:fldCharType="begin"/>
            </w:r>
            <w:r>
              <w:rPr>
                <w:rFonts w:hint="default" w:ascii="Times New Roman" w:hAnsi="Times New Roman" w:eastAsia="宋体" w:cs="Times New Roman"/>
                <w:color w:val="auto"/>
                <w:spacing w:val="0"/>
                <w:w w:val="100"/>
                <w:sz w:val="24"/>
                <w:szCs w:val="24"/>
                <w:lang w:val="en-US" w:eastAsia="zh-CN"/>
              </w:rPr>
              <w:instrText xml:space="preserve"> = 3 \* GB3 \* MERGEFORMAT </w:instrText>
            </w:r>
            <w:r>
              <w:rPr>
                <w:rFonts w:hint="default" w:ascii="Times New Roman" w:hAnsi="Times New Roman" w:eastAsia="宋体" w:cs="Times New Roman"/>
                <w:color w:val="auto"/>
                <w:spacing w:val="0"/>
                <w:w w:val="100"/>
                <w:sz w:val="24"/>
                <w:szCs w:val="24"/>
                <w:lang w:val="en-US" w:eastAsia="zh-CN"/>
              </w:rPr>
              <w:fldChar w:fldCharType="separate"/>
            </w:r>
            <w:r>
              <w:rPr>
                <w:rFonts w:hint="default" w:ascii="Times New Roman" w:hAnsi="Times New Roman" w:eastAsia="宋体" w:cs="Times New Roman"/>
                <w:color w:val="auto"/>
                <w:spacing w:val="0"/>
                <w:w w:val="100"/>
                <w:sz w:val="24"/>
                <w:szCs w:val="24"/>
              </w:rPr>
              <w:t>③</w:t>
            </w:r>
            <w:r>
              <w:rPr>
                <w:rFonts w:hint="default" w:ascii="Times New Roman" w:hAnsi="Times New Roman" w:eastAsia="宋体" w:cs="Times New Roman"/>
                <w:color w:val="auto"/>
                <w:spacing w:val="0"/>
                <w:w w:val="100"/>
                <w:sz w:val="24"/>
                <w:szCs w:val="24"/>
                <w:lang w:val="en-US" w:eastAsia="zh-CN"/>
              </w:rPr>
              <w:fldChar w:fldCharType="end"/>
            </w:r>
            <w:r>
              <w:rPr>
                <w:rFonts w:hint="default" w:ascii="Times New Roman" w:hAnsi="Times New Roman" w:eastAsia="宋体" w:cs="Times New Roman"/>
                <w:color w:val="auto"/>
                <w:spacing w:val="0"/>
                <w:w w:val="100"/>
                <w:sz w:val="24"/>
                <w:szCs w:val="24"/>
              </w:rPr>
              <w:t>设备安装：指厂内设备如泵、风机、仪表、自动控制以及电缆线等工程。在此过</w:t>
            </w:r>
            <w:r>
              <w:rPr>
                <w:rFonts w:hint="eastAsia" w:ascii="Times New Roman" w:hAnsi="Times New Roman" w:eastAsia="宋体" w:cs="Times New Roman"/>
                <w:color w:val="auto"/>
                <w:spacing w:val="0"/>
                <w:w w:val="100"/>
                <w:sz w:val="24"/>
                <w:szCs w:val="24"/>
                <w:lang w:eastAsia="zh-CN"/>
              </w:rPr>
              <w:t>程中</w:t>
            </w:r>
            <w:r>
              <w:rPr>
                <w:rFonts w:hint="default" w:ascii="Times New Roman" w:hAnsi="Times New Roman" w:eastAsia="宋体" w:cs="Times New Roman"/>
                <w:color w:val="auto"/>
                <w:spacing w:val="0"/>
                <w:w w:val="100"/>
                <w:sz w:val="24"/>
                <w:szCs w:val="24"/>
              </w:rPr>
              <w:t>将产生施工扬尘、施工废水、施工噪声及建筑垃圾等环境污染。</w:t>
            </w:r>
          </w:p>
          <w:p w14:paraId="1568A0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综</w:t>
            </w:r>
            <w:r>
              <w:rPr>
                <w:rFonts w:hint="default" w:ascii="Times New Roman" w:hAnsi="Times New Roman" w:eastAsia="宋体" w:cs="Times New Roman"/>
                <w:color w:val="auto"/>
                <w:spacing w:val="0"/>
                <w:w w:val="100"/>
                <w:sz w:val="24"/>
                <w:szCs w:val="24"/>
              </w:rPr>
              <w:t>上，项目施工期污染物产生情况，见下表。</w:t>
            </w:r>
          </w:p>
          <w:p w14:paraId="21F5E7A2">
            <w:pPr>
              <w:keepNext w:val="0"/>
              <w:keepLines w:val="0"/>
              <w:suppressLineNumbers w:val="0"/>
              <w:spacing w:before="0" w:beforeAutospacing="0" w:after="0" w:afterAutospacing="0"/>
              <w:ind w:left="0" w:right="0"/>
              <w:jc w:val="center"/>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表2-6  施工期污染物产生情况表</w:t>
            </w:r>
          </w:p>
          <w:tbl>
            <w:tblPr>
              <w:tblStyle w:val="58"/>
              <w:tblW w:w="4995"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31"/>
              <w:gridCol w:w="1417"/>
              <w:gridCol w:w="3882"/>
              <w:gridCol w:w="2164"/>
            </w:tblGrid>
            <w:tr w14:paraId="75E6A1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707" w:type="pct"/>
                  <w:shd w:val="clear" w:color="auto" w:fill="FFFFFF"/>
                  <w:vAlign w:val="top"/>
                </w:tcPr>
                <w:p w14:paraId="18ABA69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类别</w:t>
                  </w:r>
                </w:p>
              </w:tc>
              <w:tc>
                <w:tcPr>
                  <w:tcW w:w="814" w:type="pct"/>
                  <w:shd w:val="clear" w:color="auto" w:fill="FFFFFF"/>
                  <w:vAlign w:val="top"/>
                </w:tcPr>
                <w:p w14:paraId="0CB7D08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产污位置</w:t>
                  </w:r>
                </w:p>
              </w:tc>
              <w:tc>
                <w:tcPr>
                  <w:tcW w:w="2232" w:type="pct"/>
                  <w:shd w:val="clear" w:color="auto" w:fill="FFFFFF"/>
                  <w:vAlign w:val="top"/>
                </w:tcPr>
                <w:p w14:paraId="7308179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污染物</w:t>
                  </w:r>
                </w:p>
              </w:tc>
              <w:tc>
                <w:tcPr>
                  <w:tcW w:w="1244" w:type="pct"/>
                  <w:shd w:val="clear" w:color="auto" w:fill="FFFFFF"/>
                  <w:vAlign w:val="top"/>
                </w:tcPr>
                <w:p w14:paraId="267CE89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污染因子</w:t>
                  </w:r>
                </w:p>
              </w:tc>
            </w:tr>
            <w:tr w14:paraId="2851BD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707" w:type="pct"/>
                  <w:vMerge w:val="restart"/>
                  <w:tcBorders>
                    <w:bottom w:val="nil"/>
                  </w:tcBorders>
                  <w:shd w:val="clear" w:color="auto" w:fill="FFFFFF"/>
                  <w:vAlign w:val="center"/>
                </w:tcPr>
                <w:p w14:paraId="5ABF37D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废水</w:t>
                  </w:r>
                </w:p>
              </w:tc>
              <w:tc>
                <w:tcPr>
                  <w:tcW w:w="814" w:type="pct"/>
                  <w:shd w:val="clear" w:color="auto" w:fill="FFFFFF"/>
                  <w:vAlign w:val="top"/>
                </w:tcPr>
                <w:p w14:paraId="6A9B6FF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施工场地</w:t>
                  </w:r>
                </w:p>
              </w:tc>
              <w:tc>
                <w:tcPr>
                  <w:tcW w:w="2232" w:type="pct"/>
                  <w:shd w:val="clear" w:color="auto" w:fill="FFFFFF"/>
                  <w:vAlign w:val="top"/>
                </w:tcPr>
                <w:p w14:paraId="43BE964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施工废水</w:t>
                  </w:r>
                </w:p>
              </w:tc>
              <w:tc>
                <w:tcPr>
                  <w:tcW w:w="1244" w:type="pct"/>
                  <w:vAlign w:val="top"/>
                </w:tcPr>
                <w:p w14:paraId="76231F8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shd w:val="clear" w:fill="FFFFFE"/>
                    </w:rPr>
                    <w:t>SS</w:t>
                  </w:r>
                  <w:r>
                    <w:rPr>
                      <w:rFonts w:hint="default" w:ascii="Times New Roman" w:hAnsi="Times New Roman" w:eastAsia="宋体" w:cs="Times New Roman"/>
                      <w:color w:val="auto"/>
                      <w:spacing w:val="0"/>
                      <w:w w:val="100"/>
                      <w:sz w:val="21"/>
                      <w:szCs w:val="21"/>
                      <w:shd w:val="clear" w:fill="FFFFFE"/>
                    </w:rPr>
                    <w:t>、石油类</w:t>
                  </w:r>
                </w:p>
              </w:tc>
            </w:tr>
            <w:tr w14:paraId="0A792A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707" w:type="pct"/>
                  <w:vMerge w:val="continue"/>
                  <w:tcBorders>
                    <w:top w:val="nil"/>
                  </w:tcBorders>
                  <w:vAlign w:val="center"/>
                </w:tcPr>
                <w:p w14:paraId="1740462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pacing w:val="0"/>
                      <w:w w:val="100"/>
                      <w:sz w:val="21"/>
                    </w:rPr>
                  </w:pPr>
                </w:p>
              </w:tc>
              <w:tc>
                <w:tcPr>
                  <w:tcW w:w="814" w:type="pct"/>
                  <w:shd w:val="clear" w:color="auto" w:fill="FFFFFF"/>
                  <w:vAlign w:val="top"/>
                </w:tcPr>
                <w:p w14:paraId="6196943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施工场地</w:t>
                  </w:r>
                </w:p>
              </w:tc>
              <w:tc>
                <w:tcPr>
                  <w:tcW w:w="2232" w:type="pct"/>
                  <w:shd w:val="clear" w:color="auto" w:fill="FFFFFF"/>
                  <w:vAlign w:val="top"/>
                </w:tcPr>
                <w:p w14:paraId="79A9054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生活污水</w:t>
                  </w:r>
                </w:p>
              </w:tc>
              <w:tc>
                <w:tcPr>
                  <w:tcW w:w="1244" w:type="pct"/>
                  <w:vAlign w:val="top"/>
                </w:tcPr>
                <w:p w14:paraId="56E1DBE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shd w:val="clear" w:fill="FFFFFE"/>
                    </w:rPr>
                    <w:t>COD</w:t>
                  </w:r>
                  <w:r>
                    <w:rPr>
                      <w:rFonts w:hint="default" w:ascii="Times New Roman" w:hAnsi="Times New Roman" w:eastAsia="宋体" w:cs="Times New Roman"/>
                      <w:color w:val="auto"/>
                      <w:spacing w:val="0"/>
                      <w:w w:val="100"/>
                      <w:sz w:val="21"/>
                      <w:szCs w:val="21"/>
                      <w:shd w:val="clear" w:fill="FFFFFE"/>
                    </w:rPr>
                    <w:t>、氨氮</w:t>
                  </w:r>
                </w:p>
              </w:tc>
            </w:tr>
            <w:tr w14:paraId="6AC556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707" w:type="pct"/>
                  <w:vMerge w:val="restart"/>
                  <w:tcBorders>
                    <w:bottom w:val="nil"/>
                  </w:tcBorders>
                  <w:shd w:val="clear" w:color="auto" w:fill="FFFFFF"/>
                  <w:vAlign w:val="center"/>
                </w:tcPr>
                <w:p w14:paraId="0253E5C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废气</w:t>
                  </w:r>
                </w:p>
              </w:tc>
              <w:tc>
                <w:tcPr>
                  <w:tcW w:w="814" w:type="pct"/>
                  <w:shd w:val="clear" w:color="auto" w:fill="FFFFFF"/>
                  <w:vAlign w:val="top"/>
                </w:tcPr>
                <w:p w14:paraId="7EAF6F5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施工场地</w:t>
                  </w:r>
                </w:p>
              </w:tc>
              <w:tc>
                <w:tcPr>
                  <w:tcW w:w="2232" w:type="pct"/>
                  <w:shd w:val="clear" w:color="auto" w:fill="FFFFFF"/>
                  <w:vAlign w:val="top"/>
                </w:tcPr>
                <w:p w14:paraId="4E2B13A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扬尘</w:t>
                  </w:r>
                </w:p>
              </w:tc>
              <w:tc>
                <w:tcPr>
                  <w:tcW w:w="1244" w:type="pct"/>
                  <w:shd w:val="clear" w:color="auto" w:fill="FFFFFF"/>
                  <w:vAlign w:val="top"/>
                </w:tcPr>
                <w:p w14:paraId="7443A6C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TSP</w:t>
                  </w:r>
                </w:p>
              </w:tc>
            </w:tr>
            <w:tr w14:paraId="5F4242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707" w:type="pct"/>
                  <w:vMerge w:val="continue"/>
                  <w:tcBorders>
                    <w:top w:val="nil"/>
                  </w:tcBorders>
                  <w:vAlign w:val="center"/>
                </w:tcPr>
                <w:p w14:paraId="3242845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pacing w:val="0"/>
                      <w:w w:val="100"/>
                      <w:sz w:val="21"/>
                    </w:rPr>
                  </w:pPr>
                </w:p>
              </w:tc>
              <w:tc>
                <w:tcPr>
                  <w:tcW w:w="814" w:type="pct"/>
                  <w:shd w:val="clear" w:color="auto" w:fill="FFFFFF"/>
                  <w:vAlign w:val="top"/>
                </w:tcPr>
                <w:p w14:paraId="79A9F8B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施工场地</w:t>
                  </w:r>
                </w:p>
              </w:tc>
              <w:tc>
                <w:tcPr>
                  <w:tcW w:w="2232" w:type="pct"/>
                  <w:shd w:val="clear" w:color="auto" w:fill="FFFFFF"/>
                  <w:vAlign w:val="top"/>
                </w:tcPr>
                <w:p w14:paraId="43E0A7A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施工设备及来往机动车尾气</w:t>
                  </w:r>
                </w:p>
              </w:tc>
              <w:tc>
                <w:tcPr>
                  <w:tcW w:w="1244" w:type="pct"/>
                  <w:shd w:val="clear" w:color="auto" w:fill="FFFFFF"/>
                  <w:vAlign w:val="top"/>
                </w:tcPr>
                <w:p w14:paraId="23347C9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THC</w:t>
                  </w:r>
                  <w:r>
                    <w:rPr>
                      <w:rFonts w:hint="default" w:ascii="Times New Roman" w:hAnsi="Times New Roman" w:eastAsia="宋体" w:cs="Times New Roman"/>
                      <w:color w:val="auto"/>
                      <w:spacing w:val="0"/>
                      <w:w w:val="100"/>
                      <w:sz w:val="21"/>
                      <w:szCs w:val="21"/>
                    </w:rPr>
                    <w:t>、</w:t>
                  </w:r>
                  <w:r>
                    <w:rPr>
                      <w:rFonts w:hint="default" w:ascii="Times New Roman" w:hAnsi="Times New Roman" w:eastAsia="Times New Roman" w:cs="Times New Roman"/>
                      <w:color w:val="auto"/>
                      <w:spacing w:val="0"/>
                      <w:w w:val="100"/>
                      <w:sz w:val="21"/>
                      <w:szCs w:val="21"/>
                    </w:rPr>
                    <w:t>CO</w:t>
                  </w:r>
                </w:p>
              </w:tc>
            </w:tr>
            <w:tr w14:paraId="63780A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707" w:type="pct"/>
                  <w:shd w:val="clear" w:color="auto" w:fill="FFFFFF"/>
                  <w:vAlign w:val="center"/>
                </w:tcPr>
                <w:p w14:paraId="47677FF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噪声</w:t>
                  </w:r>
                </w:p>
              </w:tc>
              <w:tc>
                <w:tcPr>
                  <w:tcW w:w="814" w:type="pct"/>
                  <w:shd w:val="clear" w:color="auto" w:fill="FFFFFF"/>
                  <w:vAlign w:val="top"/>
                </w:tcPr>
                <w:p w14:paraId="7A96A89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施工场地</w:t>
                  </w:r>
                </w:p>
              </w:tc>
              <w:tc>
                <w:tcPr>
                  <w:tcW w:w="2232" w:type="pct"/>
                  <w:shd w:val="clear" w:color="auto" w:fill="FFFFFF"/>
                  <w:vAlign w:val="top"/>
                </w:tcPr>
                <w:p w14:paraId="4B858B7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施工设备及来往机动车噪声</w:t>
                  </w:r>
                </w:p>
              </w:tc>
              <w:tc>
                <w:tcPr>
                  <w:tcW w:w="1244" w:type="pct"/>
                  <w:shd w:val="clear" w:color="auto" w:fill="FFFFFF"/>
                  <w:vAlign w:val="top"/>
                </w:tcPr>
                <w:p w14:paraId="39A1A87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dB(A)</w:t>
                  </w:r>
                </w:p>
              </w:tc>
            </w:tr>
            <w:tr w14:paraId="6B5AF1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707" w:type="pct"/>
                  <w:vMerge w:val="restart"/>
                  <w:tcBorders>
                    <w:bottom w:val="nil"/>
                  </w:tcBorders>
                  <w:shd w:val="clear" w:color="auto" w:fill="FFFFFF"/>
                  <w:vAlign w:val="center"/>
                </w:tcPr>
                <w:p w14:paraId="1575D5D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固废</w:t>
                  </w:r>
                </w:p>
              </w:tc>
              <w:tc>
                <w:tcPr>
                  <w:tcW w:w="814" w:type="pct"/>
                  <w:shd w:val="clear" w:color="auto" w:fill="FFFFFF"/>
                  <w:vAlign w:val="top"/>
                </w:tcPr>
                <w:p w14:paraId="0A49688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施工场地</w:t>
                  </w:r>
                </w:p>
              </w:tc>
              <w:tc>
                <w:tcPr>
                  <w:tcW w:w="2232" w:type="pct"/>
                  <w:shd w:val="clear" w:color="auto" w:fill="FFFFFF"/>
                  <w:vAlign w:val="top"/>
                </w:tcPr>
                <w:p w14:paraId="64FD903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弃方</w:t>
                  </w:r>
                </w:p>
              </w:tc>
              <w:tc>
                <w:tcPr>
                  <w:tcW w:w="1244" w:type="pct"/>
                  <w:vAlign w:val="top"/>
                </w:tcPr>
                <w:p w14:paraId="1CED4D3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shd w:val="clear" w:fill="FFFFFE"/>
                    </w:rPr>
                    <w:t>土方、石方</w:t>
                  </w:r>
                </w:p>
              </w:tc>
            </w:tr>
            <w:tr w14:paraId="6870C5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 w:hRule="atLeast"/>
              </w:trPr>
              <w:tc>
                <w:tcPr>
                  <w:tcW w:w="707" w:type="pct"/>
                  <w:vMerge w:val="continue"/>
                  <w:tcBorders>
                    <w:top w:val="nil"/>
                    <w:bottom w:val="nil"/>
                  </w:tcBorders>
                  <w:vAlign w:val="top"/>
                </w:tcPr>
                <w:p w14:paraId="735FC0D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pacing w:val="0"/>
                      <w:w w:val="100"/>
                      <w:sz w:val="21"/>
                    </w:rPr>
                  </w:pPr>
                </w:p>
              </w:tc>
              <w:tc>
                <w:tcPr>
                  <w:tcW w:w="814" w:type="pct"/>
                  <w:shd w:val="clear" w:color="auto" w:fill="FFFFFF"/>
                  <w:vAlign w:val="top"/>
                </w:tcPr>
                <w:p w14:paraId="7ED464D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施工场地</w:t>
                  </w:r>
                </w:p>
              </w:tc>
              <w:tc>
                <w:tcPr>
                  <w:tcW w:w="2232" w:type="pct"/>
                  <w:shd w:val="clear" w:color="auto" w:fill="FFFFFF"/>
                  <w:vAlign w:val="top"/>
                </w:tcPr>
                <w:p w14:paraId="1D93236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建筑垃圾</w:t>
                  </w:r>
                </w:p>
              </w:tc>
              <w:tc>
                <w:tcPr>
                  <w:tcW w:w="1244" w:type="pct"/>
                  <w:shd w:val="clear" w:color="auto" w:fill="FFFFFF"/>
                  <w:vAlign w:val="top"/>
                </w:tcPr>
                <w:p w14:paraId="772971D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w:t>
                  </w:r>
                </w:p>
              </w:tc>
            </w:tr>
            <w:tr w14:paraId="33ECDC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707" w:type="pct"/>
                  <w:vMerge w:val="continue"/>
                  <w:tcBorders>
                    <w:top w:val="nil"/>
                  </w:tcBorders>
                  <w:vAlign w:val="top"/>
                </w:tcPr>
                <w:p w14:paraId="78C8F7F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pacing w:val="0"/>
                      <w:w w:val="100"/>
                      <w:sz w:val="21"/>
                    </w:rPr>
                  </w:pPr>
                </w:p>
              </w:tc>
              <w:tc>
                <w:tcPr>
                  <w:tcW w:w="814" w:type="pct"/>
                  <w:shd w:val="clear" w:color="auto" w:fill="FFFFFF"/>
                  <w:vAlign w:val="top"/>
                </w:tcPr>
                <w:p w14:paraId="17B5548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施工场地</w:t>
                  </w:r>
                </w:p>
              </w:tc>
              <w:tc>
                <w:tcPr>
                  <w:tcW w:w="2232" w:type="pct"/>
                  <w:shd w:val="clear" w:color="auto" w:fill="FFFFFF"/>
                  <w:vAlign w:val="top"/>
                </w:tcPr>
                <w:p w14:paraId="5DB3789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生活垃圾</w:t>
                  </w:r>
                </w:p>
              </w:tc>
              <w:tc>
                <w:tcPr>
                  <w:tcW w:w="1244" w:type="pct"/>
                  <w:shd w:val="clear" w:color="auto" w:fill="FFFFFF"/>
                  <w:vAlign w:val="top"/>
                </w:tcPr>
                <w:p w14:paraId="0B95EA3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w:t>
                  </w:r>
                </w:p>
              </w:tc>
            </w:tr>
          </w:tbl>
          <w:p w14:paraId="0F1B40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2、运营期工程分析</w:t>
            </w:r>
          </w:p>
          <w:p w14:paraId="1DFE57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rPr>
              <w:t>（1）污水处理工艺</w:t>
            </w:r>
            <w:r>
              <w:rPr>
                <w:rFonts w:hint="default" w:ascii="Times New Roman" w:hAnsi="Times New Roman" w:eastAsia="宋体" w:cs="Times New Roman"/>
                <w:color w:val="auto"/>
                <w:spacing w:val="0"/>
                <w:w w:val="100"/>
                <w:sz w:val="24"/>
                <w:szCs w:val="24"/>
                <w:lang w:eastAsia="zh-CN"/>
              </w:rPr>
              <w:t>产污环节分析</w:t>
            </w:r>
          </w:p>
          <w:p w14:paraId="553D36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污水处理工艺简述如下：进水经粗、细格栅除渣后进入旋流沉砂池进一步去除较大的颗粒物后，进入调节池调节水量后进入A</w:t>
            </w:r>
            <w:r>
              <w:rPr>
                <w:rFonts w:hint="default"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lang w:eastAsia="zh-CN"/>
              </w:rPr>
              <w:t>/O</w:t>
            </w:r>
            <w:r>
              <w:rPr>
                <w:rFonts w:hint="default" w:ascii="Times New Roman" w:hAnsi="Times New Roman" w:eastAsia="宋体" w:cs="Times New Roman"/>
                <w:color w:val="auto"/>
                <w:spacing w:val="0"/>
                <w:w w:val="100"/>
                <w:sz w:val="24"/>
                <w:szCs w:val="24"/>
                <w:lang w:val="en-US" w:eastAsia="zh-CN"/>
              </w:rPr>
              <w:t>+</w:t>
            </w:r>
            <w:r>
              <w:rPr>
                <w:rFonts w:hint="default" w:ascii="Times New Roman" w:hAnsi="Times New Roman" w:eastAsia="宋体" w:cs="Times New Roman"/>
                <w:color w:val="000000"/>
                <w:kern w:val="0"/>
                <w:sz w:val="24"/>
                <w:szCs w:val="24"/>
                <w:lang w:val="en-US" w:eastAsia="zh-CN" w:bidi="ar"/>
              </w:rPr>
              <w:t>MBR</w:t>
            </w:r>
            <w:r>
              <w:rPr>
                <w:rFonts w:hint="default" w:ascii="Times New Roman" w:hAnsi="Times New Roman" w:eastAsia="宋体" w:cs="Times New Roman"/>
                <w:color w:val="auto"/>
                <w:spacing w:val="0"/>
                <w:w w:val="100"/>
                <w:sz w:val="24"/>
                <w:szCs w:val="24"/>
                <w:lang w:eastAsia="zh-CN"/>
              </w:rPr>
              <w:t>生物池，进行生物降解，去除COD、BOD和脱氮除磷之后进入二沉池进一步去除SS、COD、TP等污染物，之后经臭氧接触池除去</w:t>
            </w:r>
            <w:r>
              <w:rPr>
                <w:rFonts w:hint="default" w:ascii="Times New Roman" w:hAnsi="Times New Roman" w:eastAsia="宋体" w:cs="Times New Roman"/>
                <w:color w:val="auto"/>
                <w:spacing w:val="0"/>
                <w:w w:val="100"/>
                <w:sz w:val="24"/>
                <w:szCs w:val="24"/>
                <w:lang w:val="en-US" w:eastAsia="zh-CN"/>
              </w:rPr>
              <w:t>SS和脱氮处理，</w:t>
            </w:r>
            <w:r>
              <w:rPr>
                <w:rFonts w:hint="eastAsia" w:ascii="Times New Roman" w:hAnsi="Times New Roman" w:eastAsia="宋体" w:cs="Times New Roman"/>
                <w:color w:val="auto"/>
                <w:spacing w:val="0"/>
                <w:w w:val="100"/>
                <w:sz w:val="24"/>
                <w:szCs w:val="24"/>
                <w:lang w:val="en-US" w:eastAsia="zh-CN"/>
              </w:rPr>
              <w:t>再</w:t>
            </w:r>
            <w:r>
              <w:rPr>
                <w:rFonts w:hint="default" w:ascii="Times New Roman" w:hAnsi="Times New Roman" w:eastAsia="宋体" w:cs="Times New Roman"/>
                <w:color w:val="auto"/>
                <w:spacing w:val="0"/>
                <w:w w:val="100"/>
                <w:sz w:val="24"/>
                <w:szCs w:val="24"/>
                <w:lang w:val="en-US" w:eastAsia="zh-CN"/>
              </w:rPr>
              <w:t>经活性炭滤池处理再一次处理</w:t>
            </w:r>
            <w:r>
              <w:rPr>
                <w:rFonts w:hint="default" w:ascii="Times New Roman" w:hAnsi="Times New Roman" w:eastAsia="宋体" w:cs="Times New Roman"/>
                <w:color w:val="auto"/>
                <w:spacing w:val="0"/>
                <w:w w:val="100"/>
                <w:sz w:val="24"/>
                <w:szCs w:val="24"/>
                <w:lang w:eastAsia="zh-CN"/>
              </w:rPr>
              <w:t>，确保出水达到《</w:t>
            </w:r>
            <w:r>
              <w:rPr>
                <w:rFonts w:hint="default" w:ascii="Times New Roman" w:hAnsi="Times New Roman" w:eastAsia="宋体" w:cs="Times New Roman"/>
                <w:color w:val="auto"/>
                <w:spacing w:val="0"/>
                <w:w w:val="100"/>
                <w:sz w:val="24"/>
                <w:szCs w:val="24"/>
                <w:lang w:val="en-US" w:eastAsia="zh-CN"/>
              </w:rPr>
              <w:t>陕西省</w:t>
            </w:r>
            <w:r>
              <w:rPr>
                <w:rFonts w:hint="default" w:ascii="Times New Roman" w:hAnsi="Times New Roman" w:eastAsia="宋体" w:cs="Times New Roman"/>
                <w:color w:val="auto"/>
                <w:spacing w:val="0"/>
                <w:w w:val="100"/>
                <w:sz w:val="24"/>
                <w:szCs w:val="24"/>
                <w:lang w:eastAsia="zh-CN"/>
              </w:rPr>
              <w:t>黄河流域污水综合排放标准》中的A标准，经接触消毒池消毒后，最终排入千河。</w:t>
            </w:r>
          </w:p>
          <w:p w14:paraId="17E313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污泥处理工艺流程：A</w:t>
            </w:r>
            <w:r>
              <w:rPr>
                <w:rFonts w:hint="default"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lang w:eastAsia="zh-CN"/>
              </w:rPr>
              <w:t>/O生物池</w:t>
            </w:r>
            <w:r>
              <w:rPr>
                <w:rFonts w:hint="default" w:ascii="Times New Roman" w:hAnsi="Times New Roman" w:eastAsia="宋体" w:cs="Times New Roman"/>
                <w:color w:val="auto"/>
                <w:spacing w:val="0"/>
                <w:w w:val="100"/>
                <w:sz w:val="24"/>
                <w:szCs w:val="24"/>
                <w:lang w:val="en-US" w:eastAsia="zh-CN"/>
              </w:rPr>
              <w:t>与二沉池</w:t>
            </w:r>
            <w:r>
              <w:rPr>
                <w:rFonts w:hint="default" w:ascii="Times New Roman" w:hAnsi="Times New Roman" w:eastAsia="宋体" w:cs="Times New Roman"/>
                <w:color w:val="auto"/>
                <w:spacing w:val="0"/>
                <w:w w:val="100"/>
                <w:sz w:val="24"/>
                <w:szCs w:val="24"/>
                <w:lang w:eastAsia="zh-CN"/>
              </w:rPr>
              <w:t>产生污水混合物，部分回流，剩余污泥经一起经储泥池进行调质</w:t>
            </w:r>
            <w:r>
              <w:rPr>
                <w:rFonts w:hint="default" w:ascii="Times New Roman" w:hAnsi="Times New Roman" w:eastAsia="宋体" w:cs="Times New Roman"/>
                <w:color w:val="auto"/>
                <w:spacing w:val="0"/>
                <w:w w:val="100"/>
                <w:sz w:val="24"/>
                <w:szCs w:val="24"/>
                <w:lang w:val="en-US" w:eastAsia="zh-CN"/>
              </w:rPr>
              <w:t>消化+浓缩</w:t>
            </w:r>
            <w:r>
              <w:rPr>
                <w:rFonts w:hint="default" w:ascii="Times New Roman" w:hAnsi="Times New Roman" w:eastAsia="宋体" w:cs="Times New Roman"/>
                <w:color w:val="auto"/>
                <w:spacing w:val="0"/>
                <w:w w:val="100"/>
                <w:sz w:val="24"/>
                <w:szCs w:val="24"/>
                <w:lang w:eastAsia="zh-CN"/>
              </w:rPr>
              <w:t>泥水分离后，经污泥浓缩后由</w:t>
            </w:r>
            <w:r>
              <w:rPr>
                <w:rFonts w:hint="default" w:ascii="Times New Roman" w:hAnsi="Times New Roman" w:eastAsia="宋体" w:cs="Times New Roman"/>
                <w:color w:val="auto"/>
                <w:spacing w:val="0"/>
                <w:w w:val="100"/>
                <w:sz w:val="24"/>
                <w:szCs w:val="24"/>
                <w:lang w:val="en-US" w:eastAsia="zh-CN"/>
              </w:rPr>
              <w:t>污泥脱水机</w:t>
            </w:r>
            <w:r>
              <w:rPr>
                <w:rFonts w:hint="default" w:ascii="Times New Roman" w:hAnsi="Times New Roman" w:eastAsia="宋体" w:cs="Times New Roman"/>
                <w:color w:val="auto"/>
                <w:spacing w:val="0"/>
                <w:w w:val="100"/>
                <w:sz w:val="24"/>
                <w:szCs w:val="24"/>
                <w:lang w:eastAsia="zh-CN"/>
              </w:rPr>
              <w:t>处理后，泥饼外运，滤液回流至闸门井处重新处理。</w:t>
            </w:r>
          </w:p>
          <w:p w14:paraId="34E564CF">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val="en-US" w:eastAsia="zh-CN"/>
              </w:rPr>
            </w:pPr>
          </w:p>
          <w:p w14:paraId="20A3EA96">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17C76F87">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01F337B0">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5AA29F87">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51B741A0">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660A5AAA">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5E21D363">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0BC6D771">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5583F4C2">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5B3891A1">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0B437D47">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6B829649">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291326DC">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5DE0D515">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1382E85B">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63157209">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4248B2FF">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74526607">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648587A4">
            <w:pPr>
              <w:pStyle w:val="12"/>
              <w:keepNext w:val="0"/>
              <w:keepLines w:val="0"/>
              <w:suppressLineNumbers w:val="0"/>
              <w:spacing w:before="0" w:beforeAutospacing="0" w:after="0" w:afterAutospacing="0"/>
              <w:rPr>
                <w:rFonts w:hint="default" w:ascii="Times New Roman" w:hAnsi="Times New Roman" w:cs="Times New Roman"/>
                <w:color w:val="auto"/>
                <w:spacing w:val="0"/>
                <w:w w:val="100"/>
                <w:lang w:eastAsia="zh-CN"/>
              </w:rPr>
            </w:pPr>
          </w:p>
          <w:p w14:paraId="03838B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480" w:right="0" w:hanging="420" w:hangingChars="200"/>
              <w:jc w:val="left"/>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cs="Times New Roman"/>
                <w:color w:val="auto"/>
                <w:spacing w:val="0"/>
                <w:w w:val="100"/>
                <w:sz w:val="21"/>
                <w:szCs w:val="21"/>
              </w:rPr>
              <mc:AlternateContent>
                <mc:Choice Requires="wps">
                  <w:drawing>
                    <wp:anchor distT="0" distB="0" distL="114300" distR="114300" simplePos="0" relativeHeight="251665408" behindDoc="0" locked="0" layoutInCell="1" allowOverlap="1">
                      <wp:simplePos x="0" y="0"/>
                      <wp:positionH relativeFrom="column">
                        <wp:posOffset>123190</wp:posOffset>
                      </wp:positionH>
                      <wp:positionV relativeFrom="paragraph">
                        <wp:posOffset>911225</wp:posOffset>
                      </wp:positionV>
                      <wp:extent cx="3443605" cy="4336415"/>
                      <wp:effectExtent l="9525" t="9525" r="13970" b="16510"/>
                      <wp:wrapNone/>
                      <wp:docPr id="37" name="文本框 37"/>
                      <wp:cNvGraphicFramePr/>
                      <a:graphic xmlns:a="http://schemas.openxmlformats.org/drawingml/2006/main">
                        <a:graphicData uri="http://schemas.microsoft.com/office/word/2010/wordprocessingShape">
                          <wps:wsp>
                            <wps:cNvSpPr txBox="1"/>
                            <wps:spPr>
                              <a:xfrm>
                                <a:off x="0" y="0"/>
                                <a:ext cx="3443605" cy="4336415"/>
                              </a:xfrm>
                              <a:prstGeom prst="rect">
                                <a:avLst/>
                              </a:prstGeom>
                              <a:noFill/>
                              <a:ln w="19050">
                                <a:solidFill>
                                  <a:srgbClr val="FF0000"/>
                                </a:solidFill>
                                <a:prstDash val="solid"/>
                              </a:ln>
                            </wps:spPr>
                            <wps:style>
                              <a:lnRef idx="0">
                                <a:schemeClr val="accent1"/>
                              </a:lnRef>
                              <a:fillRef idx="0">
                                <a:schemeClr val="accent1"/>
                              </a:fillRef>
                              <a:effectRef idx="0">
                                <a:schemeClr val="accent1"/>
                              </a:effectRef>
                              <a:fontRef idx="minor">
                                <a:schemeClr val="dk1"/>
                              </a:fontRef>
                            </wps:style>
                            <wps:txbx>
                              <w:txbxContent>
                                <w:p w14:paraId="191B61F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7pt;margin-top:71.75pt;height:341.45pt;width:271.15pt;z-index:251665408;mso-width-relative:page;mso-height-relative:page;" filled="f" stroked="t" coordsize="21600,21600" o:gfxdata="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R3Z0y2gAAAAoBAAAPAAAAAAAAAAEAIAAAACIAAABkcnMvZG93bnJldi54bWxQSwECFAAUAAAA&#10;CACHTuJAFbZurF4CAACsBAAADgAAAAAAAAABACAAAAApAQAAZHJzL2Uyb0RvYy54bWxQSwUGAAAA&#10;AAYABgBZAQAA+QUAAAAA&#10;">
                      <v:fill on="f" focussize="0,0"/>
                      <v:stroke weight="1.5pt" color="#FF0000 [3204]" joinstyle="round"/>
                      <v:imagedata o:title=""/>
                      <o:lock v:ext="edit" aspectratio="f"/>
                      <v:textbox>
                        <w:txbxContent>
                          <w:p w14:paraId="191B61F2"/>
                        </w:txbxContent>
                      </v:textbox>
                    </v:shape>
                  </w:pict>
                </mc:Fallback>
              </mc:AlternateContent>
            </w:r>
            <w:r>
              <w:rPr>
                <w:rFonts w:hint="default" w:ascii="Times New Roman" w:hAnsi="Times New Roman" w:cs="Times New Roman"/>
                <w:color w:val="auto"/>
                <w:spacing w:val="0"/>
                <w:w w:val="100"/>
                <w:sz w:val="21"/>
                <w:szCs w:val="21"/>
              </w:rPr>
              <w:drawing>
                <wp:inline distT="0" distB="0" distL="114300" distR="114300">
                  <wp:extent cx="5175250" cy="6805295"/>
                  <wp:effectExtent l="0" t="0" r="0" b="0"/>
                  <wp:docPr id="14" name="ECB019B1-382A-4266-B25C-5B523AA43C14-1" descr="C:/Users/Administrator/AppData/Local/Temp/wps.LsAUwZ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CB019B1-382A-4266-B25C-5B523AA43C14-1" descr="C:/Users/Administrator/AppData/Local/Temp/wps.LsAUwZwps"/>
                          <pic:cNvPicPr>
                            <a:picLocks noChangeAspect="1"/>
                          </pic:cNvPicPr>
                        </pic:nvPicPr>
                        <pic:blipFill>
                          <a:blip r:embed="rId20"/>
                          <a:stretch>
                            <a:fillRect/>
                          </a:stretch>
                        </pic:blipFill>
                        <pic:spPr>
                          <a:xfrm>
                            <a:off x="0" y="0"/>
                            <a:ext cx="5175250" cy="6805295"/>
                          </a:xfrm>
                          <a:prstGeom prst="rect">
                            <a:avLst/>
                          </a:prstGeom>
                        </pic:spPr>
                      </pic:pic>
                    </a:graphicData>
                  </a:graphic>
                </wp:inline>
              </w:drawing>
            </w:r>
            <w:r>
              <w:rPr>
                <w:rFonts w:hint="default" w:ascii="Times New Roman" w:hAnsi="Times New Roman" w:cs="Times New Roman"/>
                <w:color w:val="auto"/>
                <w:spacing w:val="0"/>
                <w:w w:val="100"/>
                <w:sz w:val="21"/>
              </w:rPr>
              <mc:AlternateContent>
                <mc:Choice Requires="wps">
                  <w:drawing>
                    <wp:anchor distT="0" distB="0" distL="114300" distR="114300" simplePos="0" relativeHeight="251667456" behindDoc="0" locked="0" layoutInCell="1" allowOverlap="1">
                      <wp:simplePos x="0" y="0"/>
                      <wp:positionH relativeFrom="column">
                        <wp:posOffset>43180</wp:posOffset>
                      </wp:positionH>
                      <wp:positionV relativeFrom="paragraph">
                        <wp:posOffset>240030</wp:posOffset>
                      </wp:positionV>
                      <wp:extent cx="1009015" cy="343535"/>
                      <wp:effectExtent l="0" t="0" r="12065" b="6985"/>
                      <wp:wrapNone/>
                      <wp:docPr id="40" name="文本框 40"/>
                      <wp:cNvGraphicFramePr/>
                      <a:graphic xmlns:a="http://schemas.openxmlformats.org/drawingml/2006/main">
                        <a:graphicData uri="http://schemas.microsoft.com/office/word/2010/wordprocessingShape">
                          <wps:wsp>
                            <wps:cNvSpPr txBox="1"/>
                            <wps:spPr>
                              <a:xfrm>
                                <a:off x="1440815" y="1042670"/>
                                <a:ext cx="1009015" cy="343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0D23C0">
                                  <w:pPr>
                                    <w:rPr>
                                      <w:rFonts w:hint="eastAsia" w:eastAsiaTheme="minorEastAsia"/>
                                      <w:lang w:eastAsia="zh-CN"/>
                                    </w:rPr>
                                  </w:pPr>
                                  <w:r>
                                    <w:rPr>
                                      <w:rFonts w:hint="eastAsia"/>
                                      <w:lang w:eastAsia="zh-CN"/>
                                    </w:rPr>
                                    <w:t>臭气、噪声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pt;margin-top:18.9pt;height:27.05pt;width:79.45pt;z-index:251667456;mso-width-relative:page;mso-height-relative:page;" filled="f" stroked="f" coordsize="21600,21600" o:gfxdata="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iBAdM2QAAAAcBAAAPAAAAAAAAAAEAIAAA&#10;ACIAAABkcnMvZG93bnJldi54bWxQSwECFAAUAAAACACHTuJALnL0SkQCAAB0BAAADgAAAAAAAAAB&#10;ACAAAAAoAQAAZHJzL2Uyb0RvYy54bWxQSwUGAAAAAAYABgBZAQAA3gUAAAAA&#10;">
                      <v:fill on="f" focussize="0,0"/>
                      <v:stroke on="f" weight="0.5pt"/>
                      <v:imagedata o:title=""/>
                      <o:lock v:ext="edit" aspectratio="f"/>
                      <v:textbox>
                        <w:txbxContent>
                          <w:p w14:paraId="090D23C0">
                            <w:pPr>
                              <w:rPr>
                                <w:rFonts w:hint="eastAsia" w:eastAsiaTheme="minorEastAsia"/>
                                <w:lang w:eastAsia="zh-CN"/>
                              </w:rPr>
                            </w:pPr>
                            <w:r>
                              <w:rPr>
                                <w:rFonts w:hint="eastAsia"/>
                                <w:lang w:eastAsia="zh-CN"/>
                              </w:rPr>
                              <w:t>臭气、噪声</w:t>
                            </w:r>
                          </w:p>
                        </w:txbxContent>
                      </v:textbox>
                    </v:shape>
                  </w:pict>
                </mc:Fallback>
              </mc:AlternateContent>
            </w:r>
            <w:r>
              <w:rPr>
                <w:rFonts w:hint="default" w:ascii="Times New Roman" w:hAnsi="Times New Roman" w:cs="Times New Roman"/>
                <w:color w:val="auto"/>
                <w:spacing w:val="0"/>
                <w:w w:val="100"/>
                <w:sz w:val="21"/>
              </w:rPr>
              <mc:AlternateContent>
                <mc:Choice Requires="wps">
                  <w:drawing>
                    <wp:anchor distT="0" distB="0" distL="114300" distR="114300" simplePos="0" relativeHeight="251666432" behindDoc="0" locked="0" layoutInCell="1" allowOverlap="1">
                      <wp:simplePos x="0" y="0"/>
                      <wp:positionH relativeFrom="column">
                        <wp:posOffset>472440</wp:posOffset>
                      </wp:positionH>
                      <wp:positionV relativeFrom="paragraph">
                        <wp:posOffset>518795</wp:posOffset>
                      </wp:positionV>
                      <wp:extent cx="241935" cy="396875"/>
                      <wp:effectExtent l="0" t="0" r="5715" b="3175"/>
                      <wp:wrapNone/>
                      <wp:docPr id="39" name="直接箭头连接符 39"/>
                      <wp:cNvGraphicFramePr/>
                      <a:graphic xmlns:a="http://schemas.openxmlformats.org/drawingml/2006/main">
                        <a:graphicData uri="http://schemas.microsoft.com/office/word/2010/wordprocessingShape">
                          <wps:wsp>
                            <wps:cNvCnPr/>
                            <wps:spPr>
                              <a:xfrm flipH="1" flipV="1">
                                <a:off x="1731010" y="1439545"/>
                                <a:ext cx="241935" cy="3968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7.2pt;margin-top:40.85pt;height:31.25pt;width:19.05pt;z-index:251666432;mso-width-relative:page;mso-height-relative:page;" filled="f" stroked="t" coordsize="21600,21600" o:gfxdata="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P&#10;trKX1wAAAAkBAAAPAAAAAAAAAAEAIAAAACIAAABkcnMvZG93bnJldi54bWxQSwECFAAUAAAACACH&#10;TuJAiFeWuCUCAAAEBAAADgAAAAAAAAABACAAAAAmAQAAZHJzL2Uyb0RvYy54bWxQSwUGAAAAAAYA&#10;BgBZAQAAvQUAAAAA&#10;">
                      <v:fill on="f" focussize="0,0"/>
                      <v:stroke weight="0.5pt" color="#FF0000 [3204]" miterlimit="8" joinstyle="miter" endarrow="open"/>
                      <v:imagedata o:title=""/>
                      <o:lock v:ext="edit" aspectratio="f"/>
                    </v:shape>
                  </w:pict>
                </mc:Fallback>
              </mc:AlternateContent>
            </w:r>
          </w:p>
          <w:p w14:paraId="132B458E">
            <w:pPr>
              <w:keepNext w:val="0"/>
              <w:keepLines w:val="0"/>
              <w:suppressLineNumbers w:val="0"/>
              <w:spacing w:before="0" w:beforeAutospacing="0" w:after="0" w:afterAutospacing="0"/>
              <w:ind w:left="0" w:right="0"/>
              <w:jc w:val="center"/>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图</w:t>
            </w:r>
            <w:r>
              <w:rPr>
                <w:rFonts w:hint="default" w:ascii="Times New Roman" w:hAnsi="Times New Roman" w:cs="Times New Roman"/>
                <w:color w:val="auto"/>
                <w:spacing w:val="0"/>
                <w:w w:val="100"/>
                <w:lang w:val="en-US" w:eastAsia="zh-CN"/>
              </w:rPr>
              <w:t>2-2</w:t>
            </w:r>
            <w:r>
              <w:rPr>
                <w:rFonts w:hint="default" w:ascii="Times New Roman" w:hAnsi="Times New Roman" w:cs="Times New Roman"/>
                <w:color w:val="auto"/>
                <w:spacing w:val="0"/>
                <w:w w:val="100"/>
              </w:rPr>
              <w:t xml:space="preserve">  </w:t>
            </w:r>
            <w:r>
              <w:rPr>
                <w:rFonts w:hint="default" w:ascii="Times New Roman" w:hAnsi="Times New Roman" w:cs="Times New Roman"/>
                <w:color w:val="auto"/>
                <w:spacing w:val="0"/>
                <w:w w:val="100"/>
                <w:lang w:val="en-US" w:eastAsia="zh-CN"/>
              </w:rPr>
              <w:t xml:space="preserve"> 污水处理</w:t>
            </w:r>
            <w:r>
              <w:rPr>
                <w:rFonts w:hint="default" w:ascii="Times New Roman" w:hAnsi="Times New Roman" w:cs="Times New Roman"/>
                <w:color w:val="auto"/>
                <w:spacing w:val="0"/>
                <w:w w:val="100"/>
              </w:rPr>
              <w:t>生产工艺流程及产污环节图</w:t>
            </w:r>
          </w:p>
          <w:p w14:paraId="7E1CD212">
            <w:pPr>
              <w:keepNext w:val="0"/>
              <w:keepLines w:val="0"/>
              <w:pageBreakBefore w:val="0"/>
              <w:widowControl w:val="0"/>
              <w:suppressLineNumbers w:val="0"/>
              <w:tabs>
                <w:tab w:val="left" w:pos="1996"/>
              </w:tabs>
              <w:kinsoku/>
              <w:wordWrap/>
              <w:overflowPunct/>
              <w:topLinePunct w:val="0"/>
              <w:autoSpaceDE/>
              <w:autoSpaceDN/>
              <w:bidi w:val="0"/>
              <w:adjustRightInd/>
              <w:snapToGrid/>
              <w:spacing w:before="0" w:beforeAutospacing="0" w:after="0" w:afterAutospacing="0" w:line="360" w:lineRule="auto"/>
              <w:ind w:left="479" w:leftChars="228" w:right="0" w:firstLine="0" w:firstLineChars="0"/>
              <w:jc w:val="left"/>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（2）项目运营期污染物产生情况，见下表。</w:t>
            </w:r>
          </w:p>
          <w:p w14:paraId="73DF4014">
            <w:pPr>
              <w:keepNext w:val="0"/>
              <w:keepLines w:val="0"/>
              <w:suppressLineNumbers w:val="0"/>
              <w:spacing w:before="0" w:beforeAutospacing="0" w:after="0" w:afterAutospacing="0"/>
              <w:ind w:left="0" w:right="0"/>
              <w:jc w:val="center"/>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表2-7   项目运营过程“三废”产生统计表</w:t>
            </w:r>
          </w:p>
          <w:tbl>
            <w:tblPr>
              <w:tblStyle w:val="58"/>
              <w:tblW w:w="877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77"/>
              <w:gridCol w:w="1807"/>
              <w:gridCol w:w="1723"/>
              <w:gridCol w:w="3870"/>
            </w:tblGrid>
            <w:tr w14:paraId="7F9068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9" w:hRule="atLeast"/>
                <w:jc w:val="center"/>
              </w:trPr>
              <w:tc>
                <w:tcPr>
                  <w:tcW w:w="1377" w:type="dxa"/>
                  <w:shd w:val="clear" w:color="auto" w:fill="FFFFFF"/>
                  <w:vAlign w:val="center"/>
                </w:tcPr>
                <w:p w14:paraId="7B586CB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类别</w:t>
                  </w:r>
                </w:p>
              </w:tc>
              <w:tc>
                <w:tcPr>
                  <w:tcW w:w="1807" w:type="dxa"/>
                  <w:shd w:val="clear" w:color="auto" w:fill="FFFFFF"/>
                  <w:vAlign w:val="center"/>
                </w:tcPr>
                <w:p w14:paraId="42365BA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产污位置</w:t>
                  </w:r>
                </w:p>
              </w:tc>
              <w:tc>
                <w:tcPr>
                  <w:tcW w:w="1723" w:type="dxa"/>
                  <w:shd w:val="clear" w:color="auto" w:fill="FFFFFF"/>
                  <w:vAlign w:val="center"/>
                </w:tcPr>
                <w:p w14:paraId="09E5621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污染物</w:t>
                  </w:r>
                </w:p>
              </w:tc>
              <w:tc>
                <w:tcPr>
                  <w:tcW w:w="3870" w:type="dxa"/>
                  <w:shd w:val="clear" w:color="auto" w:fill="FFFFFF"/>
                  <w:vAlign w:val="center"/>
                </w:tcPr>
                <w:p w14:paraId="7C012C7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污染因子</w:t>
                  </w:r>
                </w:p>
              </w:tc>
            </w:tr>
            <w:tr w14:paraId="57272F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jc w:val="center"/>
              </w:trPr>
              <w:tc>
                <w:tcPr>
                  <w:tcW w:w="1377" w:type="dxa"/>
                  <w:shd w:val="clear" w:color="auto" w:fill="FFFFFF"/>
                  <w:vAlign w:val="center"/>
                </w:tcPr>
                <w:p w14:paraId="74792F5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废水</w:t>
                  </w:r>
                </w:p>
              </w:tc>
              <w:tc>
                <w:tcPr>
                  <w:tcW w:w="1807" w:type="dxa"/>
                  <w:shd w:val="clear" w:color="auto" w:fill="FFFFFF"/>
                  <w:vAlign w:val="center"/>
                </w:tcPr>
                <w:p w14:paraId="3911B68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污水处理设施</w:t>
                  </w:r>
                </w:p>
              </w:tc>
              <w:tc>
                <w:tcPr>
                  <w:tcW w:w="1723" w:type="dxa"/>
                  <w:shd w:val="clear" w:color="auto" w:fill="FFFFFF"/>
                  <w:vAlign w:val="center"/>
                </w:tcPr>
                <w:p w14:paraId="3C14CEB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lang w:eastAsia="zh-CN"/>
                    </w:rPr>
                    <w:t>污水处理厂</w:t>
                  </w:r>
                  <w:r>
                    <w:rPr>
                      <w:rFonts w:hint="default" w:ascii="Times New Roman" w:hAnsi="Times New Roman" w:eastAsia="宋体" w:cs="Times New Roman"/>
                      <w:color w:val="auto"/>
                      <w:spacing w:val="0"/>
                      <w:w w:val="100"/>
                      <w:sz w:val="21"/>
                      <w:szCs w:val="21"/>
                    </w:rPr>
                    <w:t>尾水</w:t>
                  </w:r>
                </w:p>
              </w:tc>
              <w:tc>
                <w:tcPr>
                  <w:tcW w:w="3870" w:type="dxa"/>
                  <w:shd w:val="clear" w:color="auto" w:fill="FFFFFF"/>
                  <w:vAlign w:val="center"/>
                </w:tcPr>
                <w:p w14:paraId="2BFCA19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COD</w:t>
                  </w:r>
                  <w:r>
                    <w:rPr>
                      <w:rFonts w:hint="default" w:ascii="Times New Roman" w:hAnsi="Times New Roman" w:eastAsia="宋体" w:cs="Times New Roman"/>
                      <w:color w:val="auto"/>
                      <w:spacing w:val="0"/>
                      <w:w w:val="100"/>
                      <w:sz w:val="21"/>
                      <w:szCs w:val="21"/>
                    </w:rPr>
                    <w:t>、</w:t>
                  </w:r>
                  <w:r>
                    <w:rPr>
                      <w:rFonts w:hint="default" w:ascii="Times New Roman" w:hAnsi="Times New Roman" w:eastAsia="Times New Roman" w:cs="Times New Roman"/>
                      <w:color w:val="auto"/>
                      <w:spacing w:val="0"/>
                      <w:w w:val="100"/>
                      <w:sz w:val="21"/>
                      <w:szCs w:val="21"/>
                    </w:rPr>
                    <w:t>BOD</w:t>
                  </w:r>
                  <w:r>
                    <w:rPr>
                      <w:rFonts w:hint="default" w:ascii="Times New Roman" w:hAnsi="Times New Roman" w:eastAsia="Times New Roman" w:cs="Times New Roman"/>
                      <w:color w:val="auto"/>
                      <w:spacing w:val="0"/>
                      <w:w w:val="100"/>
                      <w:position w:val="-1"/>
                      <w:sz w:val="14"/>
                      <w:szCs w:val="14"/>
                    </w:rPr>
                    <w:t>5</w:t>
                  </w:r>
                  <w:r>
                    <w:rPr>
                      <w:rFonts w:hint="default" w:ascii="Times New Roman" w:hAnsi="Times New Roman" w:eastAsia="宋体" w:cs="Times New Roman"/>
                      <w:color w:val="auto"/>
                      <w:spacing w:val="0"/>
                      <w:w w:val="100"/>
                      <w:sz w:val="21"/>
                      <w:szCs w:val="21"/>
                    </w:rPr>
                    <w:t>、氨氮、</w:t>
                  </w:r>
                  <w:r>
                    <w:rPr>
                      <w:rFonts w:hint="default" w:ascii="Times New Roman" w:hAnsi="Times New Roman" w:eastAsia="宋体" w:cs="Times New Roman"/>
                      <w:color w:val="auto"/>
                      <w:spacing w:val="0"/>
                      <w:w w:val="100"/>
                      <w:sz w:val="21"/>
                      <w:szCs w:val="21"/>
                      <w:lang w:val="en-US" w:eastAsia="zh-CN"/>
                    </w:rPr>
                    <w:t>SS、</w:t>
                  </w:r>
                  <w:r>
                    <w:rPr>
                      <w:rFonts w:hint="default" w:ascii="Times New Roman" w:hAnsi="Times New Roman" w:eastAsia="宋体" w:cs="Times New Roman"/>
                      <w:color w:val="auto"/>
                      <w:spacing w:val="0"/>
                      <w:w w:val="100"/>
                      <w:sz w:val="21"/>
                      <w:szCs w:val="21"/>
                      <w:lang w:eastAsia="zh-CN"/>
                    </w:rPr>
                    <w:t>总磷、</w:t>
                  </w:r>
                  <w:r>
                    <w:rPr>
                      <w:rFonts w:hint="default" w:ascii="Times New Roman" w:hAnsi="Times New Roman" w:eastAsia="宋体" w:cs="Times New Roman"/>
                      <w:color w:val="auto"/>
                      <w:spacing w:val="0"/>
                      <w:w w:val="100"/>
                      <w:sz w:val="21"/>
                      <w:szCs w:val="21"/>
                    </w:rPr>
                    <w:t>总氮等</w:t>
                  </w:r>
                </w:p>
              </w:tc>
            </w:tr>
            <w:tr w14:paraId="0B32D6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3" w:hRule="atLeast"/>
                <w:jc w:val="center"/>
              </w:trPr>
              <w:tc>
                <w:tcPr>
                  <w:tcW w:w="1377" w:type="dxa"/>
                  <w:shd w:val="clear" w:color="auto" w:fill="FFFFFF"/>
                  <w:vAlign w:val="center"/>
                </w:tcPr>
                <w:p w14:paraId="33A469A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废气</w:t>
                  </w:r>
                </w:p>
              </w:tc>
              <w:tc>
                <w:tcPr>
                  <w:tcW w:w="1807" w:type="dxa"/>
                  <w:shd w:val="clear" w:color="auto" w:fill="FFFFFF"/>
                  <w:vAlign w:val="center"/>
                </w:tcPr>
                <w:p w14:paraId="25DE018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污水处理设施</w:t>
                  </w:r>
                </w:p>
              </w:tc>
              <w:tc>
                <w:tcPr>
                  <w:tcW w:w="1723" w:type="dxa"/>
                  <w:shd w:val="clear" w:color="auto" w:fill="FFFFFF"/>
                  <w:vAlign w:val="center"/>
                </w:tcPr>
                <w:p w14:paraId="7AFE376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恶臭</w:t>
                  </w:r>
                </w:p>
              </w:tc>
              <w:tc>
                <w:tcPr>
                  <w:tcW w:w="3870" w:type="dxa"/>
                  <w:shd w:val="clear" w:color="auto" w:fill="FFFFFF"/>
                  <w:vAlign w:val="center"/>
                </w:tcPr>
                <w:p w14:paraId="3D8A27B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NH</w:t>
                  </w:r>
                  <w:r>
                    <w:rPr>
                      <w:rFonts w:hint="default" w:ascii="Times New Roman" w:hAnsi="Times New Roman" w:eastAsia="Times New Roman" w:cs="Times New Roman"/>
                      <w:color w:val="auto"/>
                      <w:spacing w:val="0"/>
                      <w:w w:val="100"/>
                      <w:position w:val="-1"/>
                      <w:sz w:val="14"/>
                      <w:szCs w:val="14"/>
                    </w:rPr>
                    <w:t>3</w:t>
                  </w:r>
                  <w:r>
                    <w:rPr>
                      <w:rFonts w:hint="default" w:ascii="Times New Roman" w:hAnsi="Times New Roman" w:eastAsia="宋体" w:cs="Times New Roman"/>
                      <w:color w:val="auto"/>
                      <w:spacing w:val="0"/>
                      <w:w w:val="100"/>
                      <w:sz w:val="21"/>
                      <w:szCs w:val="21"/>
                    </w:rPr>
                    <w:t>、</w:t>
                  </w:r>
                  <w:r>
                    <w:rPr>
                      <w:rFonts w:hint="default" w:ascii="Times New Roman" w:hAnsi="Times New Roman" w:eastAsia="Times New Roman" w:cs="Times New Roman"/>
                      <w:color w:val="auto"/>
                      <w:spacing w:val="0"/>
                      <w:w w:val="100"/>
                      <w:sz w:val="21"/>
                      <w:szCs w:val="21"/>
                    </w:rPr>
                    <w:t>H</w:t>
                  </w:r>
                  <w:r>
                    <w:rPr>
                      <w:rFonts w:hint="default" w:ascii="Times New Roman" w:hAnsi="Times New Roman" w:eastAsia="Times New Roman" w:cs="Times New Roman"/>
                      <w:color w:val="auto"/>
                      <w:spacing w:val="0"/>
                      <w:w w:val="100"/>
                      <w:position w:val="-1"/>
                      <w:sz w:val="14"/>
                      <w:szCs w:val="14"/>
                    </w:rPr>
                    <w:t>2</w:t>
                  </w:r>
                  <w:r>
                    <w:rPr>
                      <w:rFonts w:hint="default" w:ascii="Times New Roman" w:hAnsi="Times New Roman" w:eastAsia="Times New Roman" w:cs="Times New Roman"/>
                      <w:color w:val="auto"/>
                      <w:spacing w:val="0"/>
                      <w:w w:val="100"/>
                      <w:sz w:val="21"/>
                      <w:szCs w:val="21"/>
                    </w:rPr>
                    <w:t>S</w:t>
                  </w:r>
                  <w:r>
                    <w:rPr>
                      <w:rFonts w:hint="default" w:ascii="Times New Roman" w:hAnsi="Times New Roman" w:eastAsia="宋体" w:cs="Times New Roman"/>
                      <w:color w:val="auto"/>
                      <w:spacing w:val="0"/>
                      <w:w w:val="100"/>
                      <w:sz w:val="21"/>
                      <w:szCs w:val="21"/>
                    </w:rPr>
                    <w:t>等</w:t>
                  </w:r>
                </w:p>
              </w:tc>
            </w:tr>
            <w:tr w14:paraId="21C11E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4" w:hRule="atLeast"/>
                <w:jc w:val="center"/>
              </w:trPr>
              <w:tc>
                <w:tcPr>
                  <w:tcW w:w="1377" w:type="dxa"/>
                  <w:shd w:val="clear" w:color="auto" w:fill="FFFFFF"/>
                  <w:vAlign w:val="center"/>
                </w:tcPr>
                <w:p w14:paraId="76112F0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噪声</w:t>
                  </w:r>
                </w:p>
              </w:tc>
              <w:tc>
                <w:tcPr>
                  <w:tcW w:w="1807" w:type="dxa"/>
                  <w:shd w:val="clear" w:color="auto" w:fill="FFFFFF"/>
                  <w:vAlign w:val="center"/>
                </w:tcPr>
                <w:p w14:paraId="34EE1CE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污水处理设施</w:t>
                  </w:r>
                </w:p>
              </w:tc>
              <w:tc>
                <w:tcPr>
                  <w:tcW w:w="1723" w:type="dxa"/>
                  <w:shd w:val="clear" w:color="auto" w:fill="FFFFFF"/>
                  <w:vAlign w:val="center"/>
                </w:tcPr>
                <w:p w14:paraId="1755FB5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设备噪声</w:t>
                  </w:r>
                </w:p>
              </w:tc>
              <w:tc>
                <w:tcPr>
                  <w:tcW w:w="3870" w:type="dxa"/>
                  <w:shd w:val="clear" w:color="auto" w:fill="FFFFFF"/>
                  <w:vAlign w:val="center"/>
                </w:tcPr>
                <w:p w14:paraId="0B78CCC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dB(A)</w:t>
                  </w:r>
                </w:p>
              </w:tc>
            </w:tr>
            <w:tr w14:paraId="5038A0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3" w:hRule="atLeast"/>
                <w:jc w:val="center"/>
              </w:trPr>
              <w:tc>
                <w:tcPr>
                  <w:tcW w:w="1377" w:type="dxa"/>
                  <w:vMerge w:val="restart"/>
                  <w:tcBorders>
                    <w:bottom w:val="nil"/>
                  </w:tcBorders>
                  <w:shd w:val="clear" w:color="auto" w:fill="FFFFFF"/>
                  <w:vAlign w:val="center"/>
                </w:tcPr>
                <w:p w14:paraId="0193269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固废</w:t>
                  </w:r>
                </w:p>
              </w:tc>
              <w:tc>
                <w:tcPr>
                  <w:tcW w:w="1807" w:type="dxa"/>
                  <w:shd w:val="clear" w:color="auto" w:fill="FFFFFF"/>
                  <w:vAlign w:val="center"/>
                </w:tcPr>
                <w:p w14:paraId="0399140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格栅</w:t>
                  </w:r>
                </w:p>
              </w:tc>
              <w:tc>
                <w:tcPr>
                  <w:tcW w:w="1723" w:type="dxa"/>
                  <w:shd w:val="clear" w:color="auto" w:fill="FFFFFF"/>
                  <w:vAlign w:val="center"/>
                </w:tcPr>
                <w:p w14:paraId="33E33A6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栅渣</w:t>
                  </w:r>
                </w:p>
              </w:tc>
              <w:tc>
                <w:tcPr>
                  <w:tcW w:w="3870" w:type="dxa"/>
                  <w:shd w:val="clear" w:color="auto" w:fill="FFFFFF"/>
                  <w:vAlign w:val="center"/>
                </w:tcPr>
                <w:p w14:paraId="3AE0B53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Times New Roman" w:cs="Times New Roman"/>
                      <w:color w:val="auto"/>
                      <w:spacing w:val="0"/>
                      <w:w w:val="100"/>
                      <w:sz w:val="21"/>
                      <w:szCs w:val="21"/>
                    </w:rPr>
                  </w:pPr>
                  <w:r>
                    <w:rPr>
                      <w:rFonts w:hint="default" w:ascii="Times New Roman" w:hAnsi="Times New Roman" w:cs="Times New Roman"/>
                      <w:b w:val="0"/>
                      <w:bCs w:val="0"/>
                      <w:color w:val="auto"/>
                      <w:spacing w:val="0"/>
                      <w:w w:val="100"/>
                      <w:position w:val="0"/>
                      <w:sz w:val="21"/>
                      <w:szCs w:val="21"/>
                    </w:rPr>
                    <w:t>漂浮物、悬浮物等大颗粒物质</w:t>
                  </w:r>
                </w:p>
              </w:tc>
            </w:tr>
            <w:tr w14:paraId="05BBFA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3" w:hRule="atLeast"/>
                <w:jc w:val="center"/>
              </w:trPr>
              <w:tc>
                <w:tcPr>
                  <w:tcW w:w="1377" w:type="dxa"/>
                  <w:vMerge w:val="continue"/>
                  <w:tcBorders>
                    <w:top w:val="nil"/>
                    <w:bottom w:val="nil"/>
                  </w:tcBorders>
                  <w:vAlign w:val="center"/>
                </w:tcPr>
                <w:p w14:paraId="52AF352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pacing w:val="0"/>
                      <w:w w:val="100"/>
                      <w:sz w:val="21"/>
                    </w:rPr>
                  </w:pPr>
                </w:p>
              </w:tc>
              <w:tc>
                <w:tcPr>
                  <w:tcW w:w="1807" w:type="dxa"/>
                  <w:shd w:val="clear" w:color="auto" w:fill="FFFFFF"/>
                  <w:vAlign w:val="center"/>
                </w:tcPr>
                <w:p w14:paraId="3E392A3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lang w:eastAsia="zh-CN"/>
                    </w:rPr>
                    <w:t>污泥脱水</w:t>
                  </w:r>
                </w:p>
              </w:tc>
              <w:tc>
                <w:tcPr>
                  <w:tcW w:w="1723" w:type="dxa"/>
                  <w:shd w:val="clear" w:color="auto" w:fill="FFFFFF"/>
                  <w:vAlign w:val="center"/>
                </w:tcPr>
                <w:p w14:paraId="1C528BF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污泥</w:t>
                  </w:r>
                </w:p>
              </w:tc>
              <w:tc>
                <w:tcPr>
                  <w:tcW w:w="3870" w:type="dxa"/>
                  <w:shd w:val="clear" w:color="auto" w:fill="FFFFFF"/>
                  <w:vAlign w:val="center"/>
                </w:tcPr>
                <w:p w14:paraId="101534A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rPr>
                    <w:t>污泥</w:t>
                  </w:r>
                  <w:r>
                    <w:rPr>
                      <w:rFonts w:hint="default" w:ascii="Times New Roman" w:hAnsi="Times New Roman" w:eastAsia="宋体" w:cs="Times New Roman"/>
                      <w:color w:val="auto"/>
                      <w:spacing w:val="0"/>
                      <w:w w:val="100"/>
                      <w:sz w:val="21"/>
                      <w:szCs w:val="21"/>
                      <w:lang w:eastAsia="zh-CN"/>
                    </w:rPr>
                    <w:t>（含水率</w:t>
                  </w:r>
                  <w:r>
                    <w:rPr>
                      <w:rFonts w:hint="default" w:ascii="Times New Roman" w:hAnsi="Times New Roman" w:eastAsia="宋体" w:cs="Times New Roman"/>
                      <w:color w:val="auto"/>
                      <w:spacing w:val="0"/>
                      <w:w w:val="100"/>
                      <w:sz w:val="21"/>
                      <w:szCs w:val="21"/>
                      <w:lang w:val="en-US" w:eastAsia="zh-CN"/>
                    </w:rPr>
                    <w:t>60%</w:t>
                  </w:r>
                  <w:r>
                    <w:rPr>
                      <w:rFonts w:hint="default" w:ascii="Times New Roman" w:hAnsi="Times New Roman" w:eastAsia="宋体" w:cs="Times New Roman"/>
                      <w:color w:val="auto"/>
                      <w:spacing w:val="0"/>
                      <w:w w:val="100"/>
                      <w:sz w:val="21"/>
                      <w:szCs w:val="21"/>
                      <w:lang w:eastAsia="zh-CN"/>
                    </w:rPr>
                    <w:t>）</w:t>
                  </w:r>
                </w:p>
              </w:tc>
            </w:tr>
            <w:tr w14:paraId="6F7F3B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1377" w:type="dxa"/>
                  <w:vMerge w:val="continue"/>
                  <w:tcBorders>
                    <w:top w:val="nil"/>
                    <w:bottom w:val="nil"/>
                  </w:tcBorders>
                  <w:vAlign w:val="center"/>
                </w:tcPr>
                <w:p w14:paraId="0D46054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pacing w:val="0"/>
                      <w:w w:val="100"/>
                      <w:sz w:val="21"/>
                    </w:rPr>
                  </w:pPr>
                </w:p>
              </w:tc>
              <w:tc>
                <w:tcPr>
                  <w:tcW w:w="1807" w:type="dxa"/>
                  <w:shd w:val="clear" w:color="auto" w:fill="FFFFFF"/>
                  <w:vAlign w:val="center"/>
                </w:tcPr>
                <w:p w14:paraId="0B334F4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在线监测仪</w:t>
                  </w:r>
                </w:p>
              </w:tc>
              <w:tc>
                <w:tcPr>
                  <w:tcW w:w="1723" w:type="dxa"/>
                  <w:shd w:val="clear" w:color="auto" w:fill="FFFFFF"/>
                  <w:vAlign w:val="center"/>
                </w:tcPr>
                <w:p w14:paraId="5C4072C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在线监测废液</w:t>
                  </w:r>
                </w:p>
              </w:tc>
              <w:tc>
                <w:tcPr>
                  <w:tcW w:w="3870" w:type="dxa"/>
                  <w:shd w:val="clear" w:color="auto" w:fill="FFFFFF"/>
                  <w:vAlign w:val="center"/>
                </w:tcPr>
                <w:p w14:paraId="0E2C653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cs="Times New Roman"/>
                      <w:b w:val="0"/>
                      <w:bCs w:val="0"/>
                      <w:color w:val="auto"/>
                      <w:spacing w:val="0"/>
                      <w:w w:val="100"/>
                      <w:position w:val="0"/>
                      <w:sz w:val="21"/>
                      <w:szCs w:val="21"/>
                      <w:lang w:eastAsia="zh-CN"/>
                    </w:rPr>
                    <w:t>废酸碱试剂</w:t>
                  </w:r>
                  <w:r>
                    <w:rPr>
                      <w:rFonts w:hint="default" w:ascii="Times New Roman" w:hAnsi="Times New Roman" w:cs="Times New Roman"/>
                      <w:b w:val="0"/>
                      <w:bCs w:val="0"/>
                      <w:color w:val="auto"/>
                      <w:spacing w:val="0"/>
                      <w:w w:val="100"/>
                      <w:position w:val="0"/>
                      <w:sz w:val="21"/>
                      <w:szCs w:val="21"/>
                    </w:rPr>
                    <w:t>等</w:t>
                  </w:r>
                </w:p>
              </w:tc>
            </w:tr>
            <w:tr w14:paraId="176432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jc w:val="center"/>
              </w:trPr>
              <w:tc>
                <w:tcPr>
                  <w:tcW w:w="1377" w:type="dxa"/>
                  <w:vMerge w:val="continue"/>
                  <w:tcBorders>
                    <w:top w:val="nil"/>
                  </w:tcBorders>
                  <w:vAlign w:val="center"/>
                </w:tcPr>
                <w:p w14:paraId="7860111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pacing w:val="0"/>
                      <w:w w:val="100"/>
                      <w:sz w:val="21"/>
                    </w:rPr>
                  </w:pPr>
                </w:p>
              </w:tc>
              <w:tc>
                <w:tcPr>
                  <w:tcW w:w="1807" w:type="dxa"/>
                  <w:shd w:val="clear" w:color="auto" w:fill="FFFFFF"/>
                  <w:vAlign w:val="center"/>
                </w:tcPr>
                <w:p w14:paraId="785706B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lang w:eastAsia="zh-CN"/>
                    </w:rPr>
                    <w:t>员工生活</w:t>
                  </w:r>
                </w:p>
              </w:tc>
              <w:tc>
                <w:tcPr>
                  <w:tcW w:w="1723" w:type="dxa"/>
                  <w:shd w:val="clear" w:color="auto" w:fill="FFFFFF"/>
                  <w:vAlign w:val="center"/>
                </w:tcPr>
                <w:p w14:paraId="6201011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lang w:eastAsia="zh-CN"/>
                    </w:rPr>
                    <w:t>生活垃圾</w:t>
                  </w:r>
                </w:p>
              </w:tc>
              <w:tc>
                <w:tcPr>
                  <w:tcW w:w="3870" w:type="dxa"/>
                  <w:shd w:val="clear" w:color="auto" w:fill="FFFFFF"/>
                  <w:vAlign w:val="center"/>
                </w:tcPr>
                <w:p w14:paraId="049B45F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Times New Roman" w:cs="Times New Roman"/>
                      <w:color w:val="auto"/>
                      <w:spacing w:val="0"/>
                      <w:w w:val="100"/>
                      <w:sz w:val="21"/>
                      <w:szCs w:val="21"/>
                    </w:rPr>
                  </w:pPr>
                  <w:r>
                    <w:rPr>
                      <w:rFonts w:hint="default" w:ascii="Times New Roman" w:hAnsi="Times New Roman" w:cs="Times New Roman"/>
                      <w:b w:val="0"/>
                      <w:bCs w:val="0"/>
                      <w:color w:val="auto"/>
                      <w:spacing w:val="0"/>
                      <w:w w:val="100"/>
                      <w:position w:val="0"/>
                      <w:sz w:val="21"/>
                      <w:szCs w:val="21"/>
                      <w:lang w:eastAsia="zh-CN"/>
                    </w:rPr>
                    <w:t>塑料、果皮纸屑等</w:t>
                  </w:r>
                </w:p>
              </w:tc>
            </w:tr>
          </w:tbl>
          <w:p w14:paraId="74FE52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480" w:right="0" w:hanging="480" w:hangingChars="200"/>
              <w:jc w:val="left"/>
              <w:rPr>
                <w:rFonts w:hint="default" w:ascii="Times New Roman" w:hAnsi="Times New Roman" w:eastAsia="宋体" w:cs="Times New Roman"/>
                <w:color w:val="auto"/>
                <w:spacing w:val="0"/>
                <w:w w:val="100"/>
                <w:sz w:val="24"/>
                <w:szCs w:val="24"/>
                <w:lang w:val="en-US" w:eastAsia="zh-CN"/>
              </w:rPr>
            </w:pPr>
          </w:p>
          <w:p w14:paraId="21A4C3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480" w:right="0" w:hanging="420" w:hangingChars="200"/>
              <w:jc w:val="left"/>
              <w:rPr>
                <w:rFonts w:hint="default" w:ascii="Times New Roman" w:hAnsi="Times New Roman" w:cs="Times New Roman"/>
                <w:color w:val="auto"/>
                <w:spacing w:val="0"/>
                <w:w w:val="100"/>
                <w:lang w:val="en-US" w:eastAsia="zh-CN"/>
              </w:rPr>
            </w:pPr>
          </w:p>
        </w:tc>
      </w:tr>
      <w:tr w14:paraId="031C01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392" w:hRule="atLeast"/>
          <w:jc w:val="center"/>
        </w:trPr>
        <w:tc>
          <w:tcPr>
            <w:tcW w:w="755" w:type="dxa"/>
            <w:tcBorders>
              <w:top w:val="single" w:color="auto" w:sz="4" w:space="0"/>
              <w:left w:val="single" w:color="auto" w:sz="8" w:space="0"/>
              <w:bottom w:val="single" w:color="auto" w:sz="8" w:space="0"/>
              <w:right w:val="single" w:color="auto" w:sz="4" w:space="0"/>
            </w:tcBorders>
            <w:shd w:val="clear" w:color="auto" w:fill="auto"/>
            <w:vAlign w:val="center"/>
          </w:tcPr>
          <w:p w14:paraId="5EF4BD07">
            <w:pPr>
              <w:pStyle w:val="19"/>
              <w:widowControl/>
              <w:adjustRightInd w:val="0"/>
              <w:snapToGrid w:val="0"/>
              <w:spacing w:before="0" w:beforeAutospacing="0" w:after="0" w:afterAutospacing="0"/>
              <w:ind w:left="0" w:right="0"/>
              <w:jc w:val="center"/>
              <w:rPr>
                <w:rFonts w:hint="default" w:ascii="Times New Roman" w:hAnsi="Times New Roman" w:cs="Times New Roman"/>
                <w:color w:val="auto"/>
                <w:spacing w:val="0"/>
                <w:w w:val="100"/>
                <w:sz w:val="24"/>
                <w:szCs w:val="24"/>
                <w:lang w:val="en-US"/>
              </w:rPr>
            </w:pPr>
            <w:r>
              <w:rPr>
                <w:rFonts w:hint="default" w:ascii="Times New Roman" w:hAnsi="Times New Roman" w:cs="Times New Roman"/>
                <w:bCs/>
                <w:color w:val="auto"/>
                <w:spacing w:val="0"/>
                <w:w w:val="100"/>
                <w:kern w:val="2"/>
                <w:sz w:val="24"/>
                <w:szCs w:val="24"/>
              </w:rPr>
              <w:t>与项目有关的原有环境污染问题</w:t>
            </w:r>
          </w:p>
        </w:tc>
        <w:tc>
          <w:tcPr>
            <w:tcW w:w="8924" w:type="dxa"/>
            <w:tcBorders>
              <w:top w:val="single" w:color="auto" w:sz="4" w:space="0"/>
              <w:left w:val="single" w:color="auto" w:sz="4" w:space="0"/>
              <w:bottom w:val="single" w:color="auto" w:sz="8" w:space="0"/>
              <w:right w:val="single" w:color="auto" w:sz="8" w:space="0"/>
            </w:tcBorders>
            <w:shd w:val="clear" w:color="auto" w:fill="auto"/>
            <w:vAlign w:val="center"/>
          </w:tcPr>
          <w:p w14:paraId="4628A614">
            <w:pPr>
              <w:pStyle w:val="50"/>
              <w:keepNext w:val="0"/>
              <w:keepLines w:val="0"/>
              <w:suppressLineNumbers w:val="0"/>
              <w:spacing w:before="0" w:beforeAutospacing="0" w:after="0" w:afterAutospacing="0"/>
              <w:ind w:left="0" w:right="0" w:firstLine="480"/>
              <w:jc w:val="both"/>
              <w:rPr>
                <w:rFonts w:hint="default" w:ascii="Times New Roman" w:hAnsi="Times New Roman" w:eastAsia="宋体" w:cs="Times New Roman"/>
                <w:bCs/>
                <w:color w:val="auto"/>
                <w:spacing w:val="0"/>
                <w:w w:val="100"/>
                <w:sz w:val="24"/>
                <w:szCs w:val="24"/>
                <w:lang w:val="en-US" w:eastAsia="zh-CN"/>
              </w:rPr>
            </w:pPr>
            <w:r>
              <w:rPr>
                <w:rFonts w:hint="default" w:ascii="Times New Roman" w:hAnsi="Times New Roman" w:eastAsia="宋体" w:cs="Times New Roman"/>
                <w:color w:val="auto"/>
                <w:spacing w:val="0"/>
                <w:w w:val="100"/>
                <w:lang w:val="en-US" w:eastAsia="zh-CN"/>
              </w:rPr>
              <w:t>本项目为新建项目，无</w:t>
            </w:r>
            <w:r>
              <w:rPr>
                <w:rFonts w:hint="default" w:ascii="Times New Roman" w:hAnsi="Times New Roman" w:cs="Times New Roman"/>
                <w:bCs/>
                <w:color w:val="auto"/>
                <w:spacing w:val="0"/>
                <w:w w:val="100"/>
                <w:kern w:val="2"/>
                <w:sz w:val="24"/>
                <w:szCs w:val="24"/>
              </w:rPr>
              <w:t>与项目有关的原有环境污染问题</w:t>
            </w:r>
            <w:r>
              <w:rPr>
                <w:rFonts w:hint="default" w:ascii="Times New Roman" w:hAnsi="Times New Roman" w:cs="Times New Roman"/>
                <w:color w:val="auto"/>
                <w:spacing w:val="0"/>
                <w:w w:val="100"/>
              </w:rPr>
              <w:t>。</w:t>
            </w:r>
          </w:p>
        </w:tc>
      </w:tr>
    </w:tbl>
    <w:p w14:paraId="4EE69C8E">
      <w:pPr>
        <w:rPr>
          <w:rFonts w:hint="default" w:ascii="Times New Roman" w:hAnsi="Times New Roman" w:eastAsia="黑体" w:cs="Times New Roman"/>
          <w:snapToGrid w:val="0"/>
          <w:color w:val="auto"/>
          <w:spacing w:val="0"/>
          <w:w w:val="100"/>
          <w:sz w:val="36"/>
          <w:szCs w:val="36"/>
          <w:lang w:val="en-US" w:eastAsia="zh-CN" w:bidi="ar"/>
        </w:rPr>
        <w:sectPr>
          <w:footerReference r:id="rId5" w:type="default"/>
          <w:pgSz w:w="11906" w:h="16838"/>
          <w:pgMar w:top="1440" w:right="1440" w:bottom="1440" w:left="1440" w:header="283" w:footer="850" w:gutter="0"/>
          <w:pgNumType w:fmt="decimal"/>
          <w:cols w:space="425" w:num="1"/>
          <w:docGrid w:type="lines" w:linePitch="312" w:charSpace="0"/>
        </w:sectPr>
      </w:pPr>
    </w:p>
    <w:p w14:paraId="048DCCB4">
      <w:pPr>
        <w:pStyle w:val="19"/>
        <w:keepNext w:val="0"/>
        <w:keepLines w:val="0"/>
        <w:pageBreakBefore w:val="0"/>
        <w:widowControl/>
        <w:kinsoku/>
        <w:wordWrap/>
        <w:overflowPunct/>
        <w:topLinePunct w:val="0"/>
        <w:autoSpaceDE/>
        <w:autoSpaceDN/>
        <w:bidi w:val="0"/>
        <w:adjustRightInd/>
        <w:snapToGrid/>
        <w:spacing w:beforeAutospacing="0" w:afterAutospacing="0" w:line="360" w:lineRule="auto"/>
        <w:jc w:val="center"/>
        <w:textAlignment w:val="auto"/>
        <w:outlineLvl w:val="0"/>
        <w:rPr>
          <w:rFonts w:hint="default" w:ascii="Times New Roman" w:hAnsi="Times New Roman" w:eastAsia="黑体" w:cs="Times New Roman"/>
          <w:color w:val="auto"/>
          <w:spacing w:val="0"/>
          <w:w w:val="100"/>
          <w:sz w:val="30"/>
          <w:szCs w:val="30"/>
          <w:lang w:val="en-US"/>
        </w:rPr>
      </w:pPr>
      <w:r>
        <w:rPr>
          <w:rFonts w:hint="default" w:ascii="Times New Roman" w:hAnsi="Times New Roman" w:eastAsia="黑体" w:cs="Times New Roman"/>
          <w:snapToGrid w:val="0"/>
          <w:color w:val="auto"/>
          <w:spacing w:val="0"/>
          <w:w w:val="100"/>
          <w:sz w:val="30"/>
          <w:szCs w:val="30"/>
          <w:lang w:eastAsia="zh-CN"/>
        </w:rPr>
        <w:t>三、区域环境质量现状、环境保护目标及评价标准</w:t>
      </w:r>
    </w:p>
    <w:tbl>
      <w:tblPr>
        <w:tblStyle w:val="21"/>
        <w:tblW w:w="995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22"/>
        <w:gridCol w:w="9134"/>
      </w:tblGrid>
      <w:tr w14:paraId="7CFAF3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021" w:hRule="atLeast"/>
          <w:jc w:val="center"/>
        </w:trPr>
        <w:tc>
          <w:tcPr>
            <w:tcW w:w="822" w:type="dxa"/>
            <w:tcBorders>
              <w:top w:val="single" w:color="auto" w:sz="8" w:space="0"/>
              <w:left w:val="single" w:color="auto" w:sz="8" w:space="0"/>
              <w:bottom w:val="single" w:color="auto" w:sz="4" w:space="0"/>
              <w:right w:val="single" w:color="auto" w:sz="4" w:space="0"/>
            </w:tcBorders>
            <w:shd w:val="clear" w:color="auto" w:fill="auto"/>
            <w:vAlign w:val="center"/>
          </w:tcPr>
          <w:p w14:paraId="088E2E71">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区域</w:t>
            </w:r>
          </w:p>
          <w:p w14:paraId="12C0CB32">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环境</w:t>
            </w:r>
          </w:p>
          <w:p w14:paraId="261C559E">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质量</w:t>
            </w:r>
          </w:p>
          <w:p w14:paraId="17F3C813">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Cs w:val="21"/>
                <w:lang w:val="en-US"/>
              </w:rPr>
            </w:pPr>
            <w:r>
              <w:rPr>
                <w:rFonts w:hint="default" w:ascii="Times New Roman" w:hAnsi="Times New Roman" w:eastAsia="宋体" w:cs="Times New Roman"/>
                <w:color w:val="auto"/>
                <w:spacing w:val="0"/>
                <w:w w:val="100"/>
                <w:kern w:val="0"/>
                <w:sz w:val="24"/>
                <w:szCs w:val="24"/>
                <w:lang w:val="en-US" w:eastAsia="zh-CN" w:bidi="ar"/>
              </w:rPr>
              <w:t>现状</w:t>
            </w:r>
          </w:p>
        </w:tc>
        <w:tc>
          <w:tcPr>
            <w:tcW w:w="9134" w:type="dxa"/>
            <w:tcBorders>
              <w:top w:val="single" w:color="auto" w:sz="8" w:space="0"/>
              <w:left w:val="single" w:color="auto" w:sz="4" w:space="0"/>
              <w:bottom w:val="single" w:color="auto" w:sz="4" w:space="0"/>
              <w:right w:val="single" w:color="auto" w:sz="8" w:space="0"/>
            </w:tcBorders>
            <w:shd w:val="clear" w:color="auto" w:fill="auto"/>
            <w:vAlign w:val="top"/>
          </w:tcPr>
          <w:p w14:paraId="6D9CC33F">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1、环境空气质量现状</w:t>
            </w:r>
          </w:p>
          <w:p w14:paraId="0FD1F84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根据</w:t>
            </w:r>
            <w:r>
              <w:rPr>
                <w:rFonts w:hint="default"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rPr>
              <w:t>建设项目环境影响报告表编制技术指南</w:t>
            </w:r>
            <w:r>
              <w:rPr>
                <w:rFonts w:hint="default"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rPr>
              <w:t>（污染影响类）</w:t>
            </w:r>
            <w:r>
              <w:rPr>
                <w:rFonts w:hint="default" w:ascii="Times New Roman" w:hAnsi="Times New Roman" w:cs="Times New Roman"/>
                <w:color w:val="auto"/>
                <w:spacing w:val="0"/>
                <w:w w:val="100"/>
                <w:sz w:val="24"/>
                <w:szCs w:val="24"/>
                <w:lang w:eastAsia="zh-CN"/>
              </w:rPr>
              <w:t>（试行），</w:t>
            </w:r>
            <w:r>
              <w:rPr>
                <w:rFonts w:hint="default" w:ascii="Times New Roman" w:hAnsi="Times New Roman" w:cs="Times New Roman"/>
                <w:color w:val="auto"/>
                <w:spacing w:val="0"/>
                <w:w w:val="100"/>
                <w:sz w:val="24"/>
                <w:szCs w:val="24"/>
              </w:rPr>
              <w:t>为了查明建设项目所在地的环境空气质量现状，本项目厂址所在地环境大气中SO</w:t>
            </w:r>
            <w:r>
              <w:rPr>
                <w:rFonts w:hint="default" w:ascii="Times New Roman" w:hAnsi="Times New Roman" w:cs="Times New Roman"/>
                <w:color w:val="auto"/>
                <w:spacing w:val="0"/>
                <w:w w:val="100"/>
                <w:sz w:val="24"/>
                <w:szCs w:val="24"/>
                <w:vertAlign w:val="subscript"/>
              </w:rPr>
              <w:t>2</w:t>
            </w:r>
            <w:r>
              <w:rPr>
                <w:rFonts w:hint="default" w:ascii="Times New Roman" w:hAnsi="Times New Roman" w:cs="Times New Roman"/>
                <w:color w:val="auto"/>
                <w:spacing w:val="0"/>
                <w:w w:val="100"/>
                <w:sz w:val="24"/>
                <w:szCs w:val="24"/>
              </w:rPr>
              <w:t>、NO</w:t>
            </w:r>
            <w:r>
              <w:rPr>
                <w:rFonts w:hint="default" w:ascii="Times New Roman" w:hAnsi="Times New Roman" w:cs="Times New Roman"/>
                <w:color w:val="auto"/>
                <w:spacing w:val="0"/>
                <w:w w:val="100"/>
                <w:sz w:val="24"/>
                <w:szCs w:val="24"/>
                <w:vertAlign w:val="subscript"/>
              </w:rPr>
              <w:t>2</w:t>
            </w:r>
            <w:r>
              <w:rPr>
                <w:rFonts w:hint="default" w:ascii="Times New Roman" w:hAnsi="Times New Roman" w:cs="Times New Roman"/>
                <w:color w:val="auto"/>
                <w:spacing w:val="0"/>
                <w:w w:val="100"/>
                <w:sz w:val="24"/>
                <w:szCs w:val="24"/>
              </w:rPr>
              <w:t>、PM</w:t>
            </w:r>
            <w:r>
              <w:rPr>
                <w:rFonts w:hint="default" w:ascii="Times New Roman" w:hAnsi="Times New Roman" w:cs="Times New Roman"/>
                <w:color w:val="auto"/>
                <w:spacing w:val="0"/>
                <w:w w:val="100"/>
                <w:sz w:val="24"/>
                <w:szCs w:val="24"/>
                <w:vertAlign w:val="subscript"/>
              </w:rPr>
              <w:t>10</w:t>
            </w:r>
            <w:r>
              <w:rPr>
                <w:rFonts w:hint="default" w:ascii="Times New Roman" w:hAnsi="Times New Roman" w:cs="Times New Roman"/>
                <w:color w:val="auto"/>
                <w:spacing w:val="0"/>
                <w:w w:val="100"/>
                <w:sz w:val="24"/>
                <w:szCs w:val="24"/>
              </w:rPr>
              <w:t>等监测数据引用宝鸡市生态环境局公布的</w:t>
            </w:r>
            <w:r>
              <w:rPr>
                <w:rFonts w:hint="default"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rPr>
              <w:t>202</w:t>
            </w:r>
            <w:r>
              <w:rPr>
                <w:rFonts w:hint="eastAsia" w:ascii="Times New Roman" w:hAnsi="Times New Roman" w:cs="Times New Roman"/>
                <w:color w:val="auto"/>
                <w:spacing w:val="0"/>
                <w:w w:val="100"/>
                <w:sz w:val="24"/>
                <w:szCs w:val="24"/>
                <w:lang w:val="en-US" w:eastAsia="zh-CN"/>
              </w:rPr>
              <w:t>4</w:t>
            </w:r>
            <w:r>
              <w:rPr>
                <w:rFonts w:hint="default" w:ascii="Times New Roman" w:hAnsi="Times New Roman" w:cs="Times New Roman"/>
                <w:color w:val="auto"/>
                <w:spacing w:val="0"/>
                <w:w w:val="100"/>
                <w:sz w:val="24"/>
                <w:szCs w:val="24"/>
              </w:rPr>
              <w:t>年</w:t>
            </w:r>
            <w:r>
              <w:rPr>
                <w:rFonts w:hint="default" w:ascii="Times New Roman" w:hAnsi="Times New Roman" w:cs="Times New Roman"/>
                <w:color w:val="auto"/>
                <w:spacing w:val="0"/>
                <w:w w:val="100"/>
                <w:sz w:val="24"/>
                <w:szCs w:val="24"/>
                <w:lang w:val="en-US" w:eastAsia="zh-CN"/>
              </w:rPr>
              <w:t>1-12月</w:t>
            </w:r>
            <w:r>
              <w:rPr>
                <w:rFonts w:hint="eastAsia" w:ascii="Times New Roman" w:hAnsi="Times New Roman" w:cs="Times New Roman"/>
                <w:color w:val="auto"/>
                <w:spacing w:val="0"/>
                <w:w w:val="100"/>
                <w:sz w:val="24"/>
                <w:szCs w:val="24"/>
                <w:lang w:val="en-US" w:eastAsia="zh-CN"/>
              </w:rPr>
              <w:t>各县区</w:t>
            </w:r>
            <w:r>
              <w:rPr>
                <w:rFonts w:hint="default" w:ascii="Times New Roman" w:hAnsi="Times New Roman" w:cs="Times New Roman"/>
                <w:color w:val="auto"/>
                <w:spacing w:val="0"/>
                <w:w w:val="100"/>
                <w:sz w:val="24"/>
                <w:szCs w:val="24"/>
              </w:rPr>
              <w:t>环境质量</w:t>
            </w:r>
            <w:r>
              <w:rPr>
                <w:rFonts w:hint="default" w:ascii="Times New Roman" w:hAnsi="Times New Roman" w:cs="Times New Roman"/>
                <w:color w:val="auto"/>
                <w:spacing w:val="0"/>
                <w:w w:val="100"/>
                <w:sz w:val="24"/>
                <w:szCs w:val="24"/>
                <w:lang w:eastAsia="zh-CN"/>
              </w:rPr>
              <w:t>状况》</w:t>
            </w:r>
            <w:r>
              <w:rPr>
                <w:rFonts w:hint="default" w:ascii="Times New Roman" w:hAnsi="Times New Roman" w:cs="Times New Roman"/>
                <w:color w:val="auto"/>
                <w:spacing w:val="0"/>
                <w:w w:val="100"/>
                <w:sz w:val="24"/>
                <w:szCs w:val="24"/>
              </w:rPr>
              <w:t>中</w:t>
            </w:r>
            <w:r>
              <w:rPr>
                <w:rFonts w:hint="eastAsia" w:ascii="Times New Roman" w:hAnsi="Times New Roman" w:cs="Times New Roman"/>
                <w:color w:val="auto"/>
                <w:spacing w:val="0"/>
                <w:w w:val="100"/>
                <w:sz w:val="24"/>
                <w:szCs w:val="24"/>
                <w:lang w:val="en-US" w:eastAsia="zh-CN"/>
              </w:rPr>
              <w:t>陇</w:t>
            </w:r>
            <w:r>
              <w:rPr>
                <w:rFonts w:hint="default" w:ascii="Times New Roman" w:hAnsi="Times New Roman" w:cs="Times New Roman"/>
                <w:color w:val="auto"/>
                <w:spacing w:val="0"/>
                <w:w w:val="100"/>
                <w:sz w:val="24"/>
                <w:szCs w:val="24"/>
                <w:lang w:eastAsia="zh-CN"/>
              </w:rPr>
              <w:t>县</w:t>
            </w:r>
            <w:r>
              <w:rPr>
                <w:rFonts w:hint="default" w:ascii="Times New Roman" w:hAnsi="Times New Roman" w:cs="Times New Roman"/>
                <w:color w:val="auto"/>
                <w:spacing w:val="0"/>
                <w:w w:val="100"/>
                <w:sz w:val="24"/>
                <w:szCs w:val="24"/>
              </w:rPr>
              <w:t>空气质量统计表，引用数据合理。</w:t>
            </w:r>
          </w:p>
          <w:p w14:paraId="2584D71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黑体" w:cs="Times New Roman"/>
                <w:color w:val="auto"/>
                <w:spacing w:val="0"/>
                <w:w w:val="100"/>
                <w:sz w:val="21"/>
                <w:szCs w:val="21"/>
              </w:rPr>
            </w:pPr>
            <w:r>
              <w:rPr>
                <w:rFonts w:hint="default" w:ascii="Times New Roman" w:hAnsi="Times New Roman" w:eastAsia="黑体" w:cs="Times New Roman"/>
                <w:color w:val="auto"/>
                <w:spacing w:val="0"/>
                <w:w w:val="100"/>
                <w:kern w:val="2"/>
                <w:sz w:val="21"/>
                <w:szCs w:val="21"/>
                <w:lang w:val="en-US" w:eastAsia="zh-CN" w:bidi="ar-SA"/>
              </w:rPr>
              <w:t>表</w:t>
            </w:r>
            <w:r>
              <w:rPr>
                <w:rFonts w:hint="eastAsia" w:ascii="Times New Roman" w:hAnsi="Times New Roman" w:eastAsia="黑体" w:cs="Times New Roman"/>
                <w:color w:val="auto"/>
                <w:spacing w:val="0"/>
                <w:w w:val="100"/>
                <w:sz w:val="21"/>
                <w:szCs w:val="21"/>
                <w:lang w:val="en-US" w:eastAsia="zh-CN"/>
              </w:rPr>
              <w:t>3-1</w:t>
            </w:r>
            <w:r>
              <w:rPr>
                <w:rFonts w:hint="default" w:ascii="Times New Roman" w:hAnsi="Times New Roman" w:eastAsia="黑体" w:cs="Times New Roman"/>
                <w:color w:val="auto"/>
                <w:spacing w:val="0"/>
                <w:w w:val="100"/>
                <w:kern w:val="2"/>
                <w:sz w:val="21"/>
                <w:szCs w:val="21"/>
                <w:lang w:val="en-US" w:eastAsia="zh-CN" w:bidi="ar-SA"/>
              </w:rPr>
              <w:t xml:space="preserve">   环境空气质量监测结果统计表   单位：</w:t>
            </w:r>
            <w:r>
              <w:rPr>
                <w:rFonts w:hint="default" w:ascii="Times New Roman" w:hAnsi="Times New Roman" w:cs="Times New Roman"/>
                <w:color w:val="auto"/>
                <w:spacing w:val="0"/>
                <w:w w:val="100"/>
                <w:kern w:val="0"/>
              </w:rPr>
              <w:t>μg</w:t>
            </w:r>
            <w:r>
              <w:rPr>
                <w:rFonts w:hint="default" w:ascii="Times New Roman" w:hAnsi="Times New Roman" w:eastAsia="黑体" w:cs="Times New Roman"/>
                <w:color w:val="auto"/>
                <w:spacing w:val="0"/>
                <w:w w:val="100"/>
                <w:sz w:val="21"/>
                <w:szCs w:val="21"/>
              </w:rPr>
              <w:t>/</w:t>
            </w:r>
            <w:r>
              <w:rPr>
                <w:rFonts w:hint="default" w:ascii="Times New Roman" w:hAnsi="Times New Roman" w:eastAsia="黑体" w:cs="Times New Roman"/>
                <w:color w:val="auto"/>
                <w:spacing w:val="0"/>
                <w:w w:val="100"/>
                <w:sz w:val="21"/>
                <w:szCs w:val="21"/>
                <w:highlight w:val="none"/>
              </w:rPr>
              <w:t>m</w:t>
            </w:r>
            <w:r>
              <w:rPr>
                <w:rFonts w:hint="default" w:ascii="Times New Roman" w:hAnsi="Times New Roman" w:eastAsia="黑体" w:cs="Times New Roman"/>
                <w:color w:val="auto"/>
                <w:spacing w:val="0"/>
                <w:w w:val="100"/>
                <w:sz w:val="21"/>
                <w:szCs w:val="21"/>
                <w:highlight w:val="none"/>
                <w:vertAlign w:val="superscript"/>
              </w:rPr>
              <w:t>3</w:t>
            </w:r>
            <w:r>
              <w:rPr>
                <w:rFonts w:hint="default" w:ascii="Times New Roman" w:hAnsi="Times New Roman" w:eastAsia="黑体" w:cs="Times New Roman"/>
                <w:color w:val="auto"/>
                <w:spacing w:val="0"/>
                <w:w w:val="100"/>
                <w:sz w:val="21"/>
                <w:szCs w:val="21"/>
              </w:rPr>
              <w:t>（</w:t>
            </w:r>
            <w:r>
              <w:rPr>
                <w:rFonts w:hint="default" w:ascii="Times New Roman" w:hAnsi="Times New Roman" w:eastAsia="黑体" w:cs="Times New Roman"/>
                <w:bCs/>
                <w:color w:val="auto"/>
                <w:spacing w:val="0"/>
                <w:w w:val="100"/>
                <w:sz w:val="21"/>
                <w:szCs w:val="21"/>
              </w:rPr>
              <w:t>CO为mg/</w:t>
            </w:r>
            <w:r>
              <w:rPr>
                <w:rFonts w:hint="default" w:ascii="Times New Roman" w:hAnsi="Times New Roman" w:eastAsia="黑体" w:cs="Times New Roman"/>
                <w:bCs/>
                <w:color w:val="auto"/>
                <w:spacing w:val="0"/>
                <w:w w:val="100"/>
                <w:sz w:val="21"/>
                <w:szCs w:val="21"/>
                <w:highlight w:val="none"/>
              </w:rPr>
              <w:t>m</w:t>
            </w:r>
            <w:r>
              <w:rPr>
                <w:rFonts w:hint="default" w:ascii="Times New Roman" w:hAnsi="Times New Roman" w:eastAsia="黑体" w:cs="Times New Roman"/>
                <w:bCs/>
                <w:color w:val="auto"/>
                <w:spacing w:val="0"/>
                <w:w w:val="100"/>
                <w:sz w:val="21"/>
                <w:szCs w:val="21"/>
                <w:highlight w:val="none"/>
                <w:vertAlign w:val="superscript"/>
              </w:rPr>
              <w:t>3</w:t>
            </w:r>
            <w:r>
              <w:rPr>
                <w:rFonts w:hint="default" w:ascii="Times New Roman" w:hAnsi="Times New Roman" w:eastAsia="黑体" w:cs="Times New Roman"/>
                <w:color w:val="auto"/>
                <w:spacing w:val="0"/>
                <w:w w:val="100"/>
                <w:sz w:val="21"/>
                <w:szCs w:val="21"/>
              </w:rPr>
              <w:t>）</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67"/>
              <w:gridCol w:w="840"/>
              <w:gridCol w:w="1091"/>
              <w:gridCol w:w="884"/>
              <w:gridCol w:w="849"/>
              <w:gridCol w:w="1533"/>
              <w:gridCol w:w="1241"/>
            </w:tblGrid>
            <w:tr w14:paraId="4151D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385" w:type="pct"/>
                  <w:noWrap w:val="0"/>
                  <w:vAlign w:val="center"/>
                </w:tcPr>
                <w:p w14:paraId="323CAA8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县区名称</w:t>
                  </w:r>
                </w:p>
              </w:tc>
              <w:tc>
                <w:tcPr>
                  <w:tcW w:w="471" w:type="pct"/>
                  <w:noWrap w:val="0"/>
                  <w:vAlign w:val="center"/>
                </w:tcPr>
                <w:p w14:paraId="4BFCADD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PM</w:t>
                  </w:r>
                  <w:r>
                    <w:rPr>
                      <w:rFonts w:hint="default" w:ascii="Times New Roman" w:hAnsi="Times New Roman" w:cs="Times New Roman"/>
                      <w:color w:val="auto"/>
                      <w:spacing w:val="0"/>
                      <w:w w:val="100"/>
                      <w:sz w:val="21"/>
                      <w:szCs w:val="21"/>
                      <w:vertAlign w:val="subscript"/>
                    </w:rPr>
                    <w:t>10</w:t>
                  </w:r>
                  <w:r>
                    <w:rPr>
                      <w:rFonts w:hint="default" w:ascii="Times New Roman" w:hAnsi="Times New Roman" w:cs="Times New Roman"/>
                      <w:color w:val="auto"/>
                      <w:spacing w:val="0"/>
                      <w:w w:val="100"/>
                      <w:sz w:val="21"/>
                      <w:szCs w:val="21"/>
                    </w:rPr>
                    <w:t>均值</w:t>
                  </w:r>
                </w:p>
              </w:tc>
              <w:tc>
                <w:tcPr>
                  <w:tcW w:w="612" w:type="pct"/>
                  <w:noWrap w:val="0"/>
                  <w:vAlign w:val="center"/>
                </w:tcPr>
                <w:p w14:paraId="47EB793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PM</w:t>
                  </w:r>
                  <w:r>
                    <w:rPr>
                      <w:rFonts w:hint="default" w:ascii="Times New Roman" w:hAnsi="Times New Roman" w:cs="Times New Roman"/>
                      <w:color w:val="auto"/>
                      <w:spacing w:val="0"/>
                      <w:w w:val="100"/>
                      <w:sz w:val="21"/>
                      <w:szCs w:val="21"/>
                      <w:vertAlign w:val="subscript"/>
                    </w:rPr>
                    <w:t>2.5</w:t>
                  </w:r>
                  <w:r>
                    <w:rPr>
                      <w:rFonts w:hint="default" w:ascii="Times New Roman" w:hAnsi="Times New Roman" w:cs="Times New Roman"/>
                      <w:color w:val="auto"/>
                      <w:spacing w:val="0"/>
                      <w:w w:val="100"/>
                      <w:sz w:val="21"/>
                      <w:szCs w:val="21"/>
                    </w:rPr>
                    <w:t>均值</w:t>
                  </w:r>
                </w:p>
              </w:tc>
              <w:tc>
                <w:tcPr>
                  <w:tcW w:w="496" w:type="pct"/>
                  <w:noWrap w:val="0"/>
                  <w:vAlign w:val="center"/>
                </w:tcPr>
                <w:p w14:paraId="0ECA118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SO</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均值</w:t>
                  </w:r>
                </w:p>
              </w:tc>
              <w:tc>
                <w:tcPr>
                  <w:tcW w:w="476" w:type="pct"/>
                  <w:noWrap w:val="0"/>
                  <w:vAlign w:val="center"/>
                </w:tcPr>
                <w:p w14:paraId="6CE0C99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NO</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均值</w:t>
                  </w:r>
                </w:p>
              </w:tc>
              <w:tc>
                <w:tcPr>
                  <w:tcW w:w="860" w:type="pct"/>
                  <w:noWrap w:val="0"/>
                  <w:vAlign w:val="center"/>
                </w:tcPr>
                <w:p w14:paraId="6D817A8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CO第95百分位浓度</w:t>
                  </w:r>
                </w:p>
              </w:tc>
              <w:tc>
                <w:tcPr>
                  <w:tcW w:w="696" w:type="pct"/>
                  <w:noWrap w:val="0"/>
                  <w:vAlign w:val="center"/>
                </w:tcPr>
                <w:p w14:paraId="5A6E120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O</w:t>
                  </w:r>
                  <w:r>
                    <w:rPr>
                      <w:rFonts w:hint="default" w:ascii="Times New Roman" w:hAnsi="Times New Roman" w:cs="Times New Roman"/>
                      <w:color w:val="auto"/>
                      <w:spacing w:val="0"/>
                      <w:w w:val="100"/>
                      <w:sz w:val="21"/>
                      <w:szCs w:val="21"/>
                      <w:vertAlign w:val="subscript"/>
                    </w:rPr>
                    <w:t>3</w:t>
                  </w:r>
                  <w:r>
                    <w:rPr>
                      <w:rFonts w:hint="default" w:ascii="Times New Roman" w:hAnsi="Times New Roman" w:cs="Times New Roman"/>
                      <w:color w:val="auto"/>
                      <w:spacing w:val="0"/>
                      <w:w w:val="100"/>
                      <w:sz w:val="21"/>
                      <w:szCs w:val="21"/>
                    </w:rPr>
                    <w:t>第90百分位浓度</w:t>
                  </w:r>
                </w:p>
              </w:tc>
            </w:tr>
            <w:tr w14:paraId="12B31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385" w:type="pct"/>
                  <w:noWrap w:val="0"/>
                  <w:vAlign w:val="center"/>
                </w:tcPr>
                <w:p w14:paraId="777170A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eastAsiaTheme="minorEastAsia"/>
                      <w:color w:val="auto"/>
                      <w:spacing w:val="0"/>
                      <w:w w:val="100"/>
                      <w:sz w:val="21"/>
                      <w:szCs w:val="21"/>
                      <w:lang w:eastAsia="zh-CN"/>
                    </w:rPr>
                  </w:pPr>
                  <w:r>
                    <w:rPr>
                      <w:rFonts w:hint="eastAsia" w:ascii="Times New Roman" w:hAnsi="Times New Roman" w:cs="Times New Roman"/>
                      <w:color w:val="auto"/>
                      <w:spacing w:val="0"/>
                      <w:w w:val="100"/>
                      <w:sz w:val="21"/>
                      <w:szCs w:val="21"/>
                      <w:lang w:eastAsia="zh-CN"/>
                    </w:rPr>
                    <w:t>陇县</w:t>
                  </w:r>
                </w:p>
              </w:tc>
              <w:tc>
                <w:tcPr>
                  <w:tcW w:w="471" w:type="pct"/>
                  <w:noWrap w:val="0"/>
                  <w:vAlign w:val="center"/>
                </w:tcPr>
                <w:p w14:paraId="024714AF">
                  <w:pPr>
                    <w:keepNext w:val="0"/>
                    <w:keepLines w:val="0"/>
                    <w:widowControl/>
                    <w:suppressLineNumbers w:val="0"/>
                    <w:spacing w:before="0" w:beforeAutospacing="0" w:after="0" w:afterAutospacing="0" w:line="280" w:lineRule="exact"/>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60</w:t>
                  </w:r>
                </w:p>
              </w:tc>
              <w:tc>
                <w:tcPr>
                  <w:tcW w:w="612" w:type="pct"/>
                  <w:noWrap w:val="0"/>
                  <w:vAlign w:val="center"/>
                </w:tcPr>
                <w:p w14:paraId="1CCD6D46">
                  <w:pPr>
                    <w:keepNext w:val="0"/>
                    <w:keepLines w:val="0"/>
                    <w:widowControl/>
                    <w:suppressLineNumbers w:val="0"/>
                    <w:spacing w:before="0" w:beforeAutospacing="0" w:after="0" w:afterAutospacing="0" w:line="280" w:lineRule="exact"/>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32</w:t>
                  </w:r>
                </w:p>
              </w:tc>
              <w:tc>
                <w:tcPr>
                  <w:tcW w:w="496" w:type="pct"/>
                  <w:noWrap w:val="0"/>
                  <w:vAlign w:val="center"/>
                </w:tcPr>
                <w:p w14:paraId="70394CE3">
                  <w:pPr>
                    <w:keepNext w:val="0"/>
                    <w:keepLines w:val="0"/>
                    <w:widowControl/>
                    <w:suppressLineNumbers w:val="0"/>
                    <w:spacing w:before="0" w:beforeAutospacing="0" w:after="0" w:afterAutospacing="0" w:line="280" w:lineRule="exact"/>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7</w:t>
                  </w:r>
                </w:p>
              </w:tc>
              <w:tc>
                <w:tcPr>
                  <w:tcW w:w="476" w:type="pct"/>
                  <w:noWrap w:val="0"/>
                  <w:vAlign w:val="center"/>
                </w:tcPr>
                <w:p w14:paraId="65670F7F">
                  <w:pPr>
                    <w:keepNext w:val="0"/>
                    <w:keepLines w:val="0"/>
                    <w:widowControl/>
                    <w:suppressLineNumbers w:val="0"/>
                    <w:spacing w:before="0" w:beforeAutospacing="0" w:after="0" w:afterAutospacing="0" w:line="280" w:lineRule="exact"/>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17</w:t>
                  </w:r>
                </w:p>
              </w:tc>
              <w:tc>
                <w:tcPr>
                  <w:tcW w:w="860" w:type="pct"/>
                  <w:noWrap w:val="0"/>
                  <w:vAlign w:val="center"/>
                </w:tcPr>
                <w:p w14:paraId="12D7DA93">
                  <w:pPr>
                    <w:keepNext w:val="0"/>
                    <w:keepLines w:val="0"/>
                    <w:widowControl/>
                    <w:suppressLineNumbers w:val="0"/>
                    <w:spacing w:before="0" w:beforeAutospacing="0" w:after="0" w:afterAutospacing="0" w:line="280" w:lineRule="exact"/>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0.9</w:t>
                  </w:r>
                </w:p>
              </w:tc>
              <w:tc>
                <w:tcPr>
                  <w:tcW w:w="696" w:type="pct"/>
                  <w:noWrap w:val="0"/>
                  <w:vAlign w:val="center"/>
                </w:tcPr>
                <w:p w14:paraId="11AF7340">
                  <w:pPr>
                    <w:keepNext w:val="0"/>
                    <w:keepLines w:val="0"/>
                    <w:widowControl/>
                    <w:suppressLineNumbers w:val="0"/>
                    <w:spacing w:before="0" w:beforeAutospacing="0" w:after="0" w:afterAutospacing="0" w:line="280" w:lineRule="exact"/>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129</w:t>
                  </w:r>
                </w:p>
              </w:tc>
            </w:tr>
            <w:tr w14:paraId="35B62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5" w:type="pct"/>
                  <w:noWrap w:val="0"/>
                  <w:vAlign w:val="center"/>
                </w:tcPr>
                <w:p w14:paraId="1D177F2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GB3095-2012二级标准</w:t>
                  </w:r>
                </w:p>
              </w:tc>
              <w:tc>
                <w:tcPr>
                  <w:tcW w:w="471" w:type="pct"/>
                  <w:noWrap w:val="0"/>
                  <w:vAlign w:val="center"/>
                </w:tcPr>
                <w:p w14:paraId="35244669">
                  <w:pPr>
                    <w:keepNext w:val="0"/>
                    <w:keepLines w:val="0"/>
                    <w:widowControl/>
                    <w:suppressLineNumbers w:val="0"/>
                    <w:spacing w:before="0" w:beforeAutospacing="0" w:after="0" w:afterAutospacing="0" w:line="280" w:lineRule="exact"/>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70</w:t>
                  </w:r>
                </w:p>
              </w:tc>
              <w:tc>
                <w:tcPr>
                  <w:tcW w:w="612" w:type="pct"/>
                  <w:noWrap w:val="0"/>
                  <w:vAlign w:val="center"/>
                </w:tcPr>
                <w:p w14:paraId="5DD523BC">
                  <w:pPr>
                    <w:keepNext w:val="0"/>
                    <w:keepLines w:val="0"/>
                    <w:widowControl/>
                    <w:suppressLineNumbers w:val="0"/>
                    <w:spacing w:before="0" w:beforeAutospacing="0" w:after="0" w:afterAutospacing="0" w:line="280" w:lineRule="exact"/>
                    <w:ind w:left="0" w:right="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35</w:t>
                  </w:r>
                </w:p>
              </w:tc>
              <w:tc>
                <w:tcPr>
                  <w:tcW w:w="496" w:type="pct"/>
                  <w:noWrap w:val="0"/>
                  <w:vAlign w:val="center"/>
                </w:tcPr>
                <w:p w14:paraId="187551A3">
                  <w:pPr>
                    <w:keepNext w:val="0"/>
                    <w:keepLines w:val="0"/>
                    <w:widowControl/>
                    <w:suppressLineNumbers w:val="0"/>
                    <w:spacing w:before="0" w:beforeAutospacing="0" w:after="0" w:afterAutospacing="0" w:line="280" w:lineRule="exact"/>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60</w:t>
                  </w:r>
                </w:p>
              </w:tc>
              <w:tc>
                <w:tcPr>
                  <w:tcW w:w="476" w:type="pct"/>
                  <w:noWrap w:val="0"/>
                  <w:vAlign w:val="center"/>
                </w:tcPr>
                <w:p w14:paraId="4905B01B">
                  <w:pPr>
                    <w:keepNext w:val="0"/>
                    <w:keepLines w:val="0"/>
                    <w:widowControl/>
                    <w:suppressLineNumbers w:val="0"/>
                    <w:spacing w:before="0" w:beforeAutospacing="0" w:after="0" w:afterAutospacing="0" w:line="280" w:lineRule="exact"/>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40</w:t>
                  </w:r>
                </w:p>
              </w:tc>
              <w:tc>
                <w:tcPr>
                  <w:tcW w:w="860" w:type="pct"/>
                  <w:noWrap w:val="0"/>
                  <w:vAlign w:val="center"/>
                </w:tcPr>
                <w:p w14:paraId="75CED7C1">
                  <w:pPr>
                    <w:keepNext w:val="0"/>
                    <w:keepLines w:val="0"/>
                    <w:widowControl/>
                    <w:suppressLineNumbers w:val="0"/>
                    <w:spacing w:before="0" w:beforeAutospacing="0" w:after="0" w:afterAutospacing="0" w:line="280" w:lineRule="exact"/>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4</w:t>
                  </w:r>
                </w:p>
              </w:tc>
              <w:tc>
                <w:tcPr>
                  <w:tcW w:w="696" w:type="pct"/>
                  <w:noWrap w:val="0"/>
                  <w:vAlign w:val="center"/>
                </w:tcPr>
                <w:p w14:paraId="5355B815">
                  <w:pPr>
                    <w:keepNext w:val="0"/>
                    <w:keepLines w:val="0"/>
                    <w:widowControl/>
                    <w:suppressLineNumbers w:val="0"/>
                    <w:spacing w:before="0" w:beforeAutospacing="0" w:after="0" w:afterAutospacing="0" w:line="280" w:lineRule="exact"/>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160</w:t>
                  </w:r>
                </w:p>
              </w:tc>
            </w:tr>
            <w:tr w14:paraId="6A8AC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85" w:type="pct"/>
                  <w:noWrap w:val="0"/>
                  <w:vAlign w:val="center"/>
                </w:tcPr>
                <w:p w14:paraId="3B0C5AA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占标率%</w:t>
                  </w:r>
                </w:p>
              </w:tc>
              <w:tc>
                <w:tcPr>
                  <w:tcW w:w="471" w:type="pct"/>
                  <w:noWrap w:val="0"/>
                  <w:vAlign w:val="center"/>
                </w:tcPr>
                <w:p w14:paraId="708038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85.71</w:t>
                  </w:r>
                </w:p>
              </w:tc>
              <w:tc>
                <w:tcPr>
                  <w:tcW w:w="612" w:type="pct"/>
                  <w:noWrap w:val="0"/>
                  <w:vAlign w:val="center"/>
                </w:tcPr>
                <w:p w14:paraId="45BEBA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91.43</w:t>
                  </w:r>
                </w:p>
              </w:tc>
              <w:tc>
                <w:tcPr>
                  <w:tcW w:w="496" w:type="pct"/>
                  <w:noWrap w:val="0"/>
                  <w:vAlign w:val="center"/>
                </w:tcPr>
                <w:p w14:paraId="124F77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11.67</w:t>
                  </w:r>
                </w:p>
              </w:tc>
              <w:tc>
                <w:tcPr>
                  <w:tcW w:w="476" w:type="pct"/>
                  <w:noWrap w:val="0"/>
                  <w:vAlign w:val="center"/>
                </w:tcPr>
                <w:p w14:paraId="4796252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42.50</w:t>
                  </w:r>
                </w:p>
              </w:tc>
              <w:tc>
                <w:tcPr>
                  <w:tcW w:w="860" w:type="pct"/>
                  <w:noWrap w:val="0"/>
                  <w:vAlign w:val="center"/>
                </w:tcPr>
                <w:p w14:paraId="712DD5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22.50</w:t>
                  </w:r>
                </w:p>
              </w:tc>
              <w:tc>
                <w:tcPr>
                  <w:tcW w:w="696" w:type="pct"/>
                  <w:noWrap w:val="0"/>
                  <w:vAlign w:val="center"/>
                </w:tcPr>
                <w:p w14:paraId="618C13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80.63</w:t>
                  </w:r>
                </w:p>
              </w:tc>
            </w:tr>
          </w:tbl>
          <w:p w14:paraId="1D4D0C15">
            <w:pPr>
              <w:pStyle w:val="37"/>
              <w:keepNext w:val="0"/>
              <w:keepLines w:val="0"/>
              <w:pageBreakBefore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由上表可知，本项目所在地大气常规因子均符合《环境空气质量标准》（GB3095-2012）中的二级标准，本项目所在地属于达标区域。</w:t>
            </w:r>
          </w:p>
          <w:p w14:paraId="2F70F0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2、声环境质量现状</w:t>
            </w:r>
          </w:p>
          <w:p w14:paraId="538EB0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pacing w:val="0"/>
                <w:w w:val="100"/>
                <w:sz w:val="24"/>
                <w:szCs w:val="24"/>
                <w:lang w:eastAsia="zh-CN"/>
              </w:rPr>
            </w:pPr>
            <w:r>
              <w:rPr>
                <w:rFonts w:hint="default" w:ascii="Times New Roman" w:hAnsi="Times New Roman" w:cs="Times New Roman"/>
                <w:color w:val="auto"/>
                <w:spacing w:val="0"/>
                <w:w w:val="100"/>
                <w:sz w:val="24"/>
                <w:szCs w:val="24"/>
                <w:lang w:eastAsia="zh-CN"/>
              </w:rPr>
              <w:t>本</w:t>
            </w:r>
            <w:r>
              <w:rPr>
                <w:rFonts w:hint="default" w:ascii="Times New Roman" w:hAnsi="Times New Roman" w:cs="Times New Roman"/>
                <w:color w:val="auto"/>
                <w:spacing w:val="0"/>
                <w:w w:val="100"/>
                <w:sz w:val="24"/>
                <w:szCs w:val="24"/>
                <w:lang w:val="en-US" w:eastAsia="zh-CN"/>
              </w:rPr>
              <w:t>项目污水处理厂周边50米范围内无声环境保护目标</w:t>
            </w:r>
            <w:r>
              <w:rPr>
                <w:rFonts w:hint="default" w:ascii="Times New Roman" w:hAnsi="Times New Roman" w:cs="Times New Roman"/>
                <w:color w:val="auto"/>
                <w:spacing w:val="0"/>
                <w:w w:val="100"/>
                <w:sz w:val="24"/>
                <w:szCs w:val="24"/>
                <w:lang w:eastAsia="zh-CN"/>
              </w:rPr>
              <w:t>。</w:t>
            </w:r>
          </w:p>
          <w:p w14:paraId="1AE2E0C4">
            <w:pPr>
              <w:keepNext w:val="0"/>
              <w:keepLines w:val="0"/>
              <w:pageBreakBefore w:val="0"/>
              <w:widowControl w:val="0"/>
              <w:numPr>
                <w:ilvl w:val="0"/>
                <w:numId w:val="3"/>
              </w:numPr>
              <w:suppressLineNumbers w:val="0"/>
              <w:kinsoku/>
              <w:wordWrap/>
              <w:overflowPunct/>
              <w:topLinePunct w:val="0"/>
              <w:autoSpaceDE/>
              <w:autoSpaceDN/>
              <w:bidi w:val="0"/>
              <w:adjustRightInd w:val="0"/>
              <w:snapToGrid/>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地表水环境</w:t>
            </w:r>
          </w:p>
          <w:p w14:paraId="6D431461">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pacing w:val="0"/>
                <w:w w:val="100"/>
                <w:sz w:val="24"/>
                <w:szCs w:val="28"/>
              </w:rPr>
            </w:pPr>
            <w:r>
              <w:rPr>
                <w:rFonts w:hint="default" w:ascii="Times New Roman" w:hAnsi="Times New Roman" w:eastAsia="宋体" w:cs="Times New Roman"/>
                <w:color w:val="auto"/>
                <w:spacing w:val="0"/>
                <w:w w:val="100"/>
                <w:sz w:val="24"/>
                <w:szCs w:val="24"/>
                <w:lang w:eastAsia="zh-CN"/>
              </w:rPr>
              <w:t>为了解建设项目所在地地表水环境质量现状，</w:t>
            </w:r>
            <w:r>
              <w:rPr>
                <w:rFonts w:hint="eastAsia" w:ascii="Times New Roman" w:hAnsi="Times New Roman" w:eastAsia="宋体" w:cs="Times New Roman"/>
                <w:color w:val="auto"/>
                <w:spacing w:val="0"/>
                <w:w w:val="100"/>
                <w:sz w:val="24"/>
                <w:szCs w:val="24"/>
                <w:lang w:eastAsia="zh-CN"/>
              </w:rPr>
              <w:t>本次</w:t>
            </w:r>
            <w:r>
              <w:rPr>
                <w:rFonts w:hint="eastAsia" w:ascii="Times New Roman" w:hAnsi="Times New Roman" w:eastAsia="宋体" w:cs="Times New Roman"/>
                <w:color w:val="auto"/>
                <w:spacing w:val="0"/>
                <w:w w:val="100"/>
                <w:sz w:val="24"/>
                <w:szCs w:val="24"/>
                <w:lang w:val="en-US" w:eastAsia="zh-CN"/>
              </w:rPr>
              <w:t>引用《</w:t>
            </w:r>
            <w:r>
              <w:rPr>
                <w:rFonts w:hint="eastAsia" w:ascii="Times New Roman" w:hAnsi="Times New Roman" w:eastAsia="宋体" w:cs="Times New Roman"/>
                <w:color w:val="auto"/>
                <w:spacing w:val="0"/>
                <w:w w:val="100"/>
                <w:sz w:val="24"/>
                <w:szCs w:val="24"/>
                <w:lang w:eastAsia="zh-CN"/>
              </w:rPr>
              <w:t>陕西陇县经济技术开发区总体规划（2022-2035）环境影响报告书</w:t>
            </w:r>
            <w:r>
              <w:rPr>
                <w:rFonts w:hint="eastAsia" w:ascii="Times New Roman" w:hAnsi="Times New Roman" w:eastAsia="宋体" w:cs="Times New Roman"/>
                <w:color w:val="auto"/>
                <w:spacing w:val="0"/>
                <w:w w:val="100"/>
                <w:sz w:val="24"/>
                <w:szCs w:val="24"/>
                <w:lang w:val="en-US" w:eastAsia="zh-CN"/>
              </w:rPr>
              <w:t>》</w:t>
            </w:r>
            <w:r>
              <w:rPr>
                <w:rFonts w:hint="default" w:ascii="Times New Roman" w:hAnsi="Times New Roman" w:eastAsia="宋体" w:cs="Times New Roman"/>
                <w:color w:val="auto"/>
                <w:spacing w:val="0"/>
                <w:w w:val="100"/>
                <w:sz w:val="24"/>
                <w:szCs w:val="24"/>
                <w:lang w:eastAsia="zh-CN"/>
              </w:rPr>
              <w:t>对</w:t>
            </w:r>
            <w:r>
              <w:rPr>
                <w:rFonts w:hint="eastAsia" w:ascii="Times New Roman" w:hAnsi="Times New Roman" w:eastAsia="宋体" w:cs="Times New Roman"/>
                <w:color w:val="auto"/>
                <w:spacing w:val="0"/>
                <w:w w:val="100"/>
                <w:sz w:val="24"/>
                <w:szCs w:val="24"/>
                <w:lang w:eastAsia="zh-CN"/>
              </w:rPr>
              <w:t>园区</w:t>
            </w:r>
            <w:r>
              <w:rPr>
                <w:rFonts w:hint="default" w:ascii="Times New Roman" w:hAnsi="Times New Roman" w:eastAsia="宋体" w:cs="Times New Roman"/>
                <w:color w:val="auto"/>
                <w:spacing w:val="0"/>
                <w:w w:val="100"/>
                <w:sz w:val="24"/>
                <w:szCs w:val="24"/>
                <w:lang w:eastAsia="zh-CN"/>
              </w:rPr>
              <w:t>上下游的地表水体环境现状监测</w:t>
            </w:r>
            <w:r>
              <w:rPr>
                <w:rFonts w:hint="eastAsia" w:ascii="Times New Roman" w:hAnsi="Times New Roman" w:eastAsia="宋体" w:cs="Times New Roman"/>
                <w:color w:val="auto"/>
                <w:spacing w:val="0"/>
                <w:w w:val="100"/>
                <w:sz w:val="24"/>
                <w:szCs w:val="24"/>
                <w:lang w:val="en-US" w:eastAsia="zh-CN"/>
              </w:rPr>
              <w:t>数据</w:t>
            </w:r>
            <w:r>
              <w:rPr>
                <w:rFonts w:hint="default" w:ascii="Times New Roman" w:hAnsi="Times New Roman" w:eastAsia="宋体" w:cs="Times New Roman"/>
                <w:color w:val="auto"/>
                <w:spacing w:val="0"/>
                <w:w w:val="100"/>
                <w:sz w:val="24"/>
                <w:szCs w:val="24"/>
                <w:lang w:eastAsia="zh-CN"/>
              </w:rPr>
              <w:t>。</w:t>
            </w:r>
          </w:p>
          <w:p w14:paraId="79AED0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FF0000"/>
                <w:spacing w:val="0"/>
                <w:w w:val="100"/>
                <w:sz w:val="24"/>
                <w:szCs w:val="24"/>
                <w:lang w:eastAsia="zh-CN"/>
              </w:rPr>
            </w:pPr>
            <w:r>
              <w:rPr>
                <w:rFonts w:hint="default" w:ascii="Times New Roman" w:hAnsi="Times New Roman" w:eastAsia="宋体" w:cs="Times New Roman"/>
                <w:color w:val="auto"/>
                <w:spacing w:val="0"/>
                <w:w w:val="100"/>
                <w:sz w:val="24"/>
                <w:szCs w:val="24"/>
              </w:rPr>
              <w:t>监测结果表明，</w:t>
            </w:r>
            <w:r>
              <w:rPr>
                <w:rFonts w:hint="default" w:ascii="Times New Roman" w:hAnsi="Times New Roman" w:eastAsia="宋体" w:cs="Times New Roman"/>
                <w:color w:val="auto"/>
                <w:spacing w:val="0"/>
                <w:w w:val="100"/>
                <w:sz w:val="24"/>
                <w:szCs w:val="24"/>
                <w:lang w:val="en-US" w:eastAsia="zh-CN"/>
              </w:rPr>
              <w:t>项目上游</w:t>
            </w:r>
            <w:r>
              <w:rPr>
                <w:rFonts w:hint="eastAsia" w:ascii="Times New Roman" w:hAnsi="Times New Roman" w:eastAsia="宋体" w:cs="Times New Roman"/>
                <w:color w:val="auto"/>
                <w:spacing w:val="0"/>
                <w:w w:val="100"/>
                <w:sz w:val="24"/>
                <w:szCs w:val="24"/>
                <w:lang w:val="en-US" w:eastAsia="zh-CN"/>
              </w:rPr>
              <w:t>30</w:t>
            </w:r>
            <w:r>
              <w:rPr>
                <w:rFonts w:hint="default" w:ascii="Times New Roman" w:hAnsi="Times New Roman" w:eastAsia="宋体" w:cs="Times New Roman"/>
                <w:color w:val="auto"/>
                <w:spacing w:val="0"/>
                <w:w w:val="100"/>
                <w:sz w:val="24"/>
                <w:szCs w:val="24"/>
                <w:lang w:val="en-US" w:eastAsia="zh-CN"/>
              </w:rPr>
              <w:t>00m处及下游</w:t>
            </w:r>
            <w:r>
              <w:rPr>
                <w:rFonts w:hint="eastAsia" w:ascii="Times New Roman" w:hAnsi="Times New Roman" w:eastAsia="宋体" w:cs="Times New Roman"/>
                <w:color w:val="auto"/>
                <w:spacing w:val="0"/>
                <w:w w:val="100"/>
                <w:sz w:val="24"/>
                <w:szCs w:val="24"/>
                <w:lang w:val="en-US" w:eastAsia="zh-CN"/>
              </w:rPr>
              <w:t>30</w:t>
            </w:r>
            <w:r>
              <w:rPr>
                <w:rFonts w:hint="default" w:ascii="Times New Roman" w:hAnsi="Times New Roman" w:eastAsia="宋体" w:cs="Times New Roman"/>
                <w:color w:val="auto"/>
                <w:spacing w:val="0"/>
                <w:w w:val="100"/>
                <w:sz w:val="24"/>
                <w:szCs w:val="24"/>
                <w:lang w:val="en-US" w:eastAsia="zh-CN"/>
              </w:rPr>
              <w:t>00m处</w:t>
            </w:r>
            <w:r>
              <w:rPr>
                <w:rFonts w:hint="eastAsia" w:ascii="Times New Roman" w:hAnsi="Times New Roman" w:eastAsia="宋体" w:cs="Times New Roman"/>
                <w:color w:val="auto"/>
                <w:spacing w:val="0"/>
                <w:w w:val="100"/>
                <w:sz w:val="24"/>
                <w:szCs w:val="24"/>
                <w:lang w:val="en-US" w:eastAsia="zh-CN"/>
              </w:rPr>
              <w:t>千河</w:t>
            </w:r>
            <w:r>
              <w:rPr>
                <w:rFonts w:hint="default" w:ascii="Times New Roman" w:hAnsi="Times New Roman" w:eastAsia="宋体" w:cs="Times New Roman"/>
                <w:color w:val="auto"/>
                <w:spacing w:val="0"/>
                <w:w w:val="100"/>
                <w:sz w:val="24"/>
                <w:szCs w:val="24"/>
                <w:lang w:val="en-US" w:eastAsia="zh-CN"/>
              </w:rPr>
              <w:t>断面水质</w:t>
            </w:r>
            <w:r>
              <w:rPr>
                <w:rFonts w:hint="default" w:ascii="Times New Roman" w:hAnsi="Times New Roman" w:eastAsia="宋体" w:cs="Times New Roman"/>
                <w:color w:val="auto"/>
                <w:spacing w:val="0"/>
                <w:w w:val="100"/>
                <w:sz w:val="24"/>
                <w:szCs w:val="24"/>
              </w:rPr>
              <w:t>指标</w:t>
            </w:r>
            <w:r>
              <w:rPr>
                <w:rFonts w:hint="default" w:ascii="Times New Roman" w:hAnsi="Times New Roman" w:eastAsia="宋体" w:cs="Times New Roman"/>
                <w:color w:val="auto"/>
                <w:spacing w:val="0"/>
                <w:w w:val="100"/>
                <w:sz w:val="24"/>
                <w:szCs w:val="32"/>
              </w:rPr>
              <w:t>pH值、</w:t>
            </w:r>
            <w:r>
              <w:rPr>
                <w:rFonts w:hint="default" w:ascii="Times New Roman" w:hAnsi="Times New Roman" w:eastAsia="宋体" w:cs="Times New Roman"/>
                <w:color w:val="auto"/>
                <w:spacing w:val="0"/>
                <w:w w:val="100"/>
                <w:sz w:val="24"/>
                <w:szCs w:val="32"/>
                <w:lang w:val="en-US" w:eastAsia="zh-CN"/>
              </w:rPr>
              <w:t>COD、BOD</w:t>
            </w:r>
            <w:r>
              <w:rPr>
                <w:rFonts w:hint="default" w:ascii="Times New Roman" w:hAnsi="Times New Roman" w:eastAsia="宋体" w:cs="Times New Roman"/>
                <w:color w:val="auto"/>
                <w:spacing w:val="0"/>
                <w:w w:val="100"/>
                <w:sz w:val="24"/>
                <w:szCs w:val="32"/>
                <w:vertAlign w:val="subscript"/>
                <w:lang w:val="en-US" w:eastAsia="zh-CN"/>
              </w:rPr>
              <w:t>5</w:t>
            </w:r>
            <w:r>
              <w:rPr>
                <w:rFonts w:hint="default" w:ascii="Times New Roman" w:hAnsi="Times New Roman" w:eastAsia="宋体" w:cs="Times New Roman"/>
                <w:color w:val="auto"/>
                <w:spacing w:val="0"/>
                <w:w w:val="100"/>
                <w:sz w:val="24"/>
                <w:szCs w:val="32"/>
                <w:lang w:val="en-US" w:eastAsia="zh-CN"/>
              </w:rPr>
              <w:t>、</w:t>
            </w:r>
            <w:r>
              <w:rPr>
                <w:rFonts w:hint="default" w:ascii="Times New Roman" w:hAnsi="Times New Roman" w:eastAsia="宋体" w:cs="Times New Roman"/>
                <w:color w:val="auto"/>
                <w:spacing w:val="0"/>
                <w:w w:val="100"/>
                <w:sz w:val="24"/>
                <w:szCs w:val="32"/>
              </w:rPr>
              <w:t>氨氮、</w:t>
            </w:r>
            <w:r>
              <w:rPr>
                <w:rFonts w:hint="default" w:ascii="Times New Roman" w:hAnsi="Times New Roman" w:eastAsia="宋体" w:cs="Times New Roman"/>
                <w:color w:val="auto"/>
                <w:spacing w:val="0"/>
                <w:w w:val="100"/>
                <w:sz w:val="24"/>
                <w:szCs w:val="32"/>
                <w:lang w:eastAsia="zh-CN"/>
              </w:rPr>
              <w:t>总磷、溶解氧</w:t>
            </w:r>
            <w:r>
              <w:rPr>
                <w:rFonts w:hint="eastAsia" w:ascii="Times New Roman" w:hAnsi="Times New Roman" w:eastAsia="宋体" w:cs="Times New Roman"/>
                <w:color w:val="auto"/>
                <w:spacing w:val="0"/>
                <w:w w:val="100"/>
                <w:sz w:val="24"/>
                <w:szCs w:val="32"/>
                <w:lang w:eastAsia="zh-CN"/>
              </w:rPr>
              <w:t>、</w:t>
            </w:r>
            <w:r>
              <w:rPr>
                <w:rFonts w:hint="eastAsia" w:ascii="Times New Roman" w:hAnsi="Times New Roman" w:eastAsia="宋体" w:cs="Times New Roman"/>
                <w:color w:val="auto"/>
                <w:spacing w:val="0"/>
                <w:w w:val="100"/>
                <w:sz w:val="24"/>
                <w:szCs w:val="24"/>
                <w:lang w:eastAsia="zh-CN"/>
              </w:rPr>
              <w:t>高锰酸盐指数、氟化物、粪大肠菌群</w:t>
            </w:r>
            <w:r>
              <w:rPr>
                <w:rFonts w:hint="eastAsia" w:ascii="Times New Roman" w:hAnsi="Times New Roman" w:eastAsia="宋体" w:cs="Times New Roman"/>
                <w:color w:val="auto"/>
                <w:spacing w:val="0"/>
                <w:w w:val="100"/>
                <w:sz w:val="24"/>
                <w:szCs w:val="24"/>
                <w:lang w:val="en-US" w:eastAsia="zh-CN"/>
              </w:rPr>
              <w:t>等</w:t>
            </w:r>
            <w:r>
              <w:rPr>
                <w:rFonts w:hint="default" w:ascii="Times New Roman" w:hAnsi="Times New Roman" w:eastAsia="宋体" w:cs="Times New Roman"/>
                <w:color w:val="auto"/>
                <w:spacing w:val="0"/>
                <w:w w:val="100"/>
                <w:sz w:val="24"/>
                <w:szCs w:val="32"/>
                <w:lang w:eastAsia="zh-CN"/>
              </w:rPr>
              <w:t>均</w:t>
            </w:r>
            <w:r>
              <w:rPr>
                <w:rFonts w:hint="default" w:ascii="Times New Roman" w:hAnsi="Times New Roman" w:eastAsia="宋体" w:cs="Times New Roman"/>
                <w:color w:val="auto"/>
                <w:spacing w:val="0"/>
                <w:w w:val="100"/>
                <w:sz w:val="24"/>
                <w:szCs w:val="24"/>
              </w:rPr>
              <w:t>能达到《地表水环境质量标准》（GB3838-2002）Ⅲ类标准要求。</w:t>
            </w:r>
          </w:p>
          <w:p w14:paraId="151F744C">
            <w:pPr>
              <w:keepNext w:val="0"/>
              <w:keepLines w:val="0"/>
              <w:pageBreakBefore w:val="0"/>
              <w:widowControl w:val="0"/>
              <w:numPr>
                <w:ilvl w:val="0"/>
                <w:numId w:val="3"/>
              </w:numPr>
              <w:suppressLineNumbers w:val="0"/>
              <w:kinsoku/>
              <w:wordWrap/>
              <w:overflowPunct/>
              <w:topLinePunct w:val="0"/>
              <w:autoSpaceDE/>
              <w:autoSpaceDN/>
              <w:bidi w:val="0"/>
              <w:adjustRightInd w:val="0"/>
              <w:snapToGrid/>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地下水、土壤环境</w:t>
            </w:r>
          </w:p>
          <w:p w14:paraId="7A33FC1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pacing w:val="0"/>
                <w:w w:val="100"/>
                <w:kern w:val="0"/>
                <w:szCs w:val="21"/>
                <w:lang w:val="en-US"/>
              </w:rPr>
            </w:pPr>
            <w:r>
              <w:rPr>
                <w:rFonts w:hint="default" w:ascii="Times New Roman" w:hAnsi="Times New Roman" w:eastAsia="宋体" w:cs="Times New Roman"/>
                <w:color w:val="auto"/>
                <w:spacing w:val="0"/>
                <w:w w:val="100"/>
                <w:sz w:val="24"/>
                <w:szCs w:val="24"/>
                <w:lang w:val="en-US" w:eastAsia="zh-CN"/>
              </w:rPr>
              <w:t>建设项目不产生污染土壤的污染因子，不存在土壤、地下水环境污染途径，因此不开展现状调查。</w:t>
            </w:r>
          </w:p>
        </w:tc>
      </w:tr>
      <w:tr w14:paraId="79E960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12" w:hRule="atLeast"/>
          <w:jc w:val="center"/>
        </w:trPr>
        <w:tc>
          <w:tcPr>
            <w:tcW w:w="822" w:type="dxa"/>
            <w:tcBorders>
              <w:top w:val="single" w:color="auto" w:sz="4" w:space="0"/>
              <w:left w:val="single" w:color="auto" w:sz="8" w:space="0"/>
              <w:bottom w:val="single" w:color="auto" w:sz="4" w:space="0"/>
              <w:right w:val="single" w:color="auto" w:sz="4" w:space="0"/>
            </w:tcBorders>
            <w:shd w:val="clear" w:color="auto" w:fill="auto"/>
            <w:vAlign w:val="center"/>
          </w:tcPr>
          <w:p w14:paraId="7AB9F850">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环境</w:t>
            </w:r>
          </w:p>
          <w:p w14:paraId="7E21F93A">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保护</w:t>
            </w:r>
          </w:p>
          <w:p w14:paraId="00D73076">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目标</w:t>
            </w:r>
          </w:p>
        </w:tc>
        <w:tc>
          <w:tcPr>
            <w:tcW w:w="9134" w:type="dxa"/>
            <w:tcBorders>
              <w:top w:val="single" w:color="auto" w:sz="4" w:space="0"/>
              <w:left w:val="single" w:color="auto" w:sz="4" w:space="0"/>
              <w:bottom w:val="single" w:color="auto" w:sz="4" w:space="0"/>
              <w:right w:val="single" w:color="auto" w:sz="8" w:space="0"/>
            </w:tcBorders>
            <w:shd w:val="clear" w:color="auto" w:fill="auto"/>
            <w:vAlign w:val="center"/>
          </w:tcPr>
          <w:p w14:paraId="4A520D0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pacing w:val="0"/>
                <w:w w:val="100"/>
                <w:kern w:val="2"/>
                <w:sz w:val="24"/>
                <w:szCs w:val="24"/>
                <w:shd w:val="clear" w:color="auto" w:fill="auto"/>
                <w:lang w:val="en-US" w:eastAsia="zh-CN" w:bidi="ar-SA"/>
              </w:rPr>
            </w:pPr>
            <w:r>
              <w:rPr>
                <w:rFonts w:hint="default" w:ascii="Times New Roman" w:hAnsi="Times New Roman" w:eastAsia="宋体" w:cs="Times New Roman"/>
                <w:color w:val="auto"/>
                <w:spacing w:val="0"/>
                <w:w w:val="100"/>
                <w:sz w:val="24"/>
                <w:szCs w:val="24"/>
                <w:lang w:val="zh-CN" w:eastAsia="zh-CN"/>
              </w:rPr>
              <w:t>本项目周边</w:t>
            </w:r>
            <w:r>
              <w:rPr>
                <w:rFonts w:hint="default" w:ascii="Times New Roman" w:hAnsi="Times New Roman" w:eastAsia="宋体" w:cs="Times New Roman"/>
                <w:color w:val="auto"/>
                <w:spacing w:val="0"/>
                <w:w w:val="100"/>
                <w:sz w:val="24"/>
                <w:szCs w:val="24"/>
                <w:lang w:val="en-US" w:eastAsia="zh-CN"/>
              </w:rPr>
              <w:t>500m范围内无自然保护区、风景名胜区、地下水集中式饮用水水源和热水、矿泉水、温泉等特殊地下水资源，</w:t>
            </w:r>
            <w:r>
              <w:rPr>
                <w:rFonts w:hint="default" w:ascii="Times New Roman" w:hAnsi="Times New Roman" w:eastAsia="宋体" w:cs="Times New Roman"/>
                <w:color w:val="auto"/>
                <w:spacing w:val="0"/>
                <w:w w:val="100"/>
                <w:kern w:val="2"/>
                <w:sz w:val="24"/>
                <w:szCs w:val="24"/>
                <w:shd w:val="clear" w:color="auto" w:fill="auto"/>
                <w:lang w:val="en-US" w:eastAsia="zh-CN" w:bidi="ar-SA"/>
              </w:rPr>
              <w:t>经过现场踏勘，项目周边</w:t>
            </w:r>
            <w:r>
              <w:rPr>
                <w:rFonts w:hint="eastAsia" w:ascii="Times New Roman" w:hAnsi="Times New Roman" w:eastAsia="宋体" w:cs="Times New Roman"/>
                <w:color w:val="auto"/>
                <w:spacing w:val="0"/>
                <w:w w:val="100"/>
                <w:kern w:val="2"/>
                <w:sz w:val="24"/>
                <w:szCs w:val="24"/>
                <w:shd w:val="clear" w:color="auto" w:fill="auto"/>
                <w:lang w:val="en-US" w:eastAsia="zh-CN" w:bidi="ar-SA"/>
              </w:rPr>
              <w:t>地表水评价范围内存在</w:t>
            </w:r>
            <w:r>
              <w:rPr>
                <w:rFonts w:hint="default" w:ascii="Times New Roman" w:hAnsi="Times New Roman" w:eastAsia="宋体" w:cs="Times New Roman"/>
                <w:color w:val="auto"/>
                <w:spacing w:val="0"/>
                <w:w w:val="100"/>
                <w:kern w:val="2"/>
                <w:sz w:val="24"/>
                <w:szCs w:val="24"/>
                <w:shd w:val="clear" w:color="auto" w:fill="auto"/>
                <w:lang w:val="en-US" w:eastAsia="zh-CN" w:bidi="ar-SA"/>
              </w:rPr>
              <w:t>环境保护目标</w:t>
            </w:r>
            <w:r>
              <w:rPr>
                <w:rFonts w:hint="eastAsia" w:ascii="Times New Roman" w:hAnsi="Times New Roman" w:eastAsia="宋体" w:cs="Times New Roman"/>
                <w:color w:val="auto"/>
                <w:spacing w:val="0"/>
                <w:w w:val="100"/>
                <w:kern w:val="2"/>
                <w:sz w:val="24"/>
                <w:szCs w:val="24"/>
                <w:shd w:val="clear" w:color="auto" w:fill="auto"/>
                <w:lang w:val="en-US" w:eastAsia="zh-CN" w:bidi="ar-SA"/>
              </w:rPr>
              <w:t>，主要保护目标见下表。</w:t>
            </w:r>
          </w:p>
          <w:p w14:paraId="53B11A7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jc w:val="center"/>
              <w:textAlignment w:val="auto"/>
              <w:rPr>
                <w:rFonts w:hint="default" w:ascii="Times New Roman" w:hAnsi="Times New Roman" w:eastAsia="黑体" w:cs="Times New Roman"/>
                <w:color w:val="auto"/>
                <w:spacing w:val="0"/>
                <w:w w:val="100"/>
                <w:kern w:val="2"/>
                <w:sz w:val="21"/>
                <w:szCs w:val="21"/>
                <w:lang w:val="en-US" w:eastAsia="zh-CN" w:bidi="ar-SA"/>
              </w:rPr>
            </w:pPr>
            <w:r>
              <w:rPr>
                <w:rFonts w:hint="default" w:ascii="Times New Roman" w:hAnsi="Times New Roman" w:eastAsia="黑体" w:cs="Times New Roman"/>
                <w:color w:val="auto"/>
                <w:spacing w:val="0"/>
                <w:w w:val="100"/>
                <w:kern w:val="2"/>
                <w:sz w:val="21"/>
                <w:szCs w:val="21"/>
                <w:lang w:val="en-US" w:eastAsia="zh-CN" w:bidi="ar-SA"/>
              </w:rPr>
              <w:t>表</w:t>
            </w:r>
            <w:r>
              <w:rPr>
                <w:rFonts w:hint="eastAsia" w:ascii="Times New Roman" w:hAnsi="Times New Roman" w:eastAsia="黑体" w:cs="Times New Roman"/>
                <w:color w:val="auto"/>
                <w:spacing w:val="0"/>
                <w:w w:val="100"/>
                <w:kern w:val="2"/>
                <w:sz w:val="21"/>
                <w:szCs w:val="21"/>
                <w:lang w:val="en-US" w:eastAsia="zh-CN" w:bidi="ar-SA"/>
              </w:rPr>
              <w:t>3-2</w:t>
            </w:r>
            <w:r>
              <w:rPr>
                <w:rFonts w:hint="eastAsia" w:ascii="Times New Roman" w:hAnsi="Times New Roman" w:eastAsia="黑体" w:cs="Times New Roman"/>
                <w:color w:val="auto"/>
                <w:spacing w:val="0"/>
                <w:w w:val="100"/>
                <w:sz w:val="21"/>
                <w:szCs w:val="21"/>
                <w:lang w:val="en-US" w:eastAsia="zh-CN"/>
              </w:rPr>
              <w:t xml:space="preserve">  </w:t>
            </w:r>
            <w:r>
              <w:rPr>
                <w:rFonts w:hint="default" w:ascii="Times New Roman" w:hAnsi="Times New Roman" w:eastAsia="黑体" w:cs="Times New Roman"/>
                <w:color w:val="auto"/>
                <w:spacing w:val="0"/>
                <w:w w:val="100"/>
                <w:kern w:val="2"/>
                <w:sz w:val="21"/>
                <w:szCs w:val="21"/>
                <w:lang w:val="en-US" w:eastAsia="zh-CN" w:bidi="ar-SA"/>
              </w:rPr>
              <w:t>环境保护目标及保护要求</w:t>
            </w:r>
          </w:p>
          <w:tbl>
            <w:tblPr>
              <w:tblStyle w:val="58"/>
              <w:tblW w:w="8896" w:type="dxa"/>
              <w:tblInd w:w="19"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610"/>
              <w:gridCol w:w="1529"/>
              <w:gridCol w:w="1528"/>
              <w:gridCol w:w="1529"/>
              <w:gridCol w:w="1222"/>
              <w:gridCol w:w="696"/>
              <w:gridCol w:w="917"/>
              <w:gridCol w:w="865"/>
            </w:tblGrid>
            <w:tr w14:paraId="7017A4B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610" w:type="dxa"/>
                  <w:vMerge w:val="restart"/>
                  <w:tcBorders>
                    <w:bottom w:val="nil"/>
                  </w:tcBorders>
                  <w:vAlign w:val="center"/>
                </w:tcPr>
                <w:p w14:paraId="32639E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环境</w:t>
                  </w:r>
                </w:p>
                <w:p w14:paraId="488685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要素</w:t>
                  </w:r>
                </w:p>
              </w:tc>
              <w:tc>
                <w:tcPr>
                  <w:tcW w:w="1529" w:type="dxa"/>
                  <w:vMerge w:val="restart"/>
                  <w:tcBorders>
                    <w:bottom w:val="nil"/>
                  </w:tcBorders>
                  <w:vAlign w:val="center"/>
                </w:tcPr>
                <w:p w14:paraId="4134F8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名称</w:t>
                  </w:r>
                </w:p>
              </w:tc>
              <w:tc>
                <w:tcPr>
                  <w:tcW w:w="3057" w:type="dxa"/>
                  <w:gridSpan w:val="2"/>
                  <w:vAlign w:val="center"/>
                </w:tcPr>
                <w:p w14:paraId="5B7BAE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经纬度</w:t>
                  </w:r>
                  <w:r>
                    <w:rPr>
                      <w:rFonts w:hint="eastAsia" w:ascii="Times New Roman" w:hAnsi="Times New Roman" w:cs="Times New Roman"/>
                      <w:color w:val="auto"/>
                      <w:spacing w:val="0"/>
                      <w:w w:val="100"/>
                      <w:lang w:val="en-US" w:eastAsia="zh-CN"/>
                    </w:rPr>
                    <w:t>（</w:t>
                  </w:r>
                  <w:r>
                    <w:rPr>
                      <w:rFonts w:hint="default" w:ascii="Times New Roman" w:hAnsi="Times New Roman" w:cs="Times New Roman"/>
                      <w:color w:val="auto"/>
                      <w:spacing w:val="0"/>
                      <w:w w:val="100"/>
                      <w:lang w:val="en-US" w:eastAsia="zh-CN"/>
                    </w:rPr>
                    <w:t>°</w:t>
                  </w:r>
                  <w:r>
                    <w:rPr>
                      <w:rFonts w:hint="eastAsia" w:ascii="Times New Roman" w:hAnsi="Times New Roman" w:cs="Times New Roman"/>
                      <w:color w:val="auto"/>
                      <w:spacing w:val="0"/>
                      <w:w w:val="100"/>
                      <w:lang w:val="en-US" w:eastAsia="zh-CN"/>
                    </w:rPr>
                    <w:t>）</w:t>
                  </w:r>
                </w:p>
              </w:tc>
              <w:tc>
                <w:tcPr>
                  <w:tcW w:w="1222" w:type="dxa"/>
                  <w:vMerge w:val="restart"/>
                  <w:tcBorders>
                    <w:bottom w:val="nil"/>
                  </w:tcBorders>
                  <w:vAlign w:val="center"/>
                </w:tcPr>
                <w:p w14:paraId="6B8EBD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保护对象</w:t>
                  </w:r>
                </w:p>
              </w:tc>
              <w:tc>
                <w:tcPr>
                  <w:tcW w:w="696" w:type="dxa"/>
                  <w:vMerge w:val="restart"/>
                  <w:tcBorders>
                    <w:bottom w:val="nil"/>
                  </w:tcBorders>
                  <w:vAlign w:val="center"/>
                </w:tcPr>
                <w:p w14:paraId="75B2D2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保护</w:t>
                  </w:r>
                </w:p>
                <w:p w14:paraId="65AD60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内容</w:t>
                  </w:r>
                </w:p>
              </w:tc>
              <w:tc>
                <w:tcPr>
                  <w:tcW w:w="917" w:type="dxa"/>
                  <w:vMerge w:val="restart"/>
                  <w:tcBorders>
                    <w:bottom w:val="nil"/>
                  </w:tcBorders>
                  <w:vAlign w:val="center"/>
                </w:tcPr>
                <w:p w14:paraId="06E6A3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相对规</w:t>
                  </w:r>
                </w:p>
                <w:p w14:paraId="3A4863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划区方</w:t>
                  </w:r>
                </w:p>
                <w:p w14:paraId="64F881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位</w:t>
                  </w:r>
                </w:p>
              </w:tc>
              <w:tc>
                <w:tcPr>
                  <w:tcW w:w="865" w:type="dxa"/>
                  <w:vMerge w:val="restart"/>
                  <w:tcBorders>
                    <w:bottom w:val="nil"/>
                  </w:tcBorders>
                  <w:vAlign w:val="center"/>
                </w:tcPr>
                <w:p w14:paraId="318728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相对规</w:t>
                  </w:r>
                </w:p>
                <w:p w14:paraId="39BB00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划区距</w:t>
                  </w:r>
                </w:p>
                <w:p w14:paraId="05B1EF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离/m</w:t>
                  </w:r>
                </w:p>
              </w:tc>
            </w:tr>
            <w:tr w14:paraId="72CB317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610" w:type="dxa"/>
                  <w:vMerge w:val="continue"/>
                  <w:tcBorders>
                    <w:top w:val="nil"/>
                  </w:tcBorders>
                  <w:vAlign w:val="center"/>
                </w:tcPr>
                <w:p w14:paraId="2B3925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c>
                <w:tcPr>
                  <w:tcW w:w="1529" w:type="dxa"/>
                  <w:vMerge w:val="continue"/>
                  <w:tcBorders>
                    <w:top w:val="nil"/>
                  </w:tcBorders>
                  <w:vAlign w:val="center"/>
                </w:tcPr>
                <w:p w14:paraId="4299D1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c>
                <w:tcPr>
                  <w:tcW w:w="1528" w:type="dxa"/>
                  <w:vAlign w:val="center"/>
                </w:tcPr>
                <w:p w14:paraId="561F6D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经度</w:t>
                  </w:r>
                </w:p>
              </w:tc>
              <w:tc>
                <w:tcPr>
                  <w:tcW w:w="1529" w:type="dxa"/>
                  <w:vAlign w:val="center"/>
                </w:tcPr>
                <w:p w14:paraId="182C54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纬度</w:t>
                  </w:r>
                </w:p>
              </w:tc>
              <w:tc>
                <w:tcPr>
                  <w:tcW w:w="1222" w:type="dxa"/>
                  <w:vMerge w:val="continue"/>
                  <w:tcBorders>
                    <w:top w:val="nil"/>
                  </w:tcBorders>
                  <w:vAlign w:val="center"/>
                </w:tcPr>
                <w:p w14:paraId="772C54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c>
                <w:tcPr>
                  <w:tcW w:w="696" w:type="dxa"/>
                  <w:vMerge w:val="continue"/>
                  <w:tcBorders>
                    <w:top w:val="nil"/>
                  </w:tcBorders>
                  <w:vAlign w:val="center"/>
                </w:tcPr>
                <w:p w14:paraId="1B8BBA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c>
                <w:tcPr>
                  <w:tcW w:w="917" w:type="dxa"/>
                  <w:vMerge w:val="continue"/>
                  <w:tcBorders>
                    <w:top w:val="nil"/>
                  </w:tcBorders>
                  <w:vAlign w:val="center"/>
                </w:tcPr>
                <w:p w14:paraId="4F1FB4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c>
                <w:tcPr>
                  <w:tcW w:w="865" w:type="dxa"/>
                  <w:vMerge w:val="continue"/>
                  <w:tcBorders>
                    <w:top w:val="nil"/>
                  </w:tcBorders>
                  <w:vAlign w:val="center"/>
                </w:tcPr>
                <w:p w14:paraId="0869AF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r>
            <w:tr w14:paraId="0B18748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6" w:hRule="atLeast"/>
              </w:trPr>
              <w:tc>
                <w:tcPr>
                  <w:tcW w:w="610" w:type="dxa"/>
                  <w:vMerge w:val="restart"/>
                  <w:vAlign w:val="center"/>
                </w:tcPr>
                <w:p w14:paraId="376601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eastAsia" w:ascii="Times New Roman" w:hAnsi="Times New Roman" w:cs="Times New Roman"/>
                      <w:color w:val="auto"/>
                      <w:spacing w:val="0"/>
                      <w:w w:val="100"/>
                      <w:lang w:val="en-US" w:eastAsia="zh-CN"/>
                    </w:rPr>
                    <w:t>地表水环境</w:t>
                  </w:r>
                </w:p>
              </w:tc>
              <w:tc>
                <w:tcPr>
                  <w:tcW w:w="1529" w:type="dxa"/>
                  <w:shd w:val="clear" w:color="auto" w:fill="auto"/>
                  <w:vAlign w:val="center"/>
                </w:tcPr>
                <w:p w14:paraId="1730C4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en-US"/>
                    </w:rPr>
                  </w:pPr>
                  <w:r>
                    <w:rPr>
                      <w:rFonts w:hint="default" w:ascii="Times New Roman" w:hAnsi="Times New Roman" w:cs="Times New Roman"/>
                      <w:color w:val="auto"/>
                      <w:spacing w:val="0"/>
                      <w:w w:val="100"/>
                      <w:lang w:val="en-US" w:eastAsia="zh-CN"/>
                    </w:rPr>
                    <w:t>千河国家级水种质资源保护区</w:t>
                  </w:r>
                </w:p>
              </w:tc>
              <w:tc>
                <w:tcPr>
                  <w:tcW w:w="1528" w:type="dxa"/>
                  <w:vMerge w:val="restart"/>
                  <w:tcBorders>
                    <w:right w:val="single" w:color="auto" w:sz="4" w:space="0"/>
                  </w:tcBorders>
                  <w:vAlign w:val="center"/>
                </w:tcPr>
                <w:p w14:paraId="7C0EEB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106.910429633</w:t>
                  </w:r>
                </w:p>
              </w:tc>
              <w:tc>
                <w:tcPr>
                  <w:tcW w:w="1529" w:type="dxa"/>
                  <w:vMerge w:val="restart"/>
                  <w:tcBorders>
                    <w:left w:val="single" w:color="auto" w:sz="4" w:space="0"/>
                  </w:tcBorders>
                  <w:vAlign w:val="center"/>
                </w:tcPr>
                <w:p w14:paraId="347A09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34.852949029,</w:t>
                  </w:r>
                </w:p>
              </w:tc>
              <w:tc>
                <w:tcPr>
                  <w:tcW w:w="1222" w:type="dxa"/>
                  <w:vMerge w:val="restart"/>
                  <w:vAlign w:val="center"/>
                </w:tcPr>
                <w:p w14:paraId="291B00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eastAsia" w:ascii="Times New Roman" w:hAnsi="Times New Roman" w:cs="Times New Roman"/>
                      <w:color w:val="auto"/>
                      <w:spacing w:val="0"/>
                      <w:w w:val="100"/>
                      <w:lang w:val="en-US" w:eastAsia="zh-CN"/>
                    </w:rPr>
                    <w:t>保护物种：青虾、鲤、鲫、鲇和黄颡鱼等</w:t>
                  </w:r>
                </w:p>
              </w:tc>
              <w:tc>
                <w:tcPr>
                  <w:tcW w:w="696" w:type="dxa"/>
                  <w:vMerge w:val="restart"/>
                  <w:vAlign w:val="center"/>
                </w:tcPr>
                <w:p w14:paraId="7444AA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eastAsia" w:ascii="Times New Roman" w:hAnsi="Times New Roman" w:cs="Times New Roman"/>
                      <w:color w:val="auto"/>
                      <w:spacing w:val="0"/>
                      <w:w w:val="100"/>
                      <w:lang w:val="en-US" w:eastAsia="zh-CN"/>
                    </w:rPr>
                    <w:t>栖息地</w:t>
                  </w:r>
                </w:p>
              </w:tc>
              <w:tc>
                <w:tcPr>
                  <w:tcW w:w="917" w:type="dxa"/>
                  <w:vMerge w:val="restart"/>
                  <w:vAlign w:val="center"/>
                </w:tcPr>
                <w:p w14:paraId="062F3F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W</w:t>
                  </w:r>
                </w:p>
              </w:tc>
              <w:tc>
                <w:tcPr>
                  <w:tcW w:w="865" w:type="dxa"/>
                  <w:vMerge w:val="restart"/>
                  <w:vAlign w:val="center"/>
                </w:tcPr>
                <w:p w14:paraId="4ABCEC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eastAsia" w:ascii="Times New Roman" w:hAnsi="Times New Roman" w:cs="Times New Roman"/>
                      <w:color w:val="auto"/>
                      <w:spacing w:val="0"/>
                      <w:w w:val="100"/>
                      <w:lang w:val="en-US" w:eastAsia="zh-CN"/>
                    </w:rPr>
                    <w:t>70</w:t>
                  </w:r>
                </w:p>
              </w:tc>
            </w:tr>
            <w:tr w14:paraId="6A370D7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10" w:type="dxa"/>
                  <w:vMerge w:val="continue"/>
                  <w:vAlign w:val="center"/>
                </w:tcPr>
                <w:p w14:paraId="37ECA1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eastAsia" w:ascii="Times New Roman" w:hAnsi="Times New Roman" w:cs="Times New Roman"/>
                      <w:color w:val="auto"/>
                      <w:spacing w:val="0"/>
                      <w:w w:val="100"/>
                      <w:lang w:val="en-US" w:eastAsia="zh-CN"/>
                    </w:rPr>
                  </w:pPr>
                </w:p>
              </w:tc>
              <w:tc>
                <w:tcPr>
                  <w:tcW w:w="1529" w:type="dxa"/>
                  <w:shd w:val="clear" w:color="auto" w:fill="auto"/>
                  <w:vAlign w:val="center"/>
                </w:tcPr>
                <w:p w14:paraId="64FADC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eastAsia" w:ascii="Times New Roman" w:hAnsi="Times New Roman" w:cs="Times New Roman"/>
                      <w:color w:val="auto"/>
                      <w:spacing w:val="0"/>
                      <w:w w:val="100"/>
                      <w:lang w:val="en-US" w:eastAsia="zh-CN"/>
                    </w:rPr>
                    <w:t>千河湿地</w:t>
                  </w:r>
                </w:p>
              </w:tc>
              <w:tc>
                <w:tcPr>
                  <w:tcW w:w="1528" w:type="dxa"/>
                  <w:vMerge w:val="continue"/>
                  <w:tcBorders>
                    <w:right w:val="single" w:color="auto" w:sz="4" w:space="0"/>
                  </w:tcBorders>
                  <w:vAlign w:val="center"/>
                </w:tcPr>
                <w:p w14:paraId="498047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c>
                <w:tcPr>
                  <w:tcW w:w="1529" w:type="dxa"/>
                  <w:vMerge w:val="continue"/>
                  <w:tcBorders>
                    <w:left w:val="single" w:color="auto" w:sz="4" w:space="0"/>
                  </w:tcBorders>
                  <w:vAlign w:val="center"/>
                </w:tcPr>
                <w:p w14:paraId="71335D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c>
                <w:tcPr>
                  <w:tcW w:w="1222" w:type="dxa"/>
                  <w:vMerge w:val="continue"/>
                  <w:vAlign w:val="center"/>
                </w:tcPr>
                <w:p w14:paraId="6853A1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eastAsia" w:ascii="Times New Roman" w:hAnsi="Times New Roman" w:cs="Times New Roman"/>
                      <w:color w:val="auto"/>
                      <w:spacing w:val="0"/>
                      <w:w w:val="100"/>
                      <w:lang w:val="en-US" w:eastAsia="zh-CN"/>
                    </w:rPr>
                  </w:pPr>
                </w:p>
              </w:tc>
              <w:tc>
                <w:tcPr>
                  <w:tcW w:w="696" w:type="dxa"/>
                  <w:vMerge w:val="continue"/>
                  <w:vAlign w:val="center"/>
                </w:tcPr>
                <w:p w14:paraId="6D8E2E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eastAsia" w:ascii="Times New Roman" w:hAnsi="Times New Roman" w:cs="Times New Roman"/>
                      <w:color w:val="auto"/>
                      <w:spacing w:val="0"/>
                      <w:w w:val="100"/>
                      <w:lang w:val="en-US" w:eastAsia="zh-CN"/>
                    </w:rPr>
                  </w:pPr>
                </w:p>
              </w:tc>
              <w:tc>
                <w:tcPr>
                  <w:tcW w:w="917" w:type="dxa"/>
                  <w:vMerge w:val="continue"/>
                  <w:vAlign w:val="center"/>
                </w:tcPr>
                <w:p w14:paraId="4574BB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c>
                <w:tcPr>
                  <w:tcW w:w="865" w:type="dxa"/>
                  <w:vMerge w:val="continue"/>
                  <w:vAlign w:val="center"/>
                </w:tcPr>
                <w:p w14:paraId="186750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eastAsia" w:ascii="Times New Roman" w:hAnsi="Times New Roman" w:cs="Times New Roman"/>
                      <w:color w:val="auto"/>
                      <w:spacing w:val="0"/>
                      <w:w w:val="100"/>
                      <w:lang w:val="en-US" w:eastAsia="zh-CN"/>
                    </w:rPr>
                  </w:pPr>
                </w:p>
              </w:tc>
            </w:tr>
          </w:tbl>
          <w:p w14:paraId="39EB6A64">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pacing w:val="0"/>
                <w:w w:val="100"/>
                <w:kern w:val="2"/>
                <w:sz w:val="24"/>
                <w:szCs w:val="24"/>
                <w:shd w:val="clear" w:color="auto" w:fill="auto"/>
                <w:lang w:val="en-US" w:eastAsia="zh-CN" w:bidi="ar-SA"/>
              </w:rPr>
            </w:pPr>
          </w:p>
        </w:tc>
      </w:tr>
      <w:tr w14:paraId="451B9B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83" w:hRule="atLeast"/>
          <w:jc w:val="center"/>
        </w:trPr>
        <w:tc>
          <w:tcPr>
            <w:tcW w:w="822" w:type="dxa"/>
            <w:tcBorders>
              <w:top w:val="single" w:color="auto" w:sz="4" w:space="0"/>
              <w:left w:val="single" w:color="auto" w:sz="8" w:space="0"/>
              <w:bottom w:val="single" w:color="auto" w:sz="4" w:space="0"/>
              <w:right w:val="single" w:color="auto" w:sz="4" w:space="0"/>
            </w:tcBorders>
            <w:shd w:val="clear" w:color="auto" w:fill="auto"/>
            <w:tcMar>
              <w:left w:w="28" w:type="dxa"/>
              <w:right w:w="28" w:type="dxa"/>
            </w:tcMar>
            <w:vAlign w:val="center"/>
          </w:tcPr>
          <w:p w14:paraId="6749974A">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污染</w:t>
            </w:r>
          </w:p>
          <w:p w14:paraId="051D134C">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物排</w:t>
            </w:r>
          </w:p>
          <w:p w14:paraId="29CFF08D">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放控</w:t>
            </w:r>
          </w:p>
          <w:p w14:paraId="751771FA">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制标</w:t>
            </w:r>
          </w:p>
          <w:p w14:paraId="7F1F0D2B">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准</w:t>
            </w:r>
          </w:p>
        </w:tc>
        <w:tc>
          <w:tcPr>
            <w:tcW w:w="9134" w:type="dxa"/>
            <w:tcBorders>
              <w:top w:val="single" w:color="auto" w:sz="4" w:space="0"/>
              <w:left w:val="single" w:color="auto" w:sz="4" w:space="0"/>
              <w:bottom w:val="single" w:color="auto" w:sz="4" w:space="0"/>
              <w:right w:val="single" w:color="auto" w:sz="8" w:space="0"/>
            </w:tcBorders>
            <w:shd w:val="clear" w:color="auto" w:fill="auto"/>
            <w:vAlign w:val="center"/>
          </w:tcPr>
          <w:p w14:paraId="72A753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cs="Times New Roman"/>
                <w:color w:val="auto"/>
                <w:spacing w:val="0"/>
                <w:w w:val="100"/>
                <w:sz w:val="24"/>
                <w:szCs w:val="24"/>
                <w:lang w:eastAsia="zh-CN"/>
              </w:rPr>
            </w:pPr>
            <w:r>
              <w:rPr>
                <w:rFonts w:hint="default" w:ascii="Times New Roman" w:hAnsi="Times New Roman" w:cs="Times New Roman"/>
                <w:color w:val="auto"/>
                <w:spacing w:val="0"/>
                <w:w w:val="100"/>
                <w:sz w:val="24"/>
                <w:szCs w:val="24"/>
                <w:lang w:val="en-US" w:eastAsia="zh-CN"/>
              </w:rPr>
              <w:t>1、废气：</w:t>
            </w:r>
            <w:r>
              <w:rPr>
                <w:rFonts w:hint="default" w:ascii="Times New Roman" w:hAnsi="Times New Roman" w:cs="Times New Roman"/>
                <w:color w:val="auto"/>
                <w:spacing w:val="0"/>
                <w:w w:val="100"/>
                <w:sz w:val="24"/>
                <w:szCs w:val="24"/>
                <w:lang w:eastAsia="zh-CN"/>
              </w:rPr>
              <w:t>施工期扬尘排放执行《施工厂界扬尘排放限值》（</w:t>
            </w:r>
            <w:r>
              <w:rPr>
                <w:rFonts w:hint="default" w:ascii="Times New Roman" w:hAnsi="Times New Roman" w:cs="Times New Roman"/>
                <w:color w:val="auto"/>
                <w:spacing w:val="0"/>
                <w:w w:val="100"/>
                <w:sz w:val="24"/>
                <w:szCs w:val="24"/>
                <w:lang w:val="en-US" w:eastAsia="zh-CN"/>
              </w:rPr>
              <w:t>DB61/1078-2017</w:t>
            </w:r>
            <w:r>
              <w:rPr>
                <w:rFonts w:hint="default" w:ascii="Times New Roman" w:hAnsi="Times New Roman" w:cs="Times New Roman"/>
                <w:color w:val="auto"/>
                <w:spacing w:val="0"/>
                <w:w w:val="100"/>
                <w:sz w:val="24"/>
                <w:szCs w:val="24"/>
                <w:lang w:eastAsia="zh-CN"/>
              </w:rPr>
              <w:t>）中浓度限值；</w:t>
            </w:r>
            <w:r>
              <w:rPr>
                <w:rFonts w:hint="default" w:ascii="Times New Roman" w:hAnsi="Times New Roman" w:cs="Times New Roman"/>
                <w:color w:val="auto"/>
                <w:spacing w:val="0"/>
                <w:w w:val="100"/>
                <w:sz w:val="24"/>
                <w:szCs w:val="24"/>
              </w:rPr>
              <w:t>污水处理</w:t>
            </w:r>
            <w:r>
              <w:rPr>
                <w:rFonts w:hint="default" w:ascii="Times New Roman" w:hAnsi="Times New Roman" w:cs="Times New Roman"/>
                <w:color w:val="auto"/>
                <w:spacing w:val="0"/>
                <w:w w:val="100"/>
                <w:sz w:val="24"/>
                <w:szCs w:val="24"/>
                <w:lang w:eastAsia="zh-CN"/>
              </w:rPr>
              <w:t>厂有</w:t>
            </w:r>
            <w:r>
              <w:rPr>
                <w:rFonts w:hint="default" w:ascii="Times New Roman" w:hAnsi="Times New Roman" w:cs="Times New Roman"/>
                <w:color w:val="auto"/>
                <w:spacing w:val="0"/>
                <w:w w:val="100"/>
                <w:sz w:val="24"/>
                <w:szCs w:val="24"/>
                <w:lang w:val="en-US" w:eastAsia="zh-CN"/>
              </w:rPr>
              <w:t>组织废气氨、硫化氢排放浓度</w:t>
            </w:r>
            <w:r>
              <w:rPr>
                <w:rFonts w:hint="default" w:ascii="Times New Roman" w:hAnsi="Times New Roman" w:cs="Times New Roman"/>
                <w:color w:val="auto"/>
                <w:spacing w:val="0"/>
                <w:w w:val="100"/>
                <w:sz w:val="24"/>
                <w:szCs w:val="24"/>
              </w:rPr>
              <w:t>执行《恶臭污染物排放标准》（GB14554-93）表1中二级标准限值</w:t>
            </w:r>
            <w:r>
              <w:rPr>
                <w:rFonts w:hint="default" w:ascii="Times New Roman" w:hAnsi="Times New Roman" w:cs="Times New Roman"/>
                <w:color w:val="auto"/>
                <w:spacing w:val="0"/>
                <w:w w:val="100"/>
                <w:sz w:val="24"/>
                <w:szCs w:val="24"/>
                <w:lang w:eastAsia="zh-CN"/>
              </w:rPr>
              <w:t>；项目</w:t>
            </w:r>
            <w:r>
              <w:rPr>
                <w:rFonts w:hint="default" w:ascii="Times New Roman" w:hAnsi="Times New Roman" w:cs="Times New Roman"/>
                <w:color w:val="auto"/>
                <w:spacing w:val="0"/>
                <w:w w:val="100"/>
                <w:sz w:val="24"/>
                <w:szCs w:val="24"/>
                <w:lang w:val="en-US" w:eastAsia="zh-CN"/>
              </w:rPr>
              <w:t>厂界无组织废气氨、硫化氢排放浓度执行</w:t>
            </w:r>
            <w:r>
              <w:rPr>
                <w:rFonts w:hint="default" w:ascii="Times New Roman" w:hAnsi="Times New Roman" w:cs="Times New Roman"/>
                <w:color w:val="auto"/>
                <w:spacing w:val="0"/>
                <w:w w:val="100"/>
                <w:sz w:val="24"/>
                <w:szCs w:val="24"/>
                <w:lang w:eastAsia="zh-CN"/>
              </w:rPr>
              <w:t>《城镇污水处理厂污染物排放标准》（</w:t>
            </w:r>
            <w:r>
              <w:rPr>
                <w:rFonts w:hint="default" w:ascii="Times New Roman" w:hAnsi="Times New Roman" w:cs="Times New Roman"/>
                <w:color w:val="auto"/>
                <w:spacing w:val="0"/>
                <w:w w:val="100"/>
                <w:sz w:val="24"/>
                <w:szCs w:val="24"/>
                <w:lang w:val="en-US" w:eastAsia="zh-CN"/>
              </w:rPr>
              <w:t>GB18918-2002</w:t>
            </w:r>
            <w:r>
              <w:rPr>
                <w:rFonts w:hint="default" w:ascii="Times New Roman" w:hAnsi="Times New Roman" w:cs="Times New Roman"/>
                <w:color w:val="auto"/>
                <w:spacing w:val="0"/>
                <w:w w:val="100"/>
                <w:sz w:val="24"/>
                <w:szCs w:val="24"/>
                <w:lang w:eastAsia="zh-CN"/>
              </w:rPr>
              <w:t>）表</w:t>
            </w:r>
            <w:r>
              <w:rPr>
                <w:rFonts w:hint="default" w:ascii="Times New Roman" w:hAnsi="Times New Roman" w:cs="Times New Roman"/>
                <w:color w:val="auto"/>
                <w:spacing w:val="0"/>
                <w:w w:val="100"/>
                <w:sz w:val="24"/>
                <w:szCs w:val="24"/>
                <w:lang w:val="en-US" w:eastAsia="zh-CN"/>
              </w:rPr>
              <w:t>4厂界（防护带边缘）废气排放最高允许浓度二级标准限值的要求，</w:t>
            </w:r>
            <w:r>
              <w:rPr>
                <w:rFonts w:hint="default" w:ascii="Times New Roman" w:hAnsi="Times New Roman" w:cs="Times New Roman"/>
                <w:color w:val="auto"/>
                <w:spacing w:val="0"/>
                <w:w w:val="100"/>
                <w:sz w:val="24"/>
                <w:szCs w:val="24"/>
              </w:rPr>
              <w:t>具体标准限值见</w:t>
            </w:r>
            <w:r>
              <w:rPr>
                <w:rFonts w:hint="default" w:ascii="Times New Roman" w:hAnsi="Times New Roman" w:cs="Times New Roman"/>
                <w:color w:val="auto"/>
                <w:spacing w:val="0"/>
                <w:w w:val="100"/>
                <w:sz w:val="24"/>
                <w:szCs w:val="24"/>
                <w:lang w:eastAsia="zh-CN"/>
              </w:rPr>
              <w:t>下表</w:t>
            </w:r>
            <w:r>
              <w:rPr>
                <w:rFonts w:hint="default" w:ascii="Times New Roman" w:hAnsi="Times New Roman" w:cs="Times New Roman"/>
                <w:color w:val="auto"/>
                <w:spacing w:val="0"/>
                <w:w w:val="100"/>
                <w:sz w:val="24"/>
                <w:szCs w:val="24"/>
              </w:rPr>
              <w:t>。</w:t>
            </w:r>
          </w:p>
          <w:p w14:paraId="66D7608F">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表</w:t>
            </w:r>
            <w:r>
              <w:rPr>
                <w:rFonts w:hint="eastAsia" w:ascii="Times New Roman" w:hAnsi="Times New Roman" w:cs="Times New Roman"/>
                <w:color w:val="auto"/>
                <w:spacing w:val="0"/>
                <w:w w:val="100"/>
                <w:lang w:val="en-US" w:eastAsia="zh-CN"/>
              </w:rPr>
              <w:t>3-3</w:t>
            </w:r>
            <w:r>
              <w:rPr>
                <w:rFonts w:hint="default" w:ascii="Times New Roman" w:hAnsi="Times New Roman" w:cs="Times New Roman"/>
                <w:color w:val="auto"/>
                <w:spacing w:val="0"/>
                <w:w w:val="100"/>
                <w:lang w:val="en-US" w:eastAsia="zh-CN"/>
              </w:rPr>
              <w:t xml:space="preserve">  </w:t>
            </w:r>
            <w:r>
              <w:rPr>
                <w:rFonts w:hint="eastAsia" w:ascii="Times New Roman" w:hAnsi="Times New Roman" w:cs="Times New Roman"/>
                <w:color w:val="auto"/>
                <w:spacing w:val="0"/>
                <w:w w:val="100"/>
                <w:lang w:val="en-US" w:eastAsia="zh-CN"/>
              </w:rPr>
              <w:t xml:space="preserve"> </w:t>
            </w:r>
            <w:r>
              <w:rPr>
                <w:rFonts w:hint="default" w:ascii="Times New Roman" w:hAnsi="Times New Roman" w:cs="Times New Roman"/>
                <w:color w:val="auto"/>
                <w:spacing w:val="0"/>
                <w:w w:val="100"/>
                <w:lang w:val="en-US" w:eastAsia="zh-CN"/>
              </w:rPr>
              <w:t>施工厂界扬尘（总悬浮颗粒物）浓度限值</w:t>
            </w:r>
          </w:p>
          <w:tbl>
            <w:tblPr>
              <w:tblStyle w:val="22"/>
              <w:tblW w:w="88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2112"/>
              <w:gridCol w:w="1231"/>
              <w:gridCol w:w="3026"/>
              <w:gridCol w:w="1775"/>
            </w:tblGrid>
            <w:tr w14:paraId="401E9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trPr>
              <w:tc>
                <w:tcPr>
                  <w:tcW w:w="674" w:type="dxa"/>
                  <w:noWrap w:val="0"/>
                  <w:vAlign w:val="center"/>
                </w:tcPr>
                <w:p w14:paraId="79D969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序号</w:t>
                  </w:r>
                </w:p>
              </w:tc>
              <w:tc>
                <w:tcPr>
                  <w:tcW w:w="2112" w:type="dxa"/>
                  <w:noWrap w:val="0"/>
                  <w:vAlign w:val="center"/>
                </w:tcPr>
                <w:p w14:paraId="53234D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污染物</w:t>
                  </w:r>
                </w:p>
              </w:tc>
              <w:tc>
                <w:tcPr>
                  <w:tcW w:w="1231" w:type="dxa"/>
                  <w:noWrap w:val="0"/>
                  <w:vAlign w:val="center"/>
                </w:tcPr>
                <w:p w14:paraId="73040D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监控点</w:t>
                  </w:r>
                </w:p>
              </w:tc>
              <w:tc>
                <w:tcPr>
                  <w:tcW w:w="3026" w:type="dxa"/>
                  <w:noWrap w:val="0"/>
                  <w:vAlign w:val="center"/>
                </w:tcPr>
                <w:p w14:paraId="20D39B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施工阶段</w:t>
                  </w:r>
                </w:p>
              </w:tc>
              <w:tc>
                <w:tcPr>
                  <w:tcW w:w="1775" w:type="dxa"/>
                  <w:noWrap w:val="0"/>
                  <w:vAlign w:val="center"/>
                </w:tcPr>
                <w:p w14:paraId="29DF33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小时平均浓度限值（mg/m³）</w:t>
                  </w:r>
                </w:p>
              </w:tc>
            </w:tr>
            <w:tr w14:paraId="71D0B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74" w:type="dxa"/>
                  <w:noWrap w:val="0"/>
                  <w:vAlign w:val="center"/>
                </w:tcPr>
                <w:p w14:paraId="799548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1</w:t>
                  </w:r>
                </w:p>
              </w:tc>
              <w:tc>
                <w:tcPr>
                  <w:tcW w:w="2112" w:type="dxa"/>
                  <w:vMerge w:val="restart"/>
                  <w:noWrap w:val="0"/>
                  <w:vAlign w:val="center"/>
                </w:tcPr>
                <w:p w14:paraId="767988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施工扬尘（即总悬浮颗粒物TSP）</w:t>
                  </w:r>
                </w:p>
              </w:tc>
              <w:tc>
                <w:tcPr>
                  <w:tcW w:w="1231" w:type="dxa"/>
                  <w:vMerge w:val="restart"/>
                  <w:noWrap w:val="0"/>
                  <w:vAlign w:val="center"/>
                </w:tcPr>
                <w:p w14:paraId="6FF6A0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周界外浓度最高点*</w:t>
                  </w:r>
                </w:p>
              </w:tc>
              <w:tc>
                <w:tcPr>
                  <w:tcW w:w="3026" w:type="dxa"/>
                  <w:noWrap w:val="0"/>
                  <w:vAlign w:val="center"/>
                </w:tcPr>
                <w:p w14:paraId="6D92ED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拆除、土方及地基处理工程</w:t>
                  </w:r>
                </w:p>
              </w:tc>
              <w:tc>
                <w:tcPr>
                  <w:tcW w:w="1775" w:type="dxa"/>
                  <w:noWrap w:val="0"/>
                  <w:vAlign w:val="center"/>
                </w:tcPr>
                <w:p w14:paraId="60DC22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≤0.8</w:t>
                  </w:r>
                </w:p>
              </w:tc>
            </w:tr>
            <w:tr w14:paraId="24846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74" w:type="dxa"/>
                  <w:noWrap w:val="0"/>
                  <w:vAlign w:val="center"/>
                </w:tcPr>
                <w:p w14:paraId="0C49ED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2</w:t>
                  </w:r>
                </w:p>
              </w:tc>
              <w:tc>
                <w:tcPr>
                  <w:tcW w:w="2112" w:type="dxa"/>
                  <w:vMerge w:val="continue"/>
                  <w:noWrap w:val="0"/>
                  <w:vAlign w:val="center"/>
                </w:tcPr>
                <w:p w14:paraId="56453C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c>
                <w:tcPr>
                  <w:tcW w:w="1231" w:type="dxa"/>
                  <w:vMerge w:val="continue"/>
                  <w:noWrap w:val="0"/>
                  <w:vAlign w:val="center"/>
                </w:tcPr>
                <w:p w14:paraId="7ADE38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p>
              </w:tc>
              <w:tc>
                <w:tcPr>
                  <w:tcW w:w="3026" w:type="dxa"/>
                  <w:noWrap w:val="0"/>
                  <w:vAlign w:val="center"/>
                </w:tcPr>
                <w:p w14:paraId="716251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基础、主体结构及装饰工程</w:t>
                  </w:r>
                </w:p>
              </w:tc>
              <w:tc>
                <w:tcPr>
                  <w:tcW w:w="1775" w:type="dxa"/>
                  <w:noWrap w:val="0"/>
                  <w:vAlign w:val="center"/>
                </w:tcPr>
                <w:p w14:paraId="21B03D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≤0.7</w:t>
                  </w:r>
                </w:p>
              </w:tc>
            </w:tr>
            <w:tr w14:paraId="2A90F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8818" w:type="dxa"/>
                  <w:gridSpan w:val="5"/>
                  <w:noWrap w:val="0"/>
                  <w:vAlign w:val="top"/>
                </w:tcPr>
                <w:p w14:paraId="09A655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textAlignment w:val="auto"/>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*周界外浓度最高点一般应设置于无组织排放源下风向的单位周界外10m范围内，若预计无组织排放的最大落地浓度点超出10m范围，可将监控点移至该预计浓度最高点</w:t>
                  </w:r>
                  <w:r>
                    <w:rPr>
                      <w:rFonts w:hint="eastAsia" w:ascii="Times New Roman" w:hAnsi="Times New Roman" w:cs="Times New Roman"/>
                      <w:color w:val="auto"/>
                      <w:spacing w:val="0"/>
                      <w:w w:val="100"/>
                      <w:lang w:val="en-US" w:eastAsia="zh-CN"/>
                    </w:rPr>
                    <w:t>附近</w:t>
                  </w:r>
                  <w:r>
                    <w:rPr>
                      <w:rFonts w:hint="default" w:ascii="Times New Roman" w:hAnsi="Times New Roman" w:cs="Times New Roman"/>
                      <w:color w:val="auto"/>
                      <w:spacing w:val="0"/>
                      <w:w w:val="100"/>
                      <w:lang w:val="en-US" w:eastAsia="zh-CN"/>
                    </w:rPr>
                    <w:t>。</w:t>
                  </w:r>
                </w:p>
              </w:tc>
            </w:tr>
          </w:tbl>
          <w:p w14:paraId="74497F35">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spacing w:val="0"/>
                <w:w w:val="100"/>
                <w:lang w:val="zh-CN" w:eastAsia="zh-CN"/>
              </w:rPr>
            </w:pPr>
            <w:r>
              <w:rPr>
                <w:rFonts w:hint="default" w:ascii="Times New Roman" w:hAnsi="Times New Roman" w:cs="Times New Roman"/>
                <w:color w:val="auto"/>
                <w:spacing w:val="0"/>
                <w:w w:val="100"/>
                <w:lang w:val="zh-CN" w:eastAsia="zh-CN"/>
              </w:rPr>
              <w:t>表</w:t>
            </w:r>
            <w:r>
              <w:rPr>
                <w:rFonts w:hint="eastAsia" w:ascii="Times New Roman" w:hAnsi="Times New Roman" w:cs="Times New Roman"/>
                <w:color w:val="auto"/>
                <w:spacing w:val="0"/>
                <w:w w:val="100"/>
                <w:lang w:val="en-US" w:eastAsia="zh-CN"/>
              </w:rPr>
              <w:t>3--4</w:t>
            </w:r>
            <w:r>
              <w:rPr>
                <w:rFonts w:hint="default" w:ascii="Times New Roman" w:hAnsi="Times New Roman" w:cs="Times New Roman"/>
                <w:color w:val="auto"/>
                <w:spacing w:val="0"/>
                <w:w w:val="100"/>
                <w:lang w:val="zh-CN" w:eastAsia="zh-CN"/>
              </w:rPr>
              <w:t xml:space="preserve">   运营期恶臭污染物</w:t>
            </w:r>
            <w:r>
              <w:rPr>
                <w:rFonts w:hint="default" w:ascii="Times New Roman" w:hAnsi="Times New Roman" w:cs="Times New Roman"/>
                <w:color w:val="auto"/>
                <w:spacing w:val="0"/>
                <w:w w:val="100"/>
                <w:lang w:val="en-US" w:eastAsia="zh-CN"/>
              </w:rPr>
              <w:t>排放标准</w:t>
            </w:r>
            <w:r>
              <w:rPr>
                <w:rFonts w:hint="default" w:ascii="Times New Roman" w:hAnsi="Times New Roman" w:cs="Times New Roman"/>
                <w:color w:val="auto"/>
                <w:spacing w:val="0"/>
                <w:w w:val="100"/>
                <w:lang w:val="zh-CN" w:eastAsia="zh-CN"/>
              </w:rPr>
              <w:t>一览表</w:t>
            </w:r>
          </w:p>
          <w:tbl>
            <w:tblPr>
              <w:tblStyle w:val="21"/>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2650"/>
              <w:gridCol w:w="1533"/>
              <w:gridCol w:w="1534"/>
              <w:gridCol w:w="3181"/>
            </w:tblGrid>
            <w:tr w14:paraId="78081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55" w:hRule="atLeast"/>
                <w:jc w:val="center"/>
              </w:trPr>
              <w:tc>
                <w:tcPr>
                  <w:tcW w:w="1489" w:type="pct"/>
                  <w:tcBorders>
                    <w:tl2br w:val="nil"/>
                    <w:tr2bl w:val="nil"/>
                  </w:tcBorders>
                  <w:noWrap w:val="0"/>
                  <w:tcMar>
                    <w:left w:w="0" w:type="dxa"/>
                    <w:right w:w="0" w:type="dxa"/>
                  </w:tcMar>
                  <w:vAlign w:val="center"/>
                </w:tcPr>
                <w:p w14:paraId="6F6BF9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标准名称</w:t>
                  </w:r>
                </w:p>
              </w:tc>
              <w:tc>
                <w:tcPr>
                  <w:tcW w:w="861" w:type="pct"/>
                  <w:tcBorders>
                    <w:tl2br w:val="nil"/>
                    <w:tr2bl w:val="nil"/>
                  </w:tcBorders>
                  <w:noWrap w:val="0"/>
                  <w:tcMar>
                    <w:left w:w="0" w:type="dxa"/>
                    <w:right w:w="0" w:type="dxa"/>
                  </w:tcMar>
                  <w:vAlign w:val="center"/>
                </w:tcPr>
                <w:p w14:paraId="2EA478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污染物</w:t>
                  </w:r>
                </w:p>
              </w:tc>
              <w:tc>
                <w:tcPr>
                  <w:tcW w:w="861" w:type="pct"/>
                  <w:tcBorders>
                    <w:tl2br w:val="nil"/>
                    <w:tr2bl w:val="nil"/>
                  </w:tcBorders>
                  <w:noWrap w:val="0"/>
                  <w:tcMar>
                    <w:left w:w="0" w:type="dxa"/>
                    <w:right w:w="0" w:type="dxa"/>
                  </w:tcMar>
                  <w:vAlign w:val="center"/>
                </w:tcPr>
                <w:p w14:paraId="344976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排气筒高度</w:t>
                  </w:r>
                </w:p>
              </w:tc>
              <w:tc>
                <w:tcPr>
                  <w:tcW w:w="1787" w:type="pct"/>
                  <w:tcBorders>
                    <w:tl2br w:val="nil"/>
                    <w:tr2bl w:val="nil"/>
                  </w:tcBorders>
                  <w:noWrap w:val="0"/>
                  <w:tcMar>
                    <w:left w:w="0" w:type="dxa"/>
                    <w:right w:w="0" w:type="dxa"/>
                  </w:tcMar>
                  <w:vAlign w:val="center"/>
                </w:tcPr>
                <w:p w14:paraId="31C910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标准值kg/h</w:t>
                  </w:r>
                </w:p>
              </w:tc>
            </w:tr>
            <w:tr w14:paraId="20E93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60" w:hRule="atLeast"/>
                <w:jc w:val="center"/>
              </w:trPr>
              <w:tc>
                <w:tcPr>
                  <w:tcW w:w="1489" w:type="pct"/>
                  <w:vMerge w:val="restart"/>
                  <w:tcBorders>
                    <w:tl2br w:val="nil"/>
                    <w:tr2bl w:val="nil"/>
                  </w:tcBorders>
                  <w:noWrap w:val="0"/>
                  <w:tcMar>
                    <w:left w:w="0" w:type="dxa"/>
                    <w:right w:w="0" w:type="dxa"/>
                  </w:tcMar>
                  <w:vAlign w:val="center"/>
                </w:tcPr>
                <w:p w14:paraId="619CC7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《恶臭污染物排放标准》（GB14554-93）表1中二级标准限值</w:t>
                  </w:r>
                </w:p>
              </w:tc>
              <w:tc>
                <w:tcPr>
                  <w:tcW w:w="861" w:type="pct"/>
                  <w:tcBorders>
                    <w:tl2br w:val="nil"/>
                    <w:tr2bl w:val="nil"/>
                  </w:tcBorders>
                  <w:noWrap w:val="0"/>
                  <w:tcMar>
                    <w:left w:w="0" w:type="dxa"/>
                    <w:right w:w="0" w:type="dxa"/>
                  </w:tcMar>
                  <w:vAlign w:val="center"/>
                </w:tcPr>
                <w:p w14:paraId="2FA32D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NH</w:t>
                  </w:r>
                  <w:r>
                    <w:rPr>
                      <w:rFonts w:hint="default" w:ascii="Times New Roman" w:hAnsi="Times New Roman" w:cs="Times New Roman"/>
                      <w:color w:val="auto"/>
                      <w:spacing w:val="0"/>
                      <w:w w:val="100"/>
                      <w:vertAlign w:val="subscript"/>
                      <w:lang w:val="en-US" w:eastAsia="zh-CN"/>
                    </w:rPr>
                    <w:t>3</w:t>
                  </w:r>
                </w:p>
              </w:tc>
              <w:tc>
                <w:tcPr>
                  <w:tcW w:w="861" w:type="pct"/>
                  <w:vMerge w:val="restart"/>
                  <w:tcBorders>
                    <w:tl2br w:val="nil"/>
                    <w:tr2bl w:val="nil"/>
                  </w:tcBorders>
                  <w:noWrap w:val="0"/>
                  <w:tcMar>
                    <w:left w:w="0" w:type="dxa"/>
                    <w:right w:w="0" w:type="dxa"/>
                  </w:tcMar>
                  <w:vAlign w:val="center"/>
                </w:tcPr>
                <w:p w14:paraId="69468D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不低于15m</w:t>
                  </w:r>
                </w:p>
              </w:tc>
              <w:tc>
                <w:tcPr>
                  <w:tcW w:w="1787" w:type="pct"/>
                  <w:tcBorders>
                    <w:tl2br w:val="nil"/>
                    <w:tr2bl w:val="nil"/>
                  </w:tcBorders>
                  <w:noWrap w:val="0"/>
                  <w:tcMar>
                    <w:left w:w="0" w:type="dxa"/>
                    <w:right w:w="0" w:type="dxa"/>
                  </w:tcMar>
                  <w:vAlign w:val="center"/>
                </w:tcPr>
                <w:p w14:paraId="2D9180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4.9（嗅阈值为4.68×10-5）</w:t>
                  </w:r>
                </w:p>
              </w:tc>
            </w:tr>
            <w:tr w14:paraId="17B83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55" w:hRule="atLeast"/>
                <w:jc w:val="center"/>
              </w:trPr>
              <w:tc>
                <w:tcPr>
                  <w:tcW w:w="1489" w:type="pct"/>
                  <w:vMerge w:val="continue"/>
                  <w:tcBorders>
                    <w:tl2br w:val="nil"/>
                    <w:tr2bl w:val="nil"/>
                  </w:tcBorders>
                  <w:noWrap w:val="0"/>
                  <w:tcMar>
                    <w:left w:w="0" w:type="dxa"/>
                    <w:right w:w="0" w:type="dxa"/>
                  </w:tcMar>
                  <w:vAlign w:val="center"/>
                </w:tcPr>
                <w:p w14:paraId="00B346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p>
              </w:tc>
              <w:tc>
                <w:tcPr>
                  <w:tcW w:w="861" w:type="pct"/>
                  <w:tcBorders>
                    <w:tl2br w:val="nil"/>
                    <w:tr2bl w:val="nil"/>
                  </w:tcBorders>
                  <w:noWrap w:val="0"/>
                  <w:tcMar>
                    <w:left w:w="0" w:type="dxa"/>
                    <w:right w:w="0" w:type="dxa"/>
                  </w:tcMar>
                  <w:vAlign w:val="center"/>
                </w:tcPr>
                <w:p w14:paraId="759264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H</w:t>
                  </w:r>
                  <w:r>
                    <w:rPr>
                      <w:rFonts w:hint="default" w:ascii="Times New Roman" w:hAnsi="Times New Roman" w:cs="Times New Roman"/>
                      <w:color w:val="auto"/>
                      <w:spacing w:val="0"/>
                      <w:w w:val="100"/>
                      <w:vertAlign w:val="subscript"/>
                      <w:lang w:val="en-US" w:eastAsia="zh-CN"/>
                    </w:rPr>
                    <w:t>2</w:t>
                  </w:r>
                  <w:r>
                    <w:rPr>
                      <w:rFonts w:hint="default" w:ascii="Times New Roman" w:hAnsi="Times New Roman" w:cs="Times New Roman"/>
                      <w:color w:val="auto"/>
                      <w:spacing w:val="0"/>
                      <w:w w:val="100"/>
                      <w:lang w:val="en-US" w:eastAsia="zh-CN"/>
                    </w:rPr>
                    <w:t>S</w:t>
                  </w:r>
                </w:p>
              </w:tc>
              <w:tc>
                <w:tcPr>
                  <w:tcW w:w="861" w:type="pct"/>
                  <w:vMerge w:val="continue"/>
                  <w:tcBorders>
                    <w:tl2br w:val="nil"/>
                    <w:tr2bl w:val="nil"/>
                  </w:tcBorders>
                  <w:noWrap w:val="0"/>
                  <w:tcMar>
                    <w:left w:w="0" w:type="dxa"/>
                    <w:right w:w="0" w:type="dxa"/>
                  </w:tcMar>
                  <w:vAlign w:val="center"/>
                </w:tcPr>
                <w:p w14:paraId="00B2C4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p>
              </w:tc>
              <w:tc>
                <w:tcPr>
                  <w:tcW w:w="1787" w:type="pct"/>
                  <w:tcBorders>
                    <w:tl2br w:val="nil"/>
                    <w:tr2bl w:val="nil"/>
                  </w:tcBorders>
                  <w:noWrap w:val="0"/>
                  <w:tcMar>
                    <w:left w:w="0" w:type="dxa"/>
                    <w:right w:w="0" w:type="dxa"/>
                  </w:tcMar>
                  <w:vAlign w:val="center"/>
                </w:tcPr>
                <w:p w14:paraId="0F32B7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0.33（嗅阈值为0.47×10-9）</w:t>
                  </w:r>
                </w:p>
              </w:tc>
            </w:tr>
            <w:tr w14:paraId="4F25F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517" w:hRule="atLeast"/>
                <w:jc w:val="center"/>
              </w:trPr>
              <w:tc>
                <w:tcPr>
                  <w:tcW w:w="1489" w:type="pct"/>
                  <w:vMerge w:val="continue"/>
                  <w:tcBorders>
                    <w:tl2br w:val="nil"/>
                    <w:tr2bl w:val="nil"/>
                  </w:tcBorders>
                  <w:noWrap w:val="0"/>
                  <w:tcMar>
                    <w:left w:w="0" w:type="dxa"/>
                    <w:right w:w="0" w:type="dxa"/>
                  </w:tcMar>
                  <w:vAlign w:val="center"/>
                </w:tcPr>
                <w:p w14:paraId="6F06CD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p>
              </w:tc>
              <w:tc>
                <w:tcPr>
                  <w:tcW w:w="861" w:type="pct"/>
                  <w:tcBorders>
                    <w:tl2br w:val="nil"/>
                    <w:tr2bl w:val="nil"/>
                  </w:tcBorders>
                  <w:noWrap w:val="0"/>
                  <w:tcMar>
                    <w:left w:w="0" w:type="dxa"/>
                    <w:right w:w="0" w:type="dxa"/>
                  </w:tcMar>
                  <w:vAlign w:val="center"/>
                </w:tcPr>
                <w:p w14:paraId="2379B0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臭气浓度</w:t>
                  </w:r>
                </w:p>
              </w:tc>
              <w:tc>
                <w:tcPr>
                  <w:tcW w:w="861" w:type="pct"/>
                  <w:vMerge w:val="continue"/>
                  <w:tcBorders>
                    <w:tl2br w:val="nil"/>
                    <w:tr2bl w:val="nil"/>
                  </w:tcBorders>
                  <w:noWrap w:val="0"/>
                  <w:tcMar>
                    <w:left w:w="0" w:type="dxa"/>
                    <w:right w:w="0" w:type="dxa"/>
                  </w:tcMar>
                  <w:vAlign w:val="center"/>
                </w:tcPr>
                <w:p w14:paraId="058023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p>
              </w:tc>
              <w:tc>
                <w:tcPr>
                  <w:tcW w:w="1787" w:type="pct"/>
                  <w:tcBorders>
                    <w:tl2br w:val="nil"/>
                    <w:tr2bl w:val="nil"/>
                  </w:tcBorders>
                  <w:noWrap w:val="0"/>
                  <w:tcMar>
                    <w:left w:w="0" w:type="dxa"/>
                    <w:right w:w="0" w:type="dxa"/>
                  </w:tcMar>
                  <w:vAlign w:val="center"/>
                </w:tcPr>
                <w:p w14:paraId="19C04A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2000（无量纲）</w:t>
                  </w:r>
                </w:p>
              </w:tc>
            </w:tr>
          </w:tbl>
          <w:p w14:paraId="35CE1B40">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rPr>
              <w:t>表</w:t>
            </w:r>
            <w:r>
              <w:rPr>
                <w:rFonts w:hint="eastAsia" w:ascii="Times New Roman" w:hAnsi="Times New Roman" w:cs="Times New Roman"/>
                <w:color w:val="auto"/>
                <w:spacing w:val="0"/>
                <w:w w:val="100"/>
                <w:lang w:val="en-US" w:eastAsia="zh-CN"/>
              </w:rPr>
              <w:t xml:space="preserve">3-5  </w:t>
            </w:r>
            <w:r>
              <w:rPr>
                <w:rFonts w:hint="default" w:ascii="Times New Roman" w:hAnsi="Times New Roman" w:cs="Times New Roman"/>
                <w:color w:val="auto"/>
                <w:spacing w:val="0"/>
                <w:w w:val="100"/>
                <w:lang w:val="en-US" w:eastAsia="zh-CN"/>
              </w:rPr>
              <w:t xml:space="preserve"> </w:t>
            </w:r>
            <w:r>
              <w:rPr>
                <w:rFonts w:hint="default" w:ascii="Times New Roman" w:hAnsi="Times New Roman" w:cs="Times New Roman"/>
                <w:color w:val="auto"/>
                <w:spacing w:val="0"/>
                <w:w w:val="100"/>
              </w:rPr>
              <w:t xml:space="preserve">厂界（防护带边缘）废气排放最高允许浓度 </w:t>
            </w:r>
            <w:r>
              <w:rPr>
                <w:rFonts w:hint="default" w:ascii="Times New Roman" w:hAnsi="Times New Roman" w:cs="Times New Roman"/>
                <w:color w:val="auto"/>
                <w:spacing w:val="0"/>
                <w:w w:val="100"/>
                <w:lang w:val="en-US" w:eastAsia="zh-CN"/>
              </w:rPr>
              <w:t xml:space="preserve"> </w:t>
            </w:r>
            <w:r>
              <w:rPr>
                <w:rFonts w:hint="default" w:ascii="Times New Roman" w:hAnsi="Times New Roman" w:cs="Times New Roman"/>
                <w:color w:val="auto"/>
                <w:spacing w:val="0"/>
                <w:w w:val="100"/>
              </w:rPr>
              <w:t>单位 mg/</w:t>
            </w:r>
            <w:r>
              <w:rPr>
                <w:rFonts w:hint="default" w:ascii="Times New Roman" w:hAnsi="Times New Roman" w:cs="Times New Roman"/>
                <w:color w:val="auto"/>
                <w:spacing w:val="0"/>
                <w:w w:val="100"/>
                <w:lang w:val="en-US" w:eastAsia="zh-CN"/>
              </w:rPr>
              <w:t>m³</w:t>
            </w:r>
          </w:p>
          <w:tbl>
            <w:tblPr>
              <w:tblStyle w:val="21"/>
              <w:tblW w:w="8978"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99"/>
              <w:gridCol w:w="4826"/>
              <w:gridCol w:w="2653"/>
            </w:tblGrid>
            <w:tr w14:paraId="48FD3C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834" w:type="pct"/>
                  <w:tcBorders>
                    <w:tl2br w:val="nil"/>
                    <w:tr2bl w:val="nil"/>
                  </w:tcBorders>
                  <w:noWrap w:val="0"/>
                  <w:vAlign w:val="top"/>
                </w:tcPr>
                <w:p w14:paraId="0A3874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序号</w:t>
                  </w:r>
                </w:p>
              </w:tc>
              <w:tc>
                <w:tcPr>
                  <w:tcW w:w="2687" w:type="pct"/>
                  <w:tcBorders>
                    <w:tl2br w:val="nil"/>
                    <w:tr2bl w:val="nil"/>
                  </w:tcBorders>
                  <w:noWrap w:val="0"/>
                  <w:vAlign w:val="top"/>
                </w:tcPr>
                <w:p w14:paraId="2DB16A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控制项目</w:t>
                  </w:r>
                </w:p>
              </w:tc>
              <w:tc>
                <w:tcPr>
                  <w:tcW w:w="1477" w:type="pct"/>
                  <w:tcBorders>
                    <w:tl2br w:val="nil"/>
                    <w:tr2bl w:val="nil"/>
                  </w:tcBorders>
                  <w:noWrap w:val="0"/>
                  <w:vAlign w:val="top"/>
                </w:tcPr>
                <w:p w14:paraId="0C1DB6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二级标准</w:t>
                  </w:r>
                </w:p>
              </w:tc>
            </w:tr>
            <w:tr w14:paraId="52217B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834" w:type="pct"/>
                  <w:tcBorders>
                    <w:tl2br w:val="nil"/>
                    <w:tr2bl w:val="nil"/>
                  </w:tcBorders>
                  <w:noWrap w:val="0"/>
                  <w:vAlign w:val="top"/>
                </w:tcPr>
                <w:p w14:paraId="58E2EA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1</w:t>
                  </w:r>
                </w:p>
              </w:tc>
              <w:tc>
                <w:tcPr>
                  <w:tcW w:w="2687" w:type="pct"/>
                  <w:tcBorders>
                    <w:tl2br w:val="nil"/>
                    <w:tr2bl w:val="nil"/>
                  </w:tcBorders>
                  <w:noWrap w:val="0"/>
                  <w:vAlign w:val="top"/>
                </w:tcPr>
                <w:p w14:paraId="719103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氨</w:t>
                  </w:r>
                </w:p>
              </w:tc>
              <w:tc>
                <w:tcPr>
                  <w:tcW w:w="1477" w:type="pct"/>
                  <w:tcBorders>
                    <w:tl2br w:val="nil"/>
                    <w:tr2bl w:val="nil"/>
                  </w:tcBorders>
                  <w:noWrap w:val="0"/>
                  <w:vAlign w:val="top"/>
                </w:tcPr>
                <w:p w14:paraId="127009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1.5</w:t>
                  </w:r>
                </w:p>
              </w:tc>
            </w:tr>
            <w:tr w14:paraId="52FF75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834" w:type="pct"/>
                  <w:tcBorders>
                    <w:tl2br w:val="nil"/>
                    <w:tr2bl w:val="nil"/>
                  </w:tcBorders>
                  <w:noWrap w:val="0"/>
                  <w:vAlign w:val="top"/>
                </w:tcPr>
                <w:p w14:paraId="675D9D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2</w:t>
                  </w:r>
                </w:p>
              </w:tc>
              <w:tc>
                <w:tcPr>
                  <w:tcW w:w="2687" w:type="pct"/>
                  <w:tcBorders>
                    <w:tl2br w:val="nil"/>
                    <w:tr2bl w:val="nil"/>
                  </w:tcBorders>
                  <w:noWrap w:val="0"/>
                  <w:vAlign w:val="top"/>
                </w:tcPr>
                <w:p w14:paraId="0D7A74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硫化氢</w:t>
                  </w:r>
                </w:p>
              </w:tc>
              <w:tc>
                <w:tcPr>
                  <w:tcW w:w="1477" w:type="pct"/>
                  <w:tcBorders>
                    <w:tl2br w:val="nil"/>
                    <w:tr2bl w:val="nil"/>
                  </w:tcBorders>
                  <w:noWrap w:val="0"/>
                  <w:vAlign w:val="top"/>
                </w:tcPr>
                <w:p w14:paraId="6D2084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0.06</w:t>
                  </w:r>
                </w:p>
              </w:tc>
            </w:tr>
            <w:tr w14:paraId="12DC95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834" w:type="pct"/>
                  <w:tcBorders>
                    <w:tl2br w:val="nil"/>
                    <w:tr2bl w:val="nil"/>
                  </w:tcBorders>
                  <w:noWrap w:val="0"/>
                  <w:vAlign w:val="center"/>
                </w:tcPr>
                <w:p w14:paraId="6522E7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3</w:t>
                  </w:r>
                </w:p>
              </w:tc>
              <w:tc>
                <w:tcPr>
                  <w:tcW w:w="2687" w:type="pct"/>
                  <w:tcBorders>
                    <w:tl2br w:val="nil"/>
                    <w:tr2bl w:val="nil"/>
                  </w:tcBorders>
                  <w:noWrap w:val="0"/>
                  <w:vAlign w:val="top"/>
                </w:tcPr>
                <w:p w14:paraId="162DA8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zh-CN" w:eastAsia="zh-CN"/>
                    </w:rPr>
                  </w:pPr>
                  <w:r>
                    <w:rPr>
                      <w:rFonts w:hint="default" w:ascii="Times New Roman" w:hAnsi="Times New Roman" w:cs="Times New Roman"/>
                      <w:color w:val="auto"/>
                      <w:spacing w:val="0"/>
                      <w:w w:val="100"/>
                    </w:rPr>
                    <w:t>甲烷（厂区最高体积浓度%）</w:t>
                  </w:r>
                </w:p>
              </w:tc>
              <w:tc>
                <w:tcPr>
                  <w:tcW w:w="1477" w:type="pct"/>
                  <w:tcBorders>
                    <w:tl2br w:val="nil"/>
                    <w:tr2bl w:val="nil"/>
                  </w:tcBorders>
                  <w:noWrap w:val="0"/>
                  <w:vAlign w:val="top"/>
                </w:tcPr>
                <w:p w14:paraId="72D2DF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zh-CN" w:eastAsia="zh-CN"/>
                    </w:rPr>
                  </w:pPr>
                  <w:r>
                    <w:rPr>
                      <w:rFonts w:hint="default" w:ascii="Times New Roman" w:hAnsi="Times New Roman" w:cs="Times New Roman"/>
                      <w:color w:val="auto"/>
                      <w:spacing w:val="0"/>
                      <w:w w:val="100"/>
                    </w:rPr>
                    <w:t>1</w:t>
                  </w:r>
                </w:p>
              </w:tc>
            </w:tr>
            <w:tr w14:paraId="7EBED7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1" w:hRule="atLeast"/>
              </w:trPr>
              <w:tc>
                <w:tcPr>
                  <w:tcW w:w="834" w:type="pct"/>
                  <w:tcBorders>
                    <w:tl2br w:val="nil"/>
                    <w:tr2bl w:val="nil"/>
                  </w:tcBorders>
                  <w:noWrap w:val="0"/>
                  <w:vAlign w:val="center"/>
                </w:tcPr>
                <w:p w14:paraId="580AE6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en-US" w:eastAsia="zh-CN"/>
                    </w:rPr>
                  </w:pPr>
                  <w:r>
                    <w:rPr>
                      <w:rFonts w:hint="default" w:ascii="Times New Roman" w:hAnsi="Times New Roman" w:cs="Times New Roman"/>
                      <w:color w:val="auto"/>
                      <w:spacing w:val="0"/>
                      <w:w w:val="100"/>
                      <w:lang w:val="en-US" w:eastAsia="zh-CN"/>
                    </w:rPr>
                    <w:t>4</w:t>
                  </w:r>
                </w:p>
              </w:tc>
              <w:tc>
                <w:tcPr>
                  <w:tcW w:w="2687" w:type="pct"/>
                  <w:tcBorders>
                    <w:tl2br w:val="nil"/>
                    <w:tr2bl w:val="nil"/>
                  </w:tcBorders>
                  <w:noWrap w:val="0"/>
                  <w:vAlign w:val="top"/>
                </w:tcPr>
                <w:p w14:paraId="08579D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zh-CN" w:eastAsia="zh-CN"/>
                    </w:rPr>
                  </w:pPr>
                  <w:r>
                    <w:rPr>
                      <w:rFonts w:hint="default" w:ascii="Times New Roman" w:hAnsi="Times New Roman" w:cs="Times New Roman"/>
                      <w:color w:val="auto"/>
                      <w:spacing w:val="0"/>
                      <w:w w:val="100"/>
                    </w:rPr>
                    <w:t>臭气浓度（无量纲）</w:t>
                  </w:r>
                </w:p>
              </w:tc>
              <w:tc>
                <w:tcPr>
                  <w:tcW w:w="1477" w:type="pct"/>
                  <w:tcBorders>
                    <w:tl2br w:val="nil"/>
                    <w:tr2bl w:val="nil"/>
                  </w:tcBorders>
                  <w:noWrap w:val="0"/>
                  <w:vAlign w:val="top"/>
                </w:tcPr>
                <w:p w14:paraId="1362C1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cs="Times New Roman"/>
                      <w:color w:val="auto"/>
                      <w:spacing w:val="0"/>
                      <w:w w:val="100"/>
                      <w:lang w:val="zh-CN" w:eastAsia="zh-CN"/>
                    </w:rPr>
                  </w:pPr>
                  <w:r>
                    <w:rPr>
                      <w:rFonts w:hint="default" w:ascii="Times New Roman" w:hAnsi="Times New Roman" w:cs="Times New Roman"/>
                      <w:color w:val="auto"/>
                      <w:spacing w:val="0"/>
                      <w:w w:val="100"/>
                    </w:rPr>
                    <w:t>20</w:t>
                  </w:r>
                </w:p>
              </w:tc>
            </w:tr>
          </w:tbl>
          <w:p w14:paraId="03B75C16">
            <w:pPr>
              <w:pStyle w:val="14"/>
              <w:keepNext w:val="0"/>
              <w:keepLines w:val="0"/>
              <w:suppressLineNumbers w:val="0"/>
              <w:adjustRightInd w:val="0"/>
              <w:spacing w:before="0" w:beforeAutospacing="0" w:after="0" w:afterAutospacing="0" w:line="360" w:lineRule="auto"/>
              <w:ind w:left="0" w:leftChars="0" w:right="0" w:firstLine="480" w:firstLineChars="200"/>
              <w:jc w:val="left"/>
              <w:rPr>
                <w:rFonts w:hint="default" w:ascii="Times New Roman" w:hAnsi="Times New Roman" w:cs="Times New Roman"/>
                <w:color w:val="auto"/>
                <w:spacing w:val="0"/>
                <w:w w:val="100"/>
                <w:lang w:eastAsia="zh-CN"/>
              </w:rPr>
            </w:pPr>
            <w:r>
              <w:rPr>
                <w:rFonts w:hint="default" w:ascii="Times New Roman" w:hAnsi="Times New Roman" w:cs="Times New Roman"/>
                <w:color w:val="auto"/>
                <w:spacing w:val="0"/>
                <w:w w:val="100"/>
                <w:sz w:val="24"/>
                <w:szCs w:val="24"/>
                <w:lang w:val="en-US" w:eastAsia="zh-CN"/>
              </w:rPr>
              <w:t>2</w:t>
            </w:r>
            <w:r>
              <w:rPr>
                <w:rFonts w:hint="default" w:ascii="Times New Roman" w:hAnsi="Times New Roman" w:cs="Times New Roman"/>
                <w:color w:val="auto"/>
                <w:spacing w:val="0"/>
                <w:w w:val="100"/>
                <w:sz w:val="24"/>
                <w:szCs w:val="24"/>
              </w:rPr>
              <w:t>、</w:t>
            </w:r>
            <w:r>
              <w:rPr>
                <w:rFonts w:hint="eastAsia" w:ascii="Times New Roman" w:hAnsi="Times New Roman" w:cs="Times New Roman"/>
                <w:color w:val="auto"/>
                <w:spacing w:val="0"/>
                <w:w w:val="100"/>
                <w:sz w:val="24"/>
                <w:szCs w:val="24"/>
                <w:lang w:val="en-US" w:eastAsia="zh-CN"/>
              </w:rPr>
              <w:t>根据</w:t>
            </w:r>
            <w:r>
              <w:rPr>
                <w:rFonts w:hint="eastAsia"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rPr>
              <w:t>陕西陇县经济技术开发区总体规划（2022-2035）环境影响报告书</w:t>
            </w:r>
            <w:r>
              <w:rPr>
                <w:rFonts w:hint="eastAsia" w:ascii="Times New Roman" w:hAnsi="Times New Roman" w:cs="Times New Roman"/>
                <w:color w:val="auto"/>
                <w:spacing w:val="0"/>
                <w:w w:val="100"/>
                <w:sz w:val="24"/>
                <w:szCs w:val="24"/>
                <w:lang w:eastAsia="zh-CN"/>
              </w:rPr>
              <w:t>》，</w:t>
            </w:r>
            <w:r>
              <w:rPr>
                <w:rFonts w:hint="eastAsia" w:ascii="Times New Roman" w:hAnsi="Times New Roman" w:cs="Times New Roman"/>
                <w:color w:val="auto"/>
                <w:spacing w:val="0"/>
                <w:w w:val="100"/>
                <w:sz w:val="24"/>
                <w:szCs w:val="24"/>
                <w:lang w:val="en-US" w:eastAsia="zh-CN"/>
              </w:rPr>
              <w:t>本项目位于3类声功能区，</w:t>
            </w:r>
            <w:r>
              <w:rPr>
                <w:rFonts w:hint="default" w:ascii="Times New Roman" w:hAnsi="Times New Roman" w:cs="Times New Roman"/>
                <w:color w:val="auto"/>
                <w:spacing w:val="0"/>
                <w:w w:val="100"/>
                <w:sz w:val="24"/>
                <w:szCs w:val="24"/>
              </w:rPr>
              <w:t>噪声：</w:t>
            </w:r>
            <w:r>
              <w:rPr>
                <w:rFonts w:hint="default" w:ascii="Times New Roman" w:hAnsi="Times New Roman" w:cs="Times New Roman"/>
                <w:color w:val="auto"/>
                <w:spacing w:val="0"/>
                <w:w w:val="100"/>
                <w:sz w:val="24"/>
                <w:szCs w:val="24"/>
                <w:lang w:val="en-US" w:eastAsia="zh-CN"/>
              </w:rPr>
              <w:t>施工期噪声排放执行《建筑施工场界环境噪声排放标准》（GB12523-2011）排放限值；噪声排放厂界执行《工业企业厂界环境噪声排放标准》（GB12348-2008）</w:t>
            </w:r>
            <w:r>
              <w:rPr>
                <w:rFonts w:hint="eastAsia" w:ascii="Times New Roman" w:hAnsi="Times New Roman" w:cs="Times New Roman"/>
                <w:color w:val="auto"/>
                <w:spacing w:val="0"/>
                <w:w w:val="100"/>
                <w:sz w:val="24"/>
                <w:szCs w:val="24"/>
                <w:lang w:val="en-US" w:eastAsia="zh-CN"/>
              </w:rPr>
              <w:t>3</w:t>
            </w:r>
            <w:r>
              <w:rPr>
                <w:rFonts w:hint="default" w:ascii="Times New Roman" w:hAnsi="Times New Roman" w:cs="Times New Roman"/>
                <w:color w:val="auto"/>
                <w:spacing w:val="0"/>
                <w:w w:val="100"/>
                <w:sz w:val="24"/>
                <w:szCs w:val="24"/>
                <w:lang w:val="en-US" w:eastAsia="zh-CN"/>
              </w:rPr>
              <w:t>类标准。</w:t>
            </w:r>
          </w:p>
          <w:p w14:paraId="749AD979">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表</w:t>
            </w:r>
            <w:r>
              <w:rPr>
                <w:rFonts w:hint="eastAsia" w:ascii="Times New Roman" w:hAnsi="Times New Roman" w:cs="Times New Roman"/>
                <w:color w:val="auto"/>
                <w:spacing w:val="0"/>
                <w:w w:val="100"/>
                <w:lang w:val="en-US" w:eastAsia="zh-CN"/>
              </w:rPr>
              <w:t>3-6</w:t>
            </w:r>
            <w:r>
              <w:rPr>
                <w:rFonts w:hint="default" w:ascii="Times New Roman" w:hAnsi="Times New Roman" w:cs="Times New Roman"/>
                <w:color w:val="auto"/>
                <w:spacing w:val="0"/>
                <w:w w:val="100"/>
                <w:lang w:val="en-US" w:eastAsia="zh-CN"/>
              </w:rPr>
              <w:t xml:space="preserve">   建筑施工场界环境噪声排放</w:t>
            </w:r>
            <w:r>
              <w:rPr>
                <w:rFonts w:hint="default" w:ascii="Times New Roman" w:hAnsi="Times New Roman" w:cs="Times New Roman"/>
                <w:color w:val="auto"/>
                <w:spacing w:val="0"/>
                <w:w w:val="100"/>
              </w:rPr>
              <w:t>限值  单位：dB(A)</w:t>
            </w:r>
          </w:p>
          <w:tbl>
            <w:tblPr>
              <w:tblStyle w:val="22"/>
              <w:tblW w:w="8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6"/>
              <w:gridCol w:w="2966"/>
              <w:gridCol w:w="2967"/>
            </w:tblGrid>
            <w:tr w14:paraId="453E7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966" w:type="dxa"/>
                  <w:noWrap w:val="0"/>
                  <w:vAlign w:val="center"/>
                </w:tcPr>
                <w:p w14:paraId="349E0600">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jc w:val="center"/>
                    <w:textAlignment w:val="auto"/>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昼间</w:t>
                  </w:r>
                </w:p>
              </w:tc>
              <w:tc>
                <w:tcPr>
                  <w:tcW w:w="2966" w:type="dxa"/>
                  <w:noWrap w:val="0"/>
                  <w:vAlign w:val="center"/>
                </w:tcPr>
                <w:p w14:paraId="59FD0367">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jc w:val="center"/>
                    <w:textAlignment w:val="auto"/>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夜间</w:t>
                  </w:r>
                </w:p>
              </w:tc>
              <w:tc>
                <w:tcPr>
                  <w:tcW w:w="2967" w:type="dxa"/>
                  <w:noWrap w:val="0"/>
                  <w:vAlign w:val="center"/>
                </w:tcPr>
                <w:p w14:paraId="1875B351">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jc w:val="center"/>
                    <w:textAlignment w:val="auto"/>
                    <w:rPr>
                      <w:rFonts w:hint="default" w:ascii="Times New Roman" w:hAnsi="Times New Roman" w:cs="Times New Roman"/>
                      <w:color w:val="auto"/>
                      <w:spacing w:val="0"/>
                      <w:w w:val="100"/>
                    </w:rPr>
                  </w:pPr>
                  <w:r>
                    <w:rPr>
                      <w:rFonts w:hint="default" w:ascii="Times New Roman" w:hAnsi="Times New Roman" w:cs="Times New Roman"/>
                      <w:color w:val="auto"/>
                      <w:spacing w:val="0"/>
                      <w:w w:val="100"/>
                      <w:lang w:eastAsia="zh-CN"/>
                    </w:rPr>
                    <w:t>备注</w:t>
                  </w:r>
                </w:p>
              </w:tc>
            </w:tr>
            <w:tr w14:paraId="13B92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2966" w:type="dxa"/>
                  <w:noWrap w:val="0"/>
                  <w:vAlign w:val="center"/>
                </w:tcPr>
                <w:p w14:paraId="52840FD9">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jc w:val="center"/>
                    <w:textAlignment w:val="auto"/>
                    <w:rPr>
                      <w:rFonts w:hint="default" w:ascii="Times New Roman" w:hAnsi="Times New Roman" w:cs="Times New Roman"/>
                      <w:color w:val="auto"/>
                      <w:spacing w:val="0"/>
                      <w:w w:val="100"/>
                      <w:lang w:val="en-US"/>
                    </w:rPr>
                  </w:pPr>
                  <w:r>
                    <w:rPr>
                      <w:rFonts w:hint="default" w:ascii="Times New Roman" w:hAnsi="Times New Roman" w:cs="Times New Roman"/>
                      <w:color w:val="auto"/>
                      <w:spacing w:val="0"/>
                      <w:w w:val="100"/>
                      <w:lang w:val="en-US" w:eastAsia="zh-CN"/>
                    </w:rPr>
                    <w:t>70</w:t>
                  </w:r>
                </w:p>
              </w:tc>
              <w:tc>
                <w:tcPr>
                  <w:tcW w:w="2966" w:type="dxa"/>
                  <w:noWrap w:val="0"/>
                  <w:vAlign w:val="center"/>
                </w:tcPr>
                <w:p w14:paraId="4D88EB52">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jc w:val="center"/>
                    <w:textAlignment w:val="auto"/>
                    <w:rPr>
                      <w:rFonts w:hint="default" w:ascii="Times New Roman" w:hAnsi="Times New Roman" w:cs="Times New Roman"/>
                      <w:color w:val="auto"/>
                      <w:spacing w:val="0"/>
                      <w:w w:val="100"/>
                      <w:lang w:val="en-US"/>
                    </w:rPr>
                  </w:pPr>
                  <w:r>
                    <w:rPr>
                      <w:rFonts w:hint="default" w:ascii="Times New Roman" w:hAnsi="Times New Roman" w:cs="Times New Roman"/>
                      <w:color w:val="auto"/>
                      <w:spacing w:val="0"/>
                      <w:w w:val="100"/>
                      <w:lang w:val="en-US" w:eastAsia="zh-CN"/>
                    </w:rPr>
                    <w:t>55</w:t>
                  </w:r>
                </w:p>
              </w:tc>
              <w:tc>
                <w:tcPr>
                  <w:tcW w:w="2967" w:type="dxa"/>
                  <w:noWrap w:val="0"/>
                  <w:vAlign w:val="center"/>
                </w:tcPr>
                <w:p w14:paraId="1E651018">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jc w:val="center"/>
                    <w:textAlignment w:val="auto"/>
                    <w:rPr>
                      <w:rFonts w:hint="default" w:ascii="Times New Roman" w:hAnsi="Times New Roman" w:cs="Times New Roman"/>
                      <w:color w:val="auto"/>
                      <w:spacing w:val="0"/>
                      <w:w w:val="100"/>
                    </w:rPr>
                  </w:pPr>
                  <w:r>
                    <w:rPr>
                      <w:rFonts w:hint="default" w:ascii="Times New Roman" w:hAnsi="Times New Roman" w:cs="Times New Roman"/>
                      <w:color w:val="auto"/>
                      <w:spacing w:val="0"/>
                      <w:w w:val="100"/>
                      <w:lang w:val="en-US" w:eastAsia="zh-CN"/>
                    </w:rPr>
                    <w:t>厂界</w:t>
                  </w:r>
                </w:p>
              </w:tc>
            </w:tr>
          </w:tbl>
          <w:p w14:paraId="647D6320">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表</w:t>
            </w:r>
            <w:r>
              <w:rPr>
                <w:rFonts w:hint="eastAsia" w:ascii="Times New Roman" w:hAnsi="Times New Roman" w:cs="Times New Roman"/>
                <w:color w:val="auto"/>
                <w:spacing w:val="0"/>
                <w:w w:val="100"/>
                <w:lang w:val="en-US" w:eastAsia="zh-CN"/>
              </w:rPr>
              <w:t>3-7</w:t>
            </w:r>
            <w:r>
              <w:rPr>
                <w:rFonts w:hint="default" w:ascii="Times New Roman" w:hAnsi="Times New Roman" w:cs="Times New Roman"/>
                <w:color w:val="auto"/>
                <w:spacing w:val="0"/>
                <w:w w:val="100"/>
                <w:lang w:val="en-US" w:eastAsia="zh-CN"/>
              </w:rPr>
              <w:t xml:space="preserve">   </w:t>
            </w:r>
            <w:r>
              <w:rPr>
                <w:rFonts w:hint="default" w:ascii="Times New Roman" w:hAnsi="Times New Roman" w:cs="Times New Roman"/>
                <w:color w:val="auto"/>
                <w:spacing w:val="0"/>
                <w:w w:val="100"/>
              </w:rPr>
              <w:t>工业企业厂界环境噪声排放限值  单位：dB(A)</w:t>
            </w:r>
          </w:p>
          <w:tbl>
            <w:tblPr>
              <w:tblStyle w:val="22"/>
              <w:tblW w:w="8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60"/>
              <w:gridCol w:w="1120"/>
              <w:gridCol w:w="2208"/>
              <w:gridCol w:w="2211"/>
            </w:tblGrid>
            <w:tr w14:paraId="0633D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3360" w:type="dxa"/>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14:paraId="2939791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textAlignment w:val="auto"/>
                    <w:outlineLvl w:val="0"/>
                    <w:rPr>
                      <w:rFonts w:hint="default" w:ascii="Times New Roman" w:hAnsi="Times New Roman" w:cs="Times New Roman"/>
                      <w:color w:val="auto"/>
                      <w:spacing w:val="0"/>
                      <w:w w:val="100"/>
                    </w:rPr>
                  </w:pPr>
                </w:p>
                <w:p w14:paraId="24EB900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textAlignment w:val="auto"/>
                    <w:outlineLvl w:val="0"/>
                    <mc:AlternateContent>
                      <mc:Choice Requires="wpsCustomData">
                        <wpsCustomData:diagonalParaType/>
                      </mc:Choice>
                    </mc:AlternateContent>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 xml:space="preserve">声环境功能区       </w:t>
                  </w:r>
                </w:p>
                <w:p w14:paraId="082BE3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textAlignment w:val="auto"/>
                    <w:outlineLvl w:val="0"/>
                    <w:rPr>
                      <w:rFonts w:hint="default" w:ascii="Times New Roman" w:hAnsi="Times New Roman" w:cs="Times New Roman"/>
                      <w:color w:val="auto"/>
                      <w:spacing w:val="0"/>
                      <w:w w:val="100"/>
                      <w:lang w:eastAsia="zh-CN"/>
                    </w:rPr>
                  </w:pPr>
                  <w:r>
                    <w:rPr>
                      <w:rFonts w:hint="default" w:ascii="Times New Roman" w:hAnsi="Times New Roman" w:cs="Times New Roman"/>
                      <w:color w:val="auto"/>
                      <w:spacing w:val="0"/>
                      <w:w w:val="100"/>
                      <w:lang w:eastAsia="zh-CN"/>
                    </w:rPr>
                    <w:t>时段</w:t>
                  </w:r>
                </w:p>
              </w:tc>
              <w:tc>
                <w:tcPr>
                  <w:tcW w:w="1120" w:type="dxa"/>
                  <w:noWrap w:val="0"/>
                  <w:vAlign w:val="center"/>
                </w:tcPr>
                <w:p w14:paraId="724DFB7A">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昼间</w:t>
                  </w:r>
                </w:p>
              </w:tc>
              <w:tc>
                <w:tcPr>
                  <w:tcW w:w="2208" w:type="dxa"/>
                  <w:noWrap w:val="0"/>
                  <w:vAlign w:val="center"/>
                </w:tcPr>
                <w:p w14:paraId="0BCC6895">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夜间</w:t>
                  </w:r>
                </w:p>
              </w:tc>
              <w:tc>
                <w:tcPr>
                  <w:tcW w:w="2211" w:type="dxa"/>
                  <w:noWrap w:val="0"/>
                  <w:vAlign w:val="center"/>
                </w:tcPr>
                <w:p w14:paraId="72EEC91C">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color w:val="auto"/>
                      <w:spacing w:val="0"/>
                      <w:w w:val="100"/>
                    </w:rPr>
                  </w:pPr>
                  <w:r>
                    <w:rPr>
                      <w:rFonts w:hint="default" w:ascii="Times New Roman" w:hAnsi="Times New Roman" w:cs="Times New Roman"/>
                      <w:color w:val="auto"/>
                      <w:spacing w:val="0"/>
                      <w:w w:val="100"/>
                      <w:lang w:eastAsia="zh-CN"/>
                    </w:rPr>
                    <w:t>备注</w:t>
                  </w:r>
                </w:p>
              </w:tc>
            </w:tr>
            <w:tr w14:paraId="17250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60" w:type="dxa"/>
                  <w:noWrap w:val="0"/>
                  <w:vAlign w:val="center"/>
                </w:tcPr>
                <w:p w14:paraId="62678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outlineLvl w:val="0"/>
                    <w:rPr>
                      <w:rFonts w:hint="default" w:ascii="Times New Roman" w:hAnsi="Times New Roman" w:cs="Times New Roman"/>
                      <w:color w:val="auto"/>
                      <w:spacing w:val="0"/>
                      <w:w w:val="100"/>
                    </w:rPr>
                  </w:pPr>
                  <w:r>
                    <w:rPr>
                      <w:rFonts w:hint="eastAsia" w:ascii="Times New Roman" w:hAnsi="Times New Roman" w:cs="Times New Roman"/>
                      <w:color w:val="auto"/>
                      <w:spacing w:val="0"/>
                      <w:w w:val="100"/>
                      <w:lang w:val="en-US" w:eastAsia="zh-CN"/>
                    </w:rPr>
                    <w:t>3</w:t>
                  </w:r>
                  <w:r>
                    <w:rPr>
                      <w:rFonts w:hint="default" w:ascii="Times New Roman" w:hAnsi="Times New Roman" w:cs="Times New Roman"/>
                      <w:color w:val="auto"/>
                      <w:spacing w:val="0"/>
                      <w:w w:val="100"/>
                    </w:rPr>
                    <w:t>类</w:t>
                  </w:r>
                </w:p>
              </w:tc>
              <w:tc>
                <w:tcPr>
                  <w:tcW w:w="1120" w:type="dxa"/>
                  <w:noWrap w:val="0"/>
                  <w:vAlign w:val="center"/>
                </w:tcPr>
                <w:p w14:paraId="0CDDE2A8">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eastAsiaTheme="minorEastAsia"/>
                      <w:color w:val="auto"/>
                      <w:spacing w:val="0"/>
                      <w:w w:val="100"/>
                      <w:lang w:val="en-US" w:eastAsia="zh-CN"/>
                    </w:rPr>
                  </w:pPr>
                  <w:r>
                    <w:rPr>
                      <w:rFonts w:hint="eastAsia" w:ascii="Times New Roman" w:hAnsi="Times New Roman" w:cs="Times New Roman"/>
                      <w:color w:val="auto"/>
                      <w:spacing w:val="0"/>
                      <w:w w:val="100"/>
                      <w:lang w:val="en-US" w:eastAsia="zh-CN"/>
                    </w:rPr>
                    <w:t>65</w:t>
                  </w:r>
                </w:p>
              </w:tc>
              <w:tc>
                <w:tcPr>
                  <w:tcW w:w="2208" w:type="dxa"/>
                  <w:noWrap w:val="0"/>
                  <w:vAlign w:val="center"/>
                </w:tcPr>
                <w:p w14:paraId="293F75F6">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color w:val="auto"/>
                      <w:spacing w:val="0"/>
                      <w:w w:val="100"/>
                      <w:lang w:val="en-US"/>
                    </w:rPr>
                  </w:pPr>
                  <w:r>
                    <w:rPr>
                      <w:rFonts w:hint="eastAsia" w:ascii="Times New Roman" w:hAnsi="Times New Roman" w:cs="Times New Roman"/>
                      <w:color w:val="auto"/>
                      <w:spacing w:val="0"/>
                      <w:w w:val="100"/>
                      <w:lang w:val="en-US" w:eastAsia="zh-CN"/>
                    </w:rPr>
                    <w:t>55</w:t>
                  </w:r>
                </w:p>
              </w:tc>
              <w:tc>
                <w:tcPr>
                  <w:tcW w:w="2211" w:type="dxa"/>
                  <w:noWrap w:val="0"/>
                  <w:vAlign w:val="center"/>
                </w:tcPr>
                <w:p w14:paraId="35B60CD0">
                  <w:pPr>
                    <w:keepNext/>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color w:val="auto"/>
                      <w:spacing w:val="0"/>
                      <w:w w:val="100"/>
                    </w:rPr>
                  </w:pPr>
                  <w:r>
                    <w:rPr>
                      <w:rFonts w:hint="default" w:ascii="Times New Roman" w:hAnsi="Times New Roman" w:cs="Times New Roman"/>
                      <w:color w:val="auto"/>
                      <w:spacing w:val="0"/>
                      <w:w w:val="100"/>
                      <w:lang w:val="en-US" w:eastAsia="zh-CN"/>
                    </w:rPr>
                    <w:t>厂界</w:t>
                  </w:r>
                </w:p>
              </w:tc>
            </w:tr>
          </w:tbl>
          <w:p w14:paraId="52105E41">
            <w:pPr>
              <w:pStyle w:val="14"/>
              <w:keepNext w:val="0"/>
              <w:keepLines w:val="0"/>
              <w:suppressLineNumbers w:val="0"/>
              <w:adjustRightInd w:val="0"/>
              <w:spacing w:before="0" w:beforeAutospacing="0" w:after="0" w:afterAutospacing="0" w:line="360" w:lineRule="auto"/>
              <w:ind w:left="0" w:leftChars="0" w:right="0" w:firstLine="480" w:firstLineChars="200"/>
              <w:jc w:val="left"/>
              <w:rPr>
                <w:rFonts w:hint="default" w:ascii="Times New Roman" w:hAnsi="Times New Roman" w:eastAsia="新宋体" w:cs="Times New Roman"/>
                <w:color w:val="auto"/>
                <w:spacing w:val="0"/>
                <w:w w:val="100"/>
                <w:kern w:val="2"/>
                <w:sz w:val="24"/>
                <w:szCs w:val="24"/>
                <w:lang w:val="en-US" w:eastAsia="zh-CN" w:bidi="ar-SA"/>
              </w:rPr>
            </w:pPr>
            <w:r>
              <w:rPr>
                <w:rFonts w:hint="default" w:ascii="Times New Roman" w:hAnsi="Times New Roman" w:eastAsia="宋体" w:cs="Times New Roman"/>
                <w:color w:val="auto"/>
                <w:spacing w:val="0"/>
                <w:w w:val="100"/>
                <w:sz w:val="24"/>
                <w:szCs w:val="24"/>
                <w:lang w:val="en-US" w:eastAsia="zh-CN"/>
              </w:rPr>
              <w:t>3、废水：</w:t>
            </w:r>
            <w:r>
              <w:rPr>
                <w:rFonts w:hint="default" w:ascii="Times New Roman" w:hAnsi="Times New Roman" w:eastAsia="宋体" w:cs="Times New Roman"/>
                <w:color w:val="auto"/>
                <w:spacing w:val="0"/>
                <w:w w:val="100"/>
                <w:sz w:val="24"/>
                <w:szCs w:val="24"/>
                <w:lang w:eastAsia="zh-CN"/>
              </w:rPr>
              <w:t>本项目污水处理厂总排口尾水执行《陕西省黄河流域污水综合排放标准》（DB61/224-2018）</w:t>
            </w:r>
            <w:r>
              <w:rPr>
                <w:rFonts w:hint="default" w:ascii="Times New Roman" w:hAnsi="Times New Roman" w:eastAsia="宋体" w:cs="Times New Roman"/>
                <w:color w:val="auto"/>
                <w:spacing w:val="0"/>
                <w:w w:val="100"/>
                <w:sz w:val="24"/>
                <w:szCs w:val="24"/>
                <w:lang w:val="en-US" w:eastAsia="zh-CN"/>
              </w:rPr>
              <w:t>中A</w:t>
            </w:r>
            <w:r>
              <w:rPr>
                <w:rFonts w:hint="default" w:ascii="Times New Roman" w:hAnsi="Times New Roman" w:eastAsia="宋体" w:cs="Times New Roman"/>
                <w:color w:val="auto"/>
                <w:spacing w:val="0"/>
                <w:w w:val="100"/>
                <w:sz w:val="24"/>
                <w:szCs w:val="24"/>
                <w:lang w:eastAsia="zh-CN"/>
              </w:rPr>
              <w:t>标准，</w:t>
            </w:r>
            <w:r>
              <w:rPr>
                <w:rFonts w:hint="eastAsia" w:ascii="Times New Roman" w:hAnsi="Times New Roman" w:eastAsia="宋体" w:cs="Times New Roman"/>
                <w:color w:val="auto"/>
                <w:spacing w:val="0"/>
                <w:w w:val="100"/>
                <w:sz w:val="24"/>
                <w:szCs w:val="24"/>
                <w:lang w:val="en-US" w:eastAsia="zh-CN"/>
              </w:rPr>
              <w:t>回用水水质</w:t>
            </w:r>
            <w:r>
              <w:rPr>
                <w:rFonts w:hint="default" w:ascii="Times New Roman" w:hAnsi="Times New Roman" w:eastAsia="宋体" w:cs="Times New Roman"/>
                <w:color w:val="auto"/>
                <w:spacing w:val="0"/>
                <w:w w:val="100"/>
                <w:sz w:val="24"/>
                <w:szCs w:val="24"/>
                <w:lang w:eastAsia="zh-CN"/>
              </w:rPr>
              <w:t>达到《城市污水再生利用城市杂用水水质》（GB/T18920-2020）、《再生水用作工业用水水源的水质标准》（GB/T19923-2005）有关要求。</w:t>
            </w:r>
            <w:r>
              <w:rPr>
                <w:rFonts w:hint="default" w:ascii="Times New Roman" w:hAnsi="Times New Roman" w:eastAsia="新宋体" w:cs="Times New Roman"/>
                <w:color w:val="auto"/>
                <w:spacing w:val="0"/>
                <w:w w:val="100"/>
                <w:sz w:val="24"/>
              </w:rPr>
              <w:t>详见</w:t>
            </w:r>
            <w:r>
              <w:rPr>
                <w:rFonts w:hint="eastAsia" w:ascii="Times New Roman" w:hAnsi="Times New Roman" w:eastAsia="新宋体" w:cs="Times New Roman"/>
                <w:color w:val="auto"/>
                <w:spacing w:val="0"/>
                <w:w w:val="100"/>
                <w:sz w:val="24"/>
                <w:lang w:eastAsia="zh-CN"/>
              </w:rPr>
              <w:t>下</w:t>
            </w:r>
            <w:r>
              <w:rPr>
                <w:rFonts w:hint="default" w:ascii="Times New Roman" w:hAnsi="Times New Roman" w:eastAsia="新宋体" w:cs="Times New Roman"/>
                <w:color w:val="auto"/>
                <w:spacing w:val="0"/>
                <w:w w:val="100"/>
                <w:sz w:val="24"/>
              </w:rPr>
              <w:t>表。</w:t>
            </w:r>
          </w:p>
          <w:p w14:paraId="0B75C255">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表</w:t>
            </w:r>
            <w:r>
              <w:rPr>
                <w:rFonts w:hint="eastAsia" w:ascii="Times New Roman" w:hAnsi="Times New Roman" w:eastAsia="宋体" w:cs="Times New Roman"/>
                <w:b w:val="0"/>
                <w:bCs/>
                <w:color w:val="auto"/>
                <w:spacing w:val="0"/>
                <w:w w:val="100"/>
                <w:sz w:val="21"/>
                <w:szCs w:val="21"/>
                <w:lang w:val="en-US" w:eastAsia="zh-CN"/>
              </w:rPr>
              <w:t>3-8</w:t>
            </w:r>
            <w:r>
              <w:rPr>
                <w:rFonts w:hint="default" w:ascii="Times New Roman" w:hAnsi="Times New Roman" w:eastAsia="宋体" w:cs="Times New Roman"/>
                <w:b w:val="0"/>
                <w:bCs/>
                <w:color w:val="auto"/>
                <w:spacing w:val="0"/>
                <w:w w:val="100"/>
                <w:sz w:val="21"/>
                <w:szCs w:val="21"/>
                <w:lang w:val="en-US" w:eastAsia="zh-CN"/>
              </w:rPr>
              <w:t xml:space="preserve">  污水处理厂</w:t>
            </w:r>
            <w:r>
              <w:rPr>
                <w:rFonts w:hint="eastAsia" w:ascii="Times New Roman" w:hAnsi="Times New Roman" w:eastAsia="宋体" w:cs="Times New Roman"/>
                <w:b w:val="0"/>
                <w:bCs/>
                <w:color w:val="auto"/>
                <w:spacing w:val="0"/>
                <w:w w:val="100"/>
                <w:sz w:val="21"/>
                <w:szCs w:val="21"/>
                <w:lang w:val="en-US" w:eastAsia="zh-CN"/>
              </w:rPr>
              <w:t>排水</w:t>
            </w:r>
            <w:r>
              <w:rPr>
                <w:rFonts w:hint="default" w:ascii="Times New Roman" w:hAnsi="Times New Roman" w:eastAsia="宋体" w:cs="Times New Roman"/>
                <w:b w:val="0"/>
                <w:bCs/>
                <w:color w:val="auto"/>
                <w:spacing w:val="0"/>
                <w:w w:val="100"/>
                <w:sz w:val="21"/>
                <w:szCs w:val="21"/>
                <w:lang w:val="en-US" w:eastAsia="zh-CN"/>
              </w:rPr>
              <w:t>水污染物浓度排放限值  单位：mg/L</w:t>
            </w:r>
          </w:p>
          <w:tbl>
            <w:tblPr>
              <w:tblStyle w:val="21"/>
              <w:tblW w:w="88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5"/>
              <w:gridCol w:w="2706"/>
              <w:gridCol w:w="2297"/>
              <w:gridCol w:w="2840"/>
            </w:tblGrid>
            <w:tr w14:paraId="1695A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tcBorders>
                    <w:tl2br w:val="nil"/>
                    <w:tr2bl w:val="nil"/>
                  </w:tcBorders>
                  <w:noWrap w:val="0"/>
                  <w:vAlign w:val="bottom"/>
                </w:tcPr>
                <w:p w14:paraId="6A225539">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vertAlign w:val="baseline"/>
                      <w:lang w:val="en-US" w:eastAsia="zh-CN" w:bidi="ar-SA"/>
                    </w:rPr>
                  </w:pPr>
                  <w:r>
                    <w:rPr>
                      <w:rFonts w:hint="default" w:ascii="Times New Roman" w:hAnsi="Times New Roman" w:eastAsia="宋体" w:cs="Times New Roman"/>
                      <w:b w:val="0"/>
                      <w:bCs w:val="0"/>
                      <w:color w:val="auto"/>
                      <w:spacing w:val="0"/>
                      <w:w w:val="100"/>
                      <w:sz w:val="21"/>
                      <w:szCs w:val="21"/>
                      <w:vertAlign w:val="baseline"/>
                      <w:lang w:val="en-US" w:eastAsia="zh-CN"/>
                    </w:rPr>
                    <w:t>序号</w:t>
                  </w:r>
                </w:p>
              </w:tc>
              <w:tc>
                <w:tcPr>
                  <w:tcW w:w="1527" w:type="pct"/>
                  <w:tcBorders>
                    <w:tl2br w:val="nil"/>
                    <w:tr2bl w:val="nil"/>
                  </w:tcBorders>
                  <w:noWrap w:val="0"/>
                  <w:vAlign w:val="center"/>
                </w:tcPr>
                <w:p w14:paraId="4F76ED41">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项目</w:t>
                  </w:r>
                </w:p>
              </w:tc>
              <w:tc>
                <w:tcPr>
                  <w:tcW w:w="1296" w:type="pct"/>
                  <w:tcBorders>
                    <w:tl2br w:val="nil"/>
                    <w:tr2bl w:val="nil"/>
                  </w:tcBorders>
                  <w:noWrap w:val="0"/>
                  <w:vAlign w:val="center"/>
                </w:tcPr>
                <w:p w14:paraId="73630BF9">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标准</w:t>
                  </w:r>
                  <w:r>
                    <w:rPr>
                      <w:rFonts w:hint="default" w:ascii="Times New Roman" w:hAnsi="Times New Roman" w:cs="Times New Roman"/>
                      <w:b w:val="0"/>
                      <w:bCs w:val="0"/>
                      <w:color w:val="auto"/>
                      <w:spacing w:val="0"/>
                      <w:w w:val="100"/>
                      <w:sz w:val="21"/>
                      <w:szCs w:val="21"/>
                      <w:lang w:eastAsia="zh-CN"/>
                    </w:rPr>
                    <w:t>限</w:t>
                  </w:r>
                  <w:r>
                    <w:rPr>
                      <w:rFonts w:hint="default" w:ascii="Times New Roman" w:hAnsi="Times New Roman" w:eastAsia="宋体" w:cs="Times New Roman"/>
                      <w:b w:val="0"/>
                      <w:bCs w:val="0"/>
                      <w:color w:val="auto"/>
                      <w:spacing w:val="0"/>
                      <w:w w:val="100"/>
                      <w:sz w:val="21"/>
                      <w:szCs w:val="21"/>
                    </w:rPr>
                    <w:t>值</w:t>
                  </w:r>
                </w:p>
              </w:tc>
              <w:tc>
                <w:tcPr>
                  <w:tcW w:w="1603" w:type="pct"/>
                  <w:tcBorders>
                    <w:tl2br w:val="nil"/>
                    <w:tr2bl w:val="nil"/>
                  </w:tcBorders>
                  <w:noWrap w:val="0"/>
                  <w:vAlign w:val="center"/>
                </w:tcPr>
                <w:p w14:paraId="2F9D68E4">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执行标准</w:t>
                  </w:r>
                </w:p>
              </w:tc>
            </w:tr>
            <w:tr w14:paraId="5D6DA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tcBorders>
                    <w:tl2br w:val="nil"/>
                    <w:tr2bl w:val="nil"/>
                  </w:tcBorders>
                  <w:noWrap w:val="0"/>
                  <w:vAlign w:val="center"/>
                </w:tcPr>
                <w:p w14:paraId="632198E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w:t>
                  </w:r>
                </w:p>
              </w:tc>
              <w:tc>
                <w:tcPr>
                  <w:tcW w:w="1527" w:type="pct"/>
                  <w:tcBorders>
                    <w:tl2br w:val="nil"/>
                    <w:tr2bl w:val="nil"/>
                  </w:tcBorders>
                  <w:noWrap w:val="0"/>
                  <w:vAlign w:val="center"/>
                </w:tcPr>
                <w:p w14:paraId="4AA19C91">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化学需氧量</w:t>
                  </w:r>
                  <w:r>
                    <w:rPr>
                      <w:rFonts w:hint="default" w:ascii="Times New Roman" w:hAnsi="Times New Roman" w:eastAsia="宋体" w:cs="Times New Roman"/>
                      <w:b w:val="0"/>
                      <w:bCs w:val="0"/>
                      <w:color w:val="auto"/>
                      <w:spacing w:val="0"/>
                      <w:w w:val="100"/>
                      <w:sz w:val="21"/>
                      <w:szCs w:val="21"/>
                      <w:vertAlign w:val="baseline"/>
                      <w:lang w:val="en-US" w:eastAsia="en-US"/>
                    </w:rPr>
                    <w:t>（C</w:t>
                  </w:r>
                  <w:r>
                    <w:rPr>
                      <w:rFonts w:hint="default" w:ascii="Times New Roman" w:hAnsi="Times New Roman" w:eastAsia="宋体" w:cs="Times New Roman"/>
                      <w:b w:val="0"/>
                      <w:bCs w:val="0"/>
                      <w:color w:val="auto"/>
                      <w:spacing w:val="0"/>
                      <w:w w:val="100"/>
                      <w:sz w:val="21"/>
                      <w:szCs w:val="21"/>
                      <w:vertAlign w:val="baseline"/>
                      <w:lang w:val="en-US" w:eastAsia="zh-CN"/>
                    </w:rPr>
                    <w:t>O</w:t>
                  </w:r>
                  <w:r>
                    <w:rPr>
                      <w:rFonts w:hint="default" w:ascii="Times New Roman" w:hAnsi="Times New Roman" w:eastAsia="宋体" w:cs="Times New Roman"/>
                      <w:b w:val="0"/>
                      <w:bCs w:val="0"/>
                      <w:color w:val="auto"/>
                      <w:spacing w:val="0"/>
                      <w:w w:val="100"/>
                      <w:sz w:val="21"/>
                      <w:szCs w:val="21"/>
                      <w:vertAlign w:val="baseline"/>
                      <w:lang w:val="en-US" w:eastAsia="en-US"/>
                    </w:rPr>
                    <w:t>D）</w:t>
                  </w:r>
                </w:p>
              </w:tc>
              <w:tc>
                <w:tcPr>
                  <w:tcW w:w="1296" w:type="pct"/>
                  <w:tcBorders>
                    <w:tl2br w:val="nil"/>
                    <w:tr2bl w:val="nil"/>
                  </w:tcBorders>
                  <w:noWrap w:val="0"/>
                  <w:vAlign w:val="center"/>
                </w:tcPr>
                <w:p w14:paraId="7BE7744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30</w:t>
                  </w:r>
                </w:p>
              </w:tc>
              <w:tc>
                <w:tcPr>
                  <w:tcW w:w="1603" w:type="pct"/>
                  <w:vMerge w:val="restart"/>
                  <w:tcBorders>
                    <w:tl2br w:val="nil"/>
                    <w:tr2bl w:val="nil"/>
                  </w:tcBorders>
                  <w:noWrap w:val="0"/>
                  <w:vAlign w:val="center"/>
                </w:tcPr>
                <w:p w14:paraId="43954E16">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lang w:eastAsia="zh-CN"/>
                    </w:rPr>
                    <w:t>《陕西省黄河流域污水综合排放标准》（DB61/224-2018）</w:t>
                  </w:r>
                  <w:r>
                    <w:rPr>
                      <w:rFonts w:hint="default" w:ascii="Times New Roman" w:hAnsi="Times New Roman" w:eastAsia="宋体" w:cs="Times New Roman"/>
                      <w:b w:val="0"/>
                      <w:bCs w:val="0"/>
                      <w:color w:val="auto"/>
                      <w:spacing w:val="0"/>
                      <w:w w:val="100"/>
                      <w:sz w:val="21"/>
                      <w:szCs w:val="21"/>
                      <w:lang w:val="en-US" w:eastAsia="zh-CN"/>
                    </w:rPr>
                    <w:t>A</w:t>
                  </w:r>
                  <w:r>
                    <w:rPr>
                      <w:rFonts w:hint="default" w:ascii="Times New Roman" w:hAnsi="Times New Roman" w:eastAsia="宋体" w:cs="Times New Roman"/>
                      <w:b w:val="0"/>
                      <w:bCs w:val="0"/>
                      <w:color w:val="auto"/>
                      <w:spacing w:val="0"/>
                      <w:w w:val="100"/>
                      <w:sz w:val="21"/>
                      <w:szCs w:val="21"/>
                      <w:lang w:eastAsia="zh-CN"/>
                    </w:rPr>
                    <w:t>标准</w:t>
                  </w:r>
                </w:p>
              </w:tc>
            </w:tr>
            <w:tr w14:paraId="59817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tcBorders>
                    <w:tl2br w:val="nil"/>
                    <w:tr2bl w:val="nil"/>
                  </w:tcBorders>
                  <w:noWrap w:val="0"/>
                  <w:vAlign w:val="bottom"/>
                </w:tcPr>
                <w:p w14:paraId="18390BC0">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2</w:t>
                  </w:r>
                </w:p>
              </w:tc>
              <w:tc>
                <w:tcPr>
                  <w:tcW w:w="1527" w:type="pct"/>
                  <w:tcBorders>
                    <w:tl2br w:val="nil"/>
                    <w:tr2bl w:val="nil"/>
                  </w:tcBorders>
                  <w:noWrap w:val="0"/>
                  <w:vAlign w:val="bottom"/>
                </w:tcPr>
                <w:p w14:paraId="4F4177CA">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总氮（以</w:t>
                  </w:r>
                  <w:r>
                    <w:rPr>
                      <w:rFonts w:hint="default" w:ascii="Times New Roman" w:hAnsi="Times New Roman" w:eastAsia="宋体" w:cs="Times New Roman"/>
                      <w:b w:val="0"/>
                      <w:bCs w:val="0"/>
                      <w:color w:val="auto"/>
                      <w:spacing w:val="0"/>
                      <w:w w:val="100"/>
                      <w:sz w:val="21"/>
                      <w:szCs w:val="21"/>
                      <w:vertAlign w:val="baseline"/>
                      <w:lang w:val="en-US" w:eastAsia="en-US"/>
                    </w:rPr>
                    <w:t>N</w:t>
                  </w:r>
                  <w:r>
                    <w:rPr>
                      <w:rFonts w:hint="default" w:ascii="Times New Roman" w:hAnsi="Times New Roman" w:eastAsia="宋体" w:cs="Times New Roman"/>
                      <w:b w:val="0"/>
                      <w:bCs w:val="0"/>
                      <w:color w:val="auto"/>
                      <w:spacing w:val="0"/>
                      <w:w w:val="100"/>
                      <w:sz w:val="21"/>
                      <w:szCs w:val="21"/>
                      <w:vertAlign w:val="baseline"/>
                      <w:lang w:val="en-US" w:eastAsia="zh-CN"/>
                    </w:rPr>
                    <w:t>计）</w:t>
                  </w:r>
                </w:p>
              </w:tc>
              <w:tc>
                <w:tcPr>
                  <w:tcW w:w="1296" w:type="pct"/>
                  <w:tcBorders>
                    <w:tl2br w:val="nil"/>
                    <w:tr2bl w:val="nil"/>
                  </w:tcBorders>
                  <w:noWrap w:val="0"/>
                  <w:vAlign w:val="bottom"/>
                </w:tcPr>
                <w:p w14:paraId="4D23C712">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15</w:t>
                  </w:r>
                </w:p>
              </w:tc>
              <w:tc>
                <w:tcPr>
                  <w:tcW w:w="1603" w:type="pct"/>
                  <w:vMerge w:val="continue"/>
                  <w:tcBorders>
                    <w:tl2br w:val="nil"/>
                    <w:tr2bl w:val="nil"/>
                  </w:tcBorders>
                  <w:noWrap w:val="0"/>
                  <w:vAlign w:val="center"/>
                </w:tcPr>
                <w:p w14:paraId="2D74DC7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7F9B8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tcBorders>
                    <w:tl2br w:val="nil"/>
                    <w:tr2bl w:val="nil"/>
                  </w:tcBorders>
                  <w:noWrap w:val="0"/>
                  <w:vAlign w:val="bottom"/>
                </w:tcPr>
                <w:p w14:paraId="1CFF15A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3</w:t>
                  </w:r>
                </w:p>
              </w:tc>
              <w:tc>
                <w:tcPr>
                  <w:tcW w:w="1527" w:type="pct"/>
                  <w:tcBorders>
                    <w:tl2br w:val="nil"/>
                    <w:tr2bl w:val="nil"/>
                  </w:tcBorders>
                  <w:noWrap w:val="0"/>
                  <w:vAlign w:val="bottom"/>
                </w:tcPr>
                <w:p w14:paraId="7B5AFC18">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氨氮（以</w:t>
                  </w:r>
                  <w:r>
                    <w:rPr>
                      <w:rFonts w:hint="default" w:ascii="Times New Roman" w:hAnsi="Times New Roman" w:eastAsia="宋体" w:cs="Times New Roman"/>
                      <w:b w:val="0"/>
                      <w:bCs w:val="0"/>
                      <w:color w:val="auto"/>
                      <w:spacing w:val="0"/>
                      <w:w w:val="100"/>
                      <w:sz w:val="21"/>
                      <w:szCs w:val="21"/>
                      <w:vertAlign w:val="baseline"/>
                      <w:lang w:val="en-US" w:eastAsia="en-US"/>
                    </w:rPr>
                    <w:t>N</w:t>
                  </w:r>
                  <w:r>
                    <w:rPr>
                      <w:rFonts w:hint="default" w:ascii="Times New Roman" w:hAnsi="Times New Roman" w:eastAsia="宋体" w:cs="Times New Roman"/>
                      <w:b w:val="0"/>
                      <w:bCs w:val="0"/>
                      <w:color w:val="auto"/>
                      <w:spacing w:val="0"/>
                      <w:w w:val="100"/>
                      <w:sz w:val="21"/>
                      <w:szCs w:val="21"/>
                      <w:vertAlign w:val="baseline"/>
                      <w:lang w:val="en-US" w:eastAsia="zh-CN"/>
                    </w:rPr>
                    <w:t>计）</w:t>
                  </w:r>
                </w:p>
              </w:tc>
              <w:tc>
                <w:tcPr>
                  <w:tcW w:w="1296" w:type="pct"/>
                  <w:tcBorders>
                    <w:tl2br w:val="nil"/>
                    <w:tr2bl w:val="nil"/>
                  </w:tcBorders>
                  <w:noWrap w:val="0"/>
                  <w:vAlign w:val="bottom"/>
                </w:tcPr>
                <w:p w14:paraId="092FDF9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1.5</w:t>
                  </w:r>
                  <w:r>
                    <w:rPr>
                      <w:rFonts w:hint="eastAsia" w:ascii="Times New Roman" w:hAnsi="Times New Roman" w:eastAsia="宋体" w:cs="Times New Roman"/>
                      <w:b w:val="0"/>
                      <w:bCs w:val="0"/>
                      <w:color w:val="auto"/>
                      <w:spacing w:val="0"/>
                      <w:w w:val="100"/>
                      <w:sz w:val="21"/>
                      <w:szCs w:val="21"/>
                      <w:vertAlign w:val="baseline"/>
                      <w:lang w:val="en-US" w:eastAsia="zh-CN"/>
                    </w:rPr>
                    <w:t>(</w:t>
                  </w:r>
                  <w:r>
                    <w:rPr>
                      <w:rFonts w:hint="default" w:ascii="Times New Roman" w:hAnsi="Times New Roman" w:eastAsia="宋体" w:cs="Times New Roman"/>
                      <w:b w:val="0"/>
                      <w:bCs w:val="0"/>
                      <w:color w:val="auto"/>
                      <w:spacing w:val="0"/>
                      <w:w w:val="100"/>
                      <w:sz w:val="21"/>
                      <w:szCs w:val="21"/>
                      <w:vertAlign w:val="baseline"/>
                      <w:lang w:val="en-US" w:eastAsia="zh-CN"/>
                    </w:rPr>
                    <w:t>3</w:t>
                  </w:r>
                  <w:r>
                    <w:rPr>
                      <w:rFonts w:hint="eastAsia" w:ascii="Times New Roman" w:hAnsi="Times New Roman" w:eastAsia="宋体" w:cs="Times New Roman"/>
                      <w:b w:val="0"/>
                      <w:bCs w:val="0"/>
                      <w:color w:val="auto"/>
                      <w:spacing w:val="0"/>
                      <w:w w:val="100"/>
                      <w:sz w:val="21"/>
                      <w:szCs w:val="21"/>
                      <w:vertAlign w:val="baseline"/>
                      <w:lang w:val="en-US" w:eastAsia="zh-CN"/>
                    </w:rPr>
                    <w:t>)</w:t>
                  </w:r>
                </w:p>
              </w:tc>
              <w:tc>
                <w:tcPr>
                  <w:tcW w:w="1603" w:type="pct"/>
                  <w:vMerge w:val="continue"/>
                  <w:tcBorders>
                    <w:tl2br w:val="nil"/>
                    <w:tr2bl w:val="nil"/>
                  </w:tcBorders>
                  <w:noWrap w:val="0"/>
                  <w:vAlign w:val="center"/>
                </w:tcPr>
                <w:p w14:paraId="2AF15CB0">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14EBA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tcBorders>
                    <w:tl2br w:val="nil"/>
                    <w:tr2bl w:val="nil"/>
                  </w:tcBorders>
                  <w:noWrap w:val="0"/>
                  <w:vAlign w:val="bottom"/>
                </w:tcPr>
                <w:p w14:paraId="075E49D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4</w:t>
                  </w:r>
                </w:p>
              </w:tc>
              <w:tc>
                <w:tcPr>
                  <w:tcW w:w="1527" w:type="pct"/>
                  <w:tcBorders>
                    <w:tl2br w:val="nil"/>
                    <w:tr2bl w:val="nil"/>
                  </w:tcBorders>
                  <w:noWrap w:val="0"/>
                  <w:vAlign w:val="bottom"/>
                </w:tcPr>
                <w:p w14:paraId="637B5E6F">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总磷（以</w:t>
                  </w:r>
                  <w:r>
                    <w:rPr>
                      <w:rFonts w:hint="default" w:ascii="Times New Roman" w:hAnsi="Times New Roman" w:eastAsia="宋体" w:cs="Times New Roman"/>
                      <w:b w:val="0"/>
                      <w:bCs w:val="0"/>
                      <w:color w:val="auto"/>
                      <w:spacing w:val="0"/>
                      <w:w w:val="100"/>
                      <w:sz w:val="21"/>
                      <w:szCs w:val="21"/>
                      <w:vertAlign w:val="baseline"/>
                      <w:lang w:val="en-US" w:eastAsia="en-US"/>
                    </w:rPr>
                    <w:t>P</w:t>
                  </w:r>
                  <w:r>
                    <w:rPr>
                      <w:rFonts w:hint="default" w:ascii="Times New Roman" w:hAnsi="Times New Roman" w:eastAsia="宋体" w:cs="Times New Roman"/>
                      <w:b w:val="0"/>
                      <w:bCs w:val="0"/>
                      <w:color w:val="auto"/>
                      <w:spacing w:val="0"/>
                      <w:w w:val="100"/>
                      <w:sz w:val="21"/>
                      <w:szCs w:val="21"/>
                      <w:vertAlign w:val="baseline"/>
                      <w:lang w:val="en-US" w:eastAsia="zh-CN"/>
                    </w:rPr>
                    <w:t>计）</w:t>
                  </w:r>
                </w:p>
              </w:tc>
              <w:tc>
                <w:tcPr>
                  <w:tcW w:w="1296" w:type="pct"/>
                  <w:tcBorders>
                    <w:tl2br w:val="nil"/>
                    <w:tr2bl w:val="nil"/>
                  </w:tcBorders>
                  <w:noWrap w:val="0"/>
                  <w:vAlign w:val="bottom"/>
                </w:tcPr>
                <w:p w14:paraId="46C58E14">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0.3</w:t>
                  </w:r>
                </w:p>
              </w:tc>
              <w:tc>
                <w:tcPr>
                  <w:tcW w:w="1603" w:type="pct"/>
                  <w:vMerge w:val="continue"/>
                  <w:tcBorders>
                    <w:tl2br w:val="nil"/>
                    <w:tr2bl w:val="nil"/>
                  </w:tcBorders>
                  <w:noWrap w:val="0"/>
                  <w:vAlign w:val="center"/>
                </w:tcPr>
                <w:p w14:paraId="3B671D20">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5FAB3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tcBorders>
                    <w:tl2br w:val="nil"/>
                    <w:tr2bl w:val="nil"/>
                  </w:tcBorders>
                  <w:noWrap w:val="0"/>
                  <w:vAlign w:val="bottom"/>
                </w:tcPr>
                <w:p w14:paraId="38815A76">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5</w:t>
                  </w:r>
                </w:p>
              </w:tc>
              <w:tc>
                <w:tcPr>
                  <w:tcW w:w="1527" w:type="pct"/>
                  <w:tcBorders>
                    <w:tl2br w:val="nil"/>
                    <w:tr2bl w:val="nil"/>
                  </w:tcBorders>
                  <w:noWrap w:val="0"/>
                  <w:vAlign w:val="bottom"/>
                </w:tcPr>
                <w:p w14:paraId="355A680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五日生化需氧量</w:t>
                  </w:r>
                </w:p>
              </w:tc>
              <w:tc>
                <w:tcPr>
                  <w:tcW w:w="1296" w:type="pct"/>
                  <w:tcBorders>
                    <w:tl2br w:val="nil"/>
                    <w:tr2bl w:val="nil"/>
                  </w:tcBorders>
                  <w:noWrap w:val="0"/>
                  <w:vAlign w:val="bottom"/>
                </w:tcPr>
                <w:p w14:paraId="024C9556">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6</w:t>
                  </w:r>
                </w:p>
              </w:tc>
              <w:tc>
                <w:tcPr>
                  <w:tcW w:w="1603" w:type="pct"/>
                  <w:vMerge w:val="continue"/>
                  <w:tcBorders>
                    <w:tl2br w:val="nil"/>
                    <w:tr2bl w:val="nil"/>
                  </w:tcBorders>
                  <w:noWrap w:val="0"/>
                  <w:vAlign w:val="center"/>
                </w:tcPr>
                <w:p w14:paraId="3686D76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1229F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tcBorders>
                    <w:tl2br w:val="nil"/>
                    <w:tr2bl w:val="nil"/>
                  </w:tcBorders>
                  <w:noWrap w:val="0"/>
                  <w:vAlign w:val="bottom"/>
                </w:tcPr>
                <w:p w14:paraId="67B9497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en-US"/>
                    </w:rPr>
                  </w:pPr>
                  <w:r>
                    <w:rPr>
                      <w:rFonts w:hint="default" w:ascii="Times New Roman" w:hAnsi="Times New Roman" w:eastAsia="宋体" w:cs="Times New Roman"/>
                      <w:b w:val="0"/>
                      <w:bCs w:val="0"/>
                      <w:color w:val="auto"/>
                      <w:spacing w:val="0"/>
                      <w:w w:val="100"/>
                      <w:sz w:val="21"/>
                      <w:szCs w:val="21"/>
                      <w:vertAlign w:val="baseline"/>
                      <w:lang w:val="en-US" w:eastAsia="zh-CN"/>
                    </w:rPr>
                    <w:t>6</w:t>
                  </w:r>
                </w:p>
              </w:tc>
              <w:tc>
                <w:tcPr>
                  <w:tcW w:w="1527" w:type="pct"/>
                  <w:tcBorders>
                    <w:tl2br w:val="nil"/>
                    <w:tr2bl w:val="nil"/>
                  </w:tcBorders>
                  <w:noWrap w:val="0"/>
                  <w:vAlign w:val="bottom"/>
                </w:tcPr>
                <w:p w14:paraId="633BA482">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pH</w:t>
                  </w:r>
                  <w:r>
                    <w:rPr>
                      <w:rFonts w:hint="default" w:ascii="Times New Roman" w:hAnsi="Times New Roman" w:eastAsia="宋体" w:cs="Times New Roman"/>
                      <w:b w:val="0"/>
                      <w:bCs w:val="0"/>
                      <w:color w:val="auto"/>
                      <w:spacing w:val="0"/>
                      <w:w w:val="100"/>
                      <w:sz w:val="21"/>
                      <w:szCs w:val="21"/>
                      <w:vertAlign w:val="baseline"/>
                      <w:lang w:val="en-US" w:eastAsia="zh-CN"/>
                    </w:rPr>
                    <w:t>值（无量纲）</w:t>
                  </w:r>
                </w:p>
              </w:tc>
              <w:tc>
                <w:tcPr>
                  <w:tcW w:w="1296" w:type="pct"/>
                  <w:tcBorders>
                    <w:tl2br w:val="nil"/>
                    <w:tr2bl w:val="nil"/>
                  </w:tcBorders>
                  <w:noWrap w:val="0"/>
                  <w:vAlign w:val="bottom"/>
                </w:tcPr>
                <w:p w14:paraId="32E86BB1">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6〜9</w:t>
                  </w:r>
                </w:p>
              </w:tc>
              <w:tc>
                <w:tcPr>
                  <w:tcW w:w="1603" w:type="pct"/>
                  <w:vMerge w:val="continue"/>
                  <w:tcBorders>
                    <w:tl2br w:val="nil"/>
                    <w:tr2bl w:val="nil"/>
                  </w:tcBorders>
                  <w:noWrap w:val="0"/>
                  <w:vAlign w:val="center"/>
                </w:tcPr>
                <w:p w14:paraId="5FA763C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32E82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tcBorders>
                    <w:tl2br w:val="nil"/>
                    <w:tr2bl w:val="nil"/>
                  </w:tcBorders>
                  <w:noWrap w:val="0"/>
                  <w:vAlign w:val="bottom"/>
                </w:tcPr>
                <w:p w14:paraId="4D3751CF">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7</w:t>
                  </w:r>
                </w:p>
              </w:tc>
              <w:tc>
                <w:tcPr>
                  <w:tcW w:w="1527" w:type="pct"/>
                  <w:tcBorders>
                    <w:tl2br w:val="nil"/>
                    <w:tr2bl w:val="nil"/>
                  </w:tcBorders>
                  <w:noWrap w:val="0"/>
                  <w:vAlign w:val="bottom"/>
                </w:tcPr>
                <w:p w14:paraId="7CF59C69">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色度（稀释倍数）</w:t>
                  </w:r>
                </w:p>
              </w:tc>
              <w:tc>
                <w:tcPr>
                  <w:tcW w:w="1296" w:type="pct"/>
                  <w:tcBorders>
                    <w:tl2br w:val="nil"/>
                    <w:tr2bl w:val="nil"/>
                  </w:tcBorders>
                  <w:noWrap w:val="0"/>
                  <w:vAlign w:val="bottom"/>
                </w:tcPr>
                <w:p w14:paraId="3BCE901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30</w:t>
                  </w:r>
                </w:p>
              </w:tc>
              <w:tc>
                <w:tcPr>
                  <w:tcW w:w="1603" w:type="pct"/>
                  <w:vMerge w:val="continue"/>
                  <w:tcBorders>
                    <w:tl2br w:val="nil"/>
                    <w:tr2bl w:val="nil"/>
                  </w:tcBorders>
                  <w:noWrap w:val="0"/>
                  <w:vAlign w:val="center"/>
                </w:tcPr>
                <w:p w14:paraId="2EA0B1C2">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pacing w:val="0"/>
                      <w:w w:val="100"/>
                      <w:sz w:val="21"/>
                      <w:szCs w:val="21"/>
                      <w:lang w:val="en-US" w:eastAsia="zh-CN"/>
                    </w:rPr>
                  </w:pPr>
                </w:p>
              </w:tc>
            </w:tr>
            <w:tr w14:paraId="50050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bottom"/>
                </w:tcPr>
                <w:p w14:paraId="66AA2BF0">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8</w:t>
                  </w:r>
                </w:p>
              </w:tc>
              <w:tc>
                <w:tcPr>
                  <w:tcW w:w="1527" w:type="pct"/>
                  <w:noWrap w:val="0"/>
                  <w:vAlign w:val="bottom"/>
                </w:tcPr>
                <w:p w14:paraId="43E0DAC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悬浮物</w:t>
                  </w:r>
                </w:p>
              </w:tc>
              <w:tc>
                <w:tcPr>
                  <w:tcW w:w="1296" w:type="pct"/>
                  <w:noWrap w:val="0"/>
                  <w:vAlign w:val="bottom"/>
                </w:tcPr>
                <w:p w14:paraId="4C918DC4">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10</w:t>
                  </w:r>
                </w:p>
              </w:tc>
              <w:tc>
                <w:tcPr>
                  <w:tcW w:w="1603" w:type="pct"/>
                  <w:vMerge w:val="continue"/>
                  <w:noWrap w:val="0"/>
                  <w:vAlign w:val="top"/>
                </w:tcPr>
                <w:p w14:paraId="5AAF396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31F52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top"/>
                </w:tcPr>
                <w:p w14:paraId="1CB3A538">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9</w:t>
                  </w:r>
                </w:p>
              </w:tc>
              <w:tc>
                <w:tcPr>
                  <w:tcW w:w="1527" w:type="pct"/>
                  <w:noWrap w:val="0"/>
                  <w:vAlign w:val="top"/>
                </w:tcPr>
                <w:p w14:paraId="47A365C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动植物油</w:t>
                  </w:r>
                </w:p>
              </w:tc>
              <w:tc>
                <w:tcPr>
                  <w:tcW w:w="1296" w:type="pct"/>
                  <w:noWrap w:val="0"/>
                  <w:vAlign w:val="top"/>
                </w:tcPr>
                <w:p w14:paraId="3D96D7E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1.0</w:t>
                  </w:r>
                </w:p>
              </w:tc>
              <w:tc>
                <w:tcPr>
                  <w:tcW w:w="1603" w:type="pct"/>
                  <w:vMerge w:val="continue"/>
                  <w:noWrap w:val="0"/>
                  <w:vAlign w:val="top"/>
                </w:tcPr>
                <w:p w14:paraId="20DCB98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43E0D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bottom"/>
                </w:tcPr>
                <w:p w14:paraId="47E71DE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10</w:t>
                  </w:r>
                </w:p>
              </w:tc>
              <w:tc>
                <w:tcPr>
                  <w:tcW w:w="1527" w:type="pct"/>
                  <w:noWrap w:val="0"/>
                  <w:vAlign w:val="bottom"/>
                </w:tcPr>
                <w:p w14:paraId="35A7CAE2">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石油类</w:t>
                  </w:r>
                </w:p>
              </w:tc>
              <w:tc>
                <w:tcPr>
                  <w:tcW w:w="1296" w:type="pct"/>
                  <w:noWrap w:val="0"/>
                  <w:vAlign w:val="bottom"/>
                </w:tcPr>
                <w:p w14:paraId="3C78E7D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1.</w:t>
                  </w:r>
                  <w:r>
                    <w:rPr>
                      <w:rFonts w:hint="default" w:ascii="Times New Roman" w:hAnsi="Times New Roman" w:eastAsia="宋体" w:cs="Times New Roman"/>
                      <w:b w:val="0"/>
                      <w:bCs w:val="0"/>
                      <w:color w:val="auto"/>
                      <w:spacing w:val="0"/>
                      <w:w w:val="100"/>
                      <w:sz w:val="21"/>
                      <w:szCs w:val="21"/>
                      <w:vertAlign w:val="baseline"/>
                      <w:lang w:val="en-US" w:eastAsia="zh-CN"/>
                    </w:rPr>
                    <w:t>0</w:t>
                  </w:r>
                </w:p>
              </w:tc>
              <w:tc>
                <w:tcPr>
                  <w:tcW w:w="1603" w:type="pct"/>
                  <w:vMerge w:val="continue"/>
                  <w:noWrap w:val="0"/>
                  <w:vAlign w:val="top"/>
                </w:tcPr>
                <w:p w14:paraId="3ADAD8E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3F7C2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center"/>
                </w:tcPr>
                <w:p w14:paraId="612ED4C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11</w:t>
                  </w:r>
                </w:p>
              </w:tc>
              <w:tc>
                <w:tcPr>
                  <w:tcW w:w="1527" w:type="pct"/>
                  <w:noWrap w:val="0"/>
                  <w:vAlign w:val="center"/>
                </w:tcPr>
                <w:p w14:paraId="5278BBB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阴离子表面活性剂</w:t>
                  </w:r>
                </w:p>
              </w:tc>
              <w:tc>
                <w:tcPr>
                  <w:tcW w:w="1296" w:type="pct"/>
                  <w:noWrap w:val="0"/>
                  <w:vAlign w:val="center"/>
                </w:tcPr>
                <w:p w14:paraId="41F0D98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0.5</w:t>
                  </w:r>
                </w:p>
              </w:tc>
              <w:tc>
                <w:tcPr>
                  <w:tcW w:w="1603" w:type="pct"/>
                  <w:vMerge w:val="continue"/>
                  <w:noWrap w:val="0"/>
                  <w:vAlign w:val="top"/>
                </w:tcPr>
                <w:p w14:paraId="74A4A9CB">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6F315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bottom"/>
                </w:tcPr>
                <w:p w14:paraId="0EF59818">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12</w:t>
                  </w:r>
                </w:p>
              </w:tc>
              <w:tc>
                <w:tcPr>
                  <w:tcW w:w="1527" w:type="pct"/>
                  <w:noWrap w:val="0"/>
                  <w:vAlign w:val="bottom"/>
                </w:tcPr>
                <w:p w14:paraId="0C74917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粪大肠菌群数（个</w:t>
                  </w:r>
                  <w:r>
                    <w:rPr>
                      <w:rFonts w:hint="default" w:ascii="Times New Roman" w:hAnsi="Times New Roman" w:eastAsia="宋体" w:cs="Times New Roman"/>
                      <w:b w:val="0"/>
                      <w:bCs w:val="0"/>
                      <w:color w:val="auto"/>
                      <w:spacing w:val="0"/>
                      <w:w w:val="100"/>
                      <w:sz w:val="21"/>
                      <w:szCs w:val="21"/>
                      <w:vertAlign w:val="baseline"/>
                      <w:lang w:val="en-US" w:eastAsia="en-US"/>
                    </w:rPr>
                    <w:t>/L）</w:t>
                  </w:r>
                </w:p>
              </w:tc>
              <w:tc>
                <w:tcPr>
                  <w:tcW w:w="1296" w:type="pct"/>
                  <w:noWrap w:val="0"/>
                  <w:vAlign w:val="bottom"/>
                </w:tcPr>
                <w:p w14:paraId="7CCC533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1000</w:t>
                  </w:r>
                </w:p>
              </w:tc>
              <w:tc>
                <w:tcPr>
                  <w:tcW w:w="1603" w:type="pct"/>
                  <w:vMerge w:val="continue"/>
                  <w:noWrap w:val="0"/>
                  <w:vAlign w:val="top"/>
                </w:tcPr>
                <w:p w14:paraId="2C68083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71AFD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bottom"/>
                </w:tcPr>
                <w:p w14:paraId="3AFC7CA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13</w:t>
                  </w:r>
                </w:p>
              </w:tc>
              <w:tc>
                <w:tcPr>
                  <w:tcW w:w="1527" w:type="pct"/>
                  <w:noWrap w:val="0"/>
                  <w:vAlign w:val="bottom"/>
                </w:tcPr>
                <w:p w14:paraId="1ECBE241">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总汞</w:t>
                  </w:r>
                </w:p>
              </w:tc>
              <w:tc>
                <w:tcPr>
                  <w:tcW w:w="1296" w:type="pct"/>
                  <w:noWrap w:val="0"/>
                  <w:vAlign w:val="bottom"/>
                </w:tcPr>
                <w:p w14:paraId="60A577D8">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0.001</w:t>
                  </w:r>
                </w:p>
              </w:tc>
              <w:tc>
                <w:tcPr>
                  <w:tcW w:w="1603" w:type="pct"/>
                  <w:vMerge w:val="continue"/>
                  <w:noWrap w:val="0"/>
                  <w:vAlign w:val="top"/>
                </w:tcPr>
                <w:p w14:paraId="79128E0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6D205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bottom"/>
                </w:tcPr>
                <w:p w14:paraId="4ED9C956">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14</w:t>
                  </w:r>
                </w:p>
              </w:tc>
              <w:tc>
                <w:tcPr>
                  <w:tcW w:w="1527" w:type="pct"/>
                  <w:noWrap w:val="0"/>
                  <w:vAlign w:val="bottom"/>
                </w:tcPr>
                <w:p w14:paraId="223B85B8">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烷基汞</w:t>
                  </w:r>
                </w:p>
              </w:tc>
              <w:tc>
                <w:tcPr>
                  <w:tcW w:w="1296" w:type="pct"/>
                  <w:noWrap w:val="0"/>
                  <w:vAlign w:val="bottom"/>
                </w:tcPr>
                <w:p w14:paraId="53E5F18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不得检出</w:t>
                  </w:r>
                </w:p>
              </w:tc>
              <w:tc>
                <w:tcPr>
                  <w:tcW w:w="1603" w:type="pct"/>
                  <w:vMerge w:val="continue"/>
                  <w:noWrap w:val="0"/>
                  <w:vAlign w:val="top"/>
                </w:tcPr>
                <w:p w14:paraId="00C2B18F">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38286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bottom"/>
                </w:tcPr>
                <w:p w14:paraId="0F435FD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15</w:t>
                  </w:r>
                </w:p>
              </w:tc>
              <w:tc>
                <w:tcPr>
                  <w:tcW w:w="1527" w:type="pct"/>
                  <w:noWrap w:val="0"/>
                  <w:vAlign w:val="bottom"/>
                </w:tcPr>
                <w:p w14:paraId="60FD61C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总镉</w:t>
                  </w:r>
                </w:p>
              </w:tc>
              <w:tc>
                <w:tcPr>
                  <w:tcW w:w="1296" w:type="pct"/>
                  <w:noWrap w:val="0"/>
                  <w:vAlign w:val="bottom"/>
                </w:tcPr>
                <w:p w14:paraId="4CF7227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0.01</w:t>
                  </w:r>
                </w:p>
              </w:tc>
              <w:tc>
                <w:tcPr>
                  <w:tcW w:w="1603" w:type="pct"/>
                  <w:vMerge w:val="continue"/>
                  <w:noWrap w:val="0"/>
                  <w:vAlign w:val="top"/>
                </w:tcPr>
                <w:p w14:paraId="4764C4F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0F28D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top"/>
                </w:tcPr>
                <w:p w14:paraId="49CB6476">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16</w:t>
                  </w:r>
                </w:p>
              </w:tc>
              <w:tc>
                <w:tcPr>
                  <w:tcW w:w="1527" w:type="pct"/>
                  <w:noWrap w:val="0"/>
                  <w:vAlign w:val="top"/>
                </w:tcPr>
                <w:p w14:paraId="4468C29B">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总铬</w:t>
                  </w:r>
                </w:p>
              </w:tc>
              <w:tc>
                <w:tcPr>
                  <w:tcW w:w="1296" w:type="pct"/>
                  <w:noWrap w:val="0"/>
                  <w:vAlign w:val="top"/>
                </w:tcPr>
                <w:p w14:paraId="16DC9372">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w:t>
                  </w:r>
                  <w:r>
                    <w:rPr>
                      <w:rFonts w:hint="default" w:ascii="Times New Roman" w:hAnsi="Times New Roman" w:eastAsia="宋体" w:cs="Times New Roman"/>
                      <w:b w:val="0"/>
                      <w:bCs w:val="0"/>
                      <w:color w:val="auto"/>
                      <w:spacing w:val="0"/>
                      <w:w w:val="100"/>
                      <w:sz w:val="21"/>
                      <w:szCs w:val="21"/>
                      <w:vertAlign w:val="baseline"/>
                      <w:lang w:val="en-US" w:eastAsia="zh-CN"/>
                    </w:rPr>
                    <w:t>1</w:t>
                  </w:r>
                </w:p>
              </w:tc>
              <w:tc>
                <w:tcPr>
                  <w:tcW w:w="1603" w:type="pct"/>
                  <w:vMerge w:val="continue"/>
                  <w:noWrap w:val="0"/>
                  <w:vAlign w:val="top"/>
                </w:tcPr>
                <w:p w14:paraId="41EB64B9">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72DC9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bottom"/>
                </w:tcPr>
                <w:p w14:paraId="4EF4DBBA">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17</w:t>
                  </w:r>
                </w:p>
              </w:tc>
              <w:tc>
                <w:tcPr>
                  <w:tcW w:w="1527" w:type="pct"/>
                  <w:noWrap w:val="0"/>
                  <w:vAlign w:val="bottom"/>
                </w:tcPr>
                <w:p w14:paraId="1FAAFE40">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六价铬</w:t>
                  </w:r>
                </w:p>
              </w:tc>
              <w:tc>
                <w:tcPr>
                  <w:tcW w:w="1296" w:type="pct"/>
                  <w:noWrap w:val="0"/>
                  <w:vAlign w:val="bottom"/>
                </w:tcPr>
                <w:p w14:paraId="7B7D0BA4">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w:t>
                  </w:r>
                  <w:r>
                    <w:rPr>
                      <w:rFonts w:hint="default" w:ascii="Times New Roman" w:hAnsi="Times New Roman" w:eastAsia="宋体" w:cs="Times New Roman"/>
                      <w:b w:val="0"/>
                      <w:bCs w:val="0"/>
                      <w:color w:val="auto"/>
                      <w:spacing w:val="0"/>
                      <w:w w:val="100"/>
                      <w:sz w:val="21"/>
                      <w:szCs w:val="21"/>
                      <w:vertAlign w:val="baseline"/>
                      <w:lang w:val="en-US" w:eastAsia="zh-CN"/>
                    </w:rPr>
                    <w:t>05</w:t>
                  </w:r>
                </w:p>
              </w:tc>
              <w:tc>
                <w:tcPr>
                  <w:tcW w:w="1603" w:type="pct"/>
                  <w:vMerge w:val="continue"/>
                  <w:noWrap w:val="0"/>
                  <w:vAlign w:val="top"/>
                </w:tcPr>
                <w:p w14:paraId="1347DFF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66C80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bottom"/>
                </w:tcPr>
                <w:p w14:paraId="6083DBB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18</w:t>
                  </w:r>
                </w:p>
              </w:tc>
              <w:tc>
                <w:tcPr>
                  <w:tcW w:w="1527" w:type="pct"/>
                  <w:noWrap w:val="0"/>
                  <w:vAlign w:val="bottom"/>
                </w:tcPr>
                <w:p w14:paraId="634DAA3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总砷</w:t>
                  </w:r>
                </w:p>
              </w:tc>
              <w:tc>
                <w:tcPr>
                  <w:tcW w:w="1296" w:type="pct"/>
                  <w:noWrap w:val="0"/>
                  <w:vAlign w:val="bottom"/>
                </w:tcPr>
                <w:p w14:paraId="1DC0AFE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w:t>
                  </w:r>
                  <w:r>
                    <w:rPr>
                      <w:rFonts w:hint="default" w:ascii="Times New Roman" w:hAnsi="Times New Roman" w:eastAsia="宋体" w:cs="Times New Roman"/>
                      <w:b w:val="0"/>
                      <w:bCs w:val="0"/>
                      <w:color w:val="auto"/>
                      <w:spacing w:val="0"/>
                      <w:w w:val="100"/>
                      <w:sz w:val="21"/>
                      <w:szCs w:val="21"/>
                      <w:vertAlign w:val="baseline"/>
                      <w:lang w:val="en-US" w:eastAsia="zh-CN"/>
                    </w:rPr>
                    <w:t>1</w:t>
                  </w:r>
                </w:p>
              </w:tc>
              <w:tc>
                <w:tcPr>
                  <w:tcW w:w="1603" w:type="pct"/>
                  <w:vMerge w:val="continue"/>
                  <w:noWrap w:val="0"/>
                  <w:vAlign w:val="top"/>
                </w:tcPr>
                <w:p w14:paraId="07A0D3C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25FE3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572" w:type="pct"/>
                  <w:noWrap w:val="0"/>
                  <w:vAlign w:val="center"/>
                </w:tcPr>
                <w:p w14:paraId="3CF1B76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19</w:t>
                  </w:r>
                </w:p>
              </w:tc>
              <w:tc>
                <w:tcPr>
                  <w:tcW w:w="1527" w:type="pct"/>
                  <w:noWrap w:val="0"/>
                  <w:vAlign w:val="center"/>
                </w:tcPr>
                <w:p w14:paraId="331FBD54">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总铅</w:t>
                  </w:r>
                </w:p>
              </w:tc>
              <w:tc>
                <w:tcPr>
                  <w:tcW w:w="1296" w:type="pct"/>
                  <w:noWrap w:val="0"/>
                  <w:vAlign w:val="center"/>
                </w:tcPr>
                <w:p w14:paraId="60429A6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w:t>
                  </w:r>
                  <w:r>
                    <w:rPr>
                      <w:rFonts w:hint="default" w:ascii="Times New Roman" w:hAnsi="Times New Roman" w:eastAsia="宋体" w:cs="Times New Roman"/>
                      <w:b w:val="0"/>
                      <w:bCs w:val="0"/>
                      <w:color w:val="auto"/>
                      <w:spacing w:val="0"/>
                      <w:w w:val="100"/>
                      <w:sz w:val="21"/>
                      <w:szCs w:val="21"/>
                      <w:vertAlign w:val="baseline"/>
                      <w:lang w:val="en-US" w:eastAsia="zh-CN"/>
                    </w:rPr>
                    <w:t>1</w:t>
                  </w:r>
                </w:p>
              </w:tc>
              <w:tc>
                <w:tcPr>
                  <w:tcW w:w="1603" w:type="pct"/>
                  <w:vMerge w:val="continue"/>
                  <w:noWrap w:val="0"/>
                  <w:vAlign w:val="top"/>
                </w:tcPr>
                <w:p w14:paraId="69F5ABA6">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71028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5000" w:type="pct"/>
                  <w:gridSpan w:val="4"/>
                  <w:noWrap w:val="0"/>
                  <w:vAlign w:val="center"/>
                </w:tcPr>
                <w:p w14:paraId="657BF0B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注1：括号外数值为水温</w:t>
                  </w:r>
                  <w:r>
                    <w:rPr>
                      <w:rFonts w:hint="default" w:ascii="Times New Roman" w:hAnsi="Times New Roman" w:eastAsia="宋体" w:cs="Times New Roman"/>
                      <w:b w:val="0"/>
                      <w:bCs w:val="0"/>
                      <w:color w:val="auto"/>
                      <w:spacing w:val="0"/>
                      <w:w w:val="100"/>
                      <w:sz w:val="21"/>
                      <w:szCs w:val="21"/>
                      <w:highlight w:val="none"/>
                      <w:vertAlign w:val="baseline"/>
                      <w:lang w:val="en-US" w:eastAsia="en-US"/>
                    </w:rPr>
                    <w:t>&gt;</w:t>
                  </w:r>
                  <w:r>
                    <w:rPr>
                      <w:rFonts w:hint="default" w:ascii="Times New Roman" w:hAnsi="Times New Roman" w:eastAsia="宋体" w:cs="Times New Roman"/>
                      <w:b w:val="0"/>
                      <w:bCs w:val="0"/>
                      <w:color w:val="auto"/>
                      <w:spacing w:val="0"/>
                      <w:w w:val="100"/>
                      <w:sz w:val="21"/>
                      <w:szCs w:val="21"/>
                      <w:vertAlign w:val="baseline"/>
                      <w:lang w:val="en-US" w:eastAsia="en-US"/>
                    </w:rPr>
                    <w:t>12</w:t>
                  </w:r>
                  <w:r>
                    <w:rPr>
                      <w:rFonts w:hint="default" w:ascii="Times New Roman" w:hAnsi="Times New Roman" w:eastAsia="宋体" w:cs="Times New Roman"/>
                      <w:b w:val="0"/>
                      <w:bCs w:val="0"/>
                      <w:color w:val="auto"/>
                      <w:spacing w:val="0"/>
                      <w:w w:val="100"/>
                      <w:sz w:val="21"/>
                      <w:szCs w:val="21"/>
                      <w:vertAlign w:val="baseline"/>
                      <w:lang w:val="en-US" w:eastAsia="zh-CN"/>
                    </w:rPr>
                    <w:t>℃时的控制指标，括号内数值为水温≤12℃时的控制指标；</w:t>
                  </w:r>
                </w:p>
                <w:p w14:paraId="53F7A749">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vertAlign w:val="baseline"/>
                      <w:lang w:val="en-US" w:eastAsia="zh-CN"/>
                    </w:rPr>
                    <w:t>注2：污染物排放监测位置：污水处理厂废水总排放口。</w:t>
                  </w:r>
                </w:p>
              </w:tc>
            </w:tr>
          </w:tbl>
          <w:p w14:paraId="6B31920C">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表</w:t>
            </w:r>
            <w:r>
              <w:rPr>
                <w:rFonts w:hint="eastAsia" w:ascii="Times New Roman" w:hAnsi="Times New Roman" w:eastAsia="宋体" w:cs="Times New Roman"/>
                <w:b w:val="0"/>
                <w:bCs/>
                <w:color w:val="auto"/>
                <w:spacing w:val="0"/>
                <w:w w:val="100"/>
                <w:sz w:val="21"/>
                <w:szCs w:val="21"/>
                <w:lang w:val="en-US" w:eastAsia="zh-CN"/>
              </w:rPr>
              <w:t>3-9</w:t>
            </w:r>
            <w:r>
              <w:rPr>
                <w:rFonts w:hint="default" w:ascii="Times New Roman" w:hAnsi="Times New Roman" w:eastAsia="宋体" w:cs="Times New Roman"/>
                <w:b w:val="0"/>
                <w:bCs/>
                <w:color w:val="auto"/>
                <w:spacing w:val="0"/>
                <w:w w:val="100"/>
                <w:sz w:val="21"/>
                <w:szCs w:val="21"/>
                <w:lang w:val="en-US" w:eastAsia="zh-CN"/>
              </w:rPr>
              <w:t xml:space="preserve">  城市杂用水水质</w:t>
            </w:r>
          </w:p>
          <w:tbl>
            <w:tblPr>
              <w:tblStyle w:val="58"/>
              <w:tblW w:w="877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2"/>
              <w:gridCol w:w="2192"/>
              <w:gridCol w:w="1514"/>
              <w:gridCol w:w="1260"/>
              <w:gridCol w:w="1042"/>
              <w:gridCol w:w="1039"/>
              <w:gridCol w:w="1047"/>
            </w:tblGrid>
            <w:tr w14:paraId="602180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 w:hRule="atLeast"/>
              </w:trPr>
              <w:tc>
                <w:tcPr>
                  <w:tcW w:w="682" w:type="dxa"/>
                  <w:vAlign w:val="center"/>
                </w:tcPr>
                <w:p w14:paraId="5268EE2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4"/>
                      <w:sz w:val="21"/>
                      <w:szCs w:val="21"/>
                    </w:rPr>
                    <w:t>序号</w:t>
                  </w:r>
                </w:p>
              </w:tc>
              <w:tc>
                <w:tcPr>
                  <w:tcW w:w="2192" w:type="dxa"/>
                  <w:vAlign w:val="center"/>
                </w:tcPr>
                <w:p w14:paraId="3FB28E7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5"/>
                      <w:sz w:val="21"/>
                      <w:szCs w:val="21"/>
                    </w:rPr>
                    <w:t>项目</w:t>
                  </w:r>
                </w:p>
              </w:tc>
              <w:tc>
                <w:tcPr>
                  <w:tcW w:w="1514" w:type="dxa"/>
                  <w:vAlign w:val="center"/>
                </w:tcPr>
                <w:p w14:paraId="10809B7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冲厕</w:t>
                  </w:r>
                </w:p>
              </w:tc>
              <w:tc>
                <w:tcPr>
                  <w:tcW w:w="1260" w:type="dxa"/>
                  <w:vAlign w:val="center"/>
                </w:tcPr>
                <w:p w14:paraId="224648D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3"/>
                      <w:sz w:val="21"/>
                      <w:szCs w:val="21"/>
                    </w:rPr>
                    <w:t>道路清扫及</w:t>
                  </w:r>
                </w:p>
                <w:p w14:paraId="46E03F3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消防</w:t>
                  </w:r>
                </w:p>
              </w:tc>
              <w:tc>
                <w:tcPr>
                  <w:tcW w:w="1042" w:type="dxa"/>
                  <w:vAlign w:val="center"/>
                </w:tcPr>
                <w:p w14:paraId="20317B4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绿化</w:t>
                  </w:r>
                </w:p>
              </w:tc>
              <w:tc>
                <w:tcPr>
                  <w:tcW w:w="1039" w:type="dxa"/>
                  <w:vAlign w:val="center"/>
                </w:tcPr>
                <w:p w14:paraId="72CD4D3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4"/>
                      <w:sz w:val="21"/>
                      <w:szCs w:val="21"/>
                    </w:rPr>
                    <w:t>车辆冲洗</w:t>
                  </w:r>
                </w:p>
              </w:tc>
              <w:tc>
                <w:tcPr>
                  <w:tcW w:w="1047" w:type="dxa"/>
                  <w:vAlign w:val="center"/>
                </w:tcPr>
                <w:p w14:paraId="13DF9F0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4"/>
                      <w:sz w:val="21"/>
                      <w:szCs w:val="21"/>
                    </w:rPr>
                    <w:t>建筑施工</w:t>
                  </w:r>
                </w:p>
              </w:tc>
            </w:tr>
            <w:tr w14:paraId="66CA19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 w:hRule="atLeast"/>
              </w:trPr>
              <w:tc>
                <w:tcPr>
                  <w:tcW w:w="682" w:type="dxa"/>
                  <w:vAlign w:val="center"/>
                </w:tcPr>
                <w:p w14:paraId="193708A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w:t>
                  </w:r>
                </w:p>
              </w:tc>
              <w:tc>
                <w:tcPr>
                  <w:tcW w:w="2192" w:type="dxa"/>
                  <w:vAlign w:val="center"/>
                </w:tcPr>
                <w:p w14:paraId="1BE215F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11"/>
                      <w:sz w:val="21"/>
                      <w:szCs w:val="21"/>
                    </w:rPr>
                    <w:t>PH</w:t>
                  </w:r>
                </w:p>
              </w:tc>
              <w:tc>
                <w:tcPr>
                  <w:tcW w:w="5902" w:type="dxa"/>
                  <w:gridSpan w:val="5"/>
                  <w:vAlign w:val="center"/>
                </w:tcPr>
                <w:p w14:paraId="77D2BFA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3"/>
                      <w:sz w:val="21"/>
                      <w:szCs w:val="21"/>
                    </w:rPr>
                    <w:t>6.0-9.0</w:t>
                  </w:r>
                </w:p>
              </w:tc>
            </w:tr>
            <w:tr w14:paraId="0BE354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 w:hRule="atLeast"/>
              </w:trPr>
              <w:tc>
                <w:tcPr>
                  <w:tcW w:w="682" w:type="dxa"/>
                  <w:vAlign w:val="center"/>
                </w:tcPr>
                <w:p w14:paraId="2AF453D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w:t>
                  </w:r>
                </w:p>
              </w:tc>
              <w:tc>
                <w:tcPr>
                  <w:tcW w:w="2192" w:type="dxa"/>
                  <w:vAlign w:val="center"/>
                </w:tcPr>
                <w:p w14:paraId="69F2DA7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5"/>
                      <w:sz w:val="21"/>
                      <w:szCs w:val="21"/>
                    </w:rPr>
                    <w:t>色度</w:t>
                  </w:r>
                </w:p>
              </w:tc>
              <w:tc>
                <w:tcPr>
                  <w:tcW w:w="5902" w:type="dxa"/>
                  <w:gridSpan w:val="5"/>
                  <w:vAlign w:val="center"/>
                </w:tcPr>
                <w:p w14:paraId="7225635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≤30</w:t>
                  </w:r>
                </w:p>
              </w:tc>
            </w:tr>
            <w:tr w14:paraId="20CE38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 w:hRule="atLeast"/>
              </w:trPr>
              <w:tc>
                <w:tcPr>
                  <w:tcW w:w="682" w:type="dxa"/>
                  <w:vAlign w:val="center"/>
                </w:tcPr>
                <w:p w14:paraId="55CA8DA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3</w:t>
                  </w:r>
                </w:p>
              </w:tc>
              <w:tc>
                <w:tcPr>
                  <w:tcW w:w="2192" w:type="dxa"/>
                  <w:vAlign w:val="center"/>
                </w:tcPr>
                <w:p w14:paraId="4264252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浊度NTU</w:t>
                  </w:r>
                </w:p>
              </w:tc>
              <w:tc>
                <w:tcPr>
                  <w:tcW w:w="1514" w:type="dxa"/>
                  <w:vAlign w:val="center"/>
                </w:tcPr>
                <w:p w14:paraId="03420E7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11"/>
                      <w:sz w:val="21"/>
                      <w:szCs w:val="21"/>
                    </w:rPr>
                    <w:t>≤5</w:t>
                  </w:r>
                </w:p>
              </w:tc>
              <w:tc>
                <w:tcPr>
                  <w:tcW w:w="1260" w:type="dxa"/>
                  <w:vAlign w:val="center"/>
                </w:tcPr>
                <w:p w14:paraId="112B94A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≤10</w:t>
                  </w:r>
                </w:p>
              </w:tc>
              <w:tc>
                <w:tcPr>
                  <w:tcW w:w="1042" w:type="dxa"/>
                  <w:vAlign w:val="center"/>
                </w:tcPr>
                <w:p w14:paraId="5300CB7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≤10</w:t>
                  </w:r>
                </w:p>
              </w:tc>
              <w:tc>
                <w:tcPr>
                  <w:tcW w:w="1039" w:type="dxa"/>
                  <w:vAlign w:val="center"/>
                </w:tcPr>
                <w:p w14:paraId="5DAAD76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11"/>
                      <w:sz w:val="21"/>
                      <w:szCs w:val="21"/>
                    </w:rPr>
                    <w:t>≤5</w:t>
                  </w:r>
                </w:p>
              </w:tc>
              <w:tc>
                <w:tcPr>
                  <w:tcW w:w="1047" w:type="dxa"/>
                  <w:vAlign w:val="center"/>
                </w:tcPr>
                <w:p w14:paraId="42F96C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≤20</w:t>
                  </w:r>
                </w:p>
              </w:tc>
            </w:tr>
            <w:tr w14:paraId="7202E9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 w:hRule="atLeast"/>
              </w:trPr>
              <w:tc>
                <w:tcPr>
                  <w:tcW w:w="682" w:type="dxa"/>
                  <w:vAlign w:val="center"/>
                </w:tcPr>
                <w:p w14:paraId="401B049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4</w:t>
                  </w:r>
                </w:p>
              </w:tc>
              <w:tc>
                <w:tcPr>
                  <w:tcW w:w="2192" w:type="dxa"/>
                  <w:vAlign w:val="center"/>
                </w:tcPr>
                <w:p w14:paraId="00612BE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2"/>
                      <w:position w:val="2"/>
                      <w:sz w:val="21"/>
                      <w:szCs w:val="21"/>
                    </w:rPr>
                    <w:t>溶解性总固体mg/L</w:t>
                  </w:r>
                </w:p>
              </w:tc>
              <w:tc>
                <w:tcPr>
                  <w:tcW w:w="1514" w:type="dxa"/>
                  <w:vAlign w:val="center"/>
                </w:tcPr>
                <w:p w14:paraId="6B1ED09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5"/>
                      <w:sz w:val="21"/>
                      <w:szCs w:val="21"/>
                    </w:rPr>
                    <w:t>≤1500</w:t>
                  </w:r>
                </w:p>
              </w:tc>
              <w:tc>
                <w:tcPr>
                  <w:tcW w:w="1260" w:type="dxa"/>
                  <w:vAlign w:val="center"/>
                </w:tcPr>
                <w:p w14:paraId="37B0AD7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5"/>
                      <w:sz w:val="21"/>
                      <w:szCs w:val="21"/>
                    </w:rPr>
                    <w:t>≤1500</w:t>
                  </w:r>
                </w:p>
              </w:tc>
              <w:tc>
                <w:tcPr>
                  <w:tcW w:w="1042" w:type="dxa"/>
                  <w:vAlign w:val="center"/>
                </w:tcPr>
                <w:p w14:paraId="25235FC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5"/>
                      <w:sz w:val="21"/>
                      <w:szCs w:val="21"/>
                    </w:rPr>
                    <w:t>≤1000</w:t>
                  </w:r>
                </w:p>
              </w:tc>
              <w:tc>
                <w:tcPr>
                  <w:tcW w:w="1039" w:type="dxa"/>
                  <w:vAlign w:val="center"/>
                </w:tcPr>
                <w:p w14:paraId="52A65D2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5"/>
                      <w:sz w:val="21"/>
                      <w:szCs w:val="21"/>
                    </w:rPr>
                    <w:t>≤1000</w:t>
                  </w:r>
                </w:p>
              </w:tc>
              <w:tc>
                <w:tcPr>
                  <w:tcW w:w="1047" w:type="dxa"/>
                  <w:vAlign w:val="center"/>
                </w:tcPr>
                <w:p w14:paraId="317C85C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position w:val="-6"/>
                      <w:sz w:val="21"/>
                      <w:szCs w:val="21"/>
                    </w:rPr>
                    <w:t>-</w:t>
                  </w:r>
                </w:p>
              </w:tc>
            </w:tr>
            <w:tr w14:paraId="2B8EF1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9" w:hRule="atLeast"/>
              </w:trPr>
              <w:tc>
                <w:tcPr>
                  <w:tcW w:w="682" w:type="dxa"/>
                  <w:vAlign w:val="center"/>
                </w:tcPr>
                <w:p w14:paraId="6C92E18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5</w:t>
                  </w:r>
                </w:p>
              </w:tc>
              <w:tc>
                <w:tcPr>
                  <w:tcW w:w="2192" w:type="dxa"/>
                  <w:vAlign w:val="center"/>
                </w:tcPr>
                <w:p w14:paraId="0C1A220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3"/>
                      <w:sz w:val="21"/>
                      <w:szCs w:val="21"/>
                    </w:rPr>
                    <w:t>五日生化需氧量mg/L</w:t>
                  </w:r>
                </w:p>
              </w:tc>
              <w:tc>
                <w:tcPr>
                  <w:tcW w:w="1514" w:type="dxa"/>
                  <w:vAlign w:val="center"/>
                </w:tcPr>
                <w:p w14:paraId="5F1E2B6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≤10</w:t>
                  </w:r>
                </w:p>
              </w:tc>
              <w:tc>
                <w:tcPr>
                  <w:tcW w:w="1260" w:type="dxa"/>
                  <w:vAlign w:val="center"/>
                </w:tcPr>
                <w:p w14:paraId="31F530D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≤15</w:t>
                  </w:r>
                </w:p>
              </w:tc>
              <w:tc>
                <w:tcPr>
                  <w:tcW w:w="1042" w:type="dxa"/>
                  <w:vAlign w:val="center"/>
                </w:tcPr>
                <w:p w14:paraId="30C13C7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≤20</w:t>
                  </w:r>
                </w:p>
              </w:tc>
              <w:tc>
                <w:tcPr>
                  <w:tcW w:w="1039" w:type="dxa"/>
                  <w:vAlign w:val="center"/>
                </w:tcPr>
                <w:p w14:paraId="03FC4DE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≤10</w:t>
                  </w:r>
                </w:p>
              </w:tc>
              <w:tc>
                <w:tcPr>
                  <w:tcW w:w="1047" w:type="dxa"/>
                  <w:vAlign w:val="center"/>
                </w:tcPr>
                <w:p w14:paraId="5604FAD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≤15</w:t>
                  </w:r>
                </w:p>
              </w:tc>
            </w:tr>
            <w:tr w14:paraId="15C36D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 w:hRule="atLeast"/>
              </w:trPr>
              <w:tc>
                <w:tcPr>
                  <w:tcW w:w="682" w:type="dxa"/>
                  <w:vAlign w:val="center"/>
                </w:tcPr>
                <w:p w14:paraId="3267986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6</w:t>
                  </w:r>
                </w:p>
              </w:tc>
              <w:tc>
                <w:tcPr>
                  <w:tcW w:w="2192" w:type="dxa"/>
                  <w:vAlign w:val="center"/>
                </w:tcPr>
                <w:p w14:paraId="175E5C0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2"/>
                      <w:position w:val="2"/>
                      <w:sz w:val="21"/>
                      <w:szCs w:val="21"/>
                    </w:rPr>
                    <w:t>氨氮mg/L</w:t>
                  </w:r>
                </w:p>
              </w:tc>
              <w:tc>
                <w:tcPr>
                  <w:tcW w:w="1514" w:type="dxa"/>
                  <w:vAlign w:val="center"/>
                </w:tcPr>
                <w:p w14:paraId="4B9C26B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≤10</w:t>
                  </w:r>
                </w:p>
              </w:tc>
              <w:tc>
                <w:tcPr>
                  <w:tcW w:w="1260" w:type="dxa"/>
                  <w:vAlign w:val="center"/>
                </w:tcPr>
                <w:p w14:paraId="7DDD641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≤10</w:t>
                  </w:r>
                </w:p>
              </w:tc>
              <w:tc>
                <w:tcPr>
                  <w:tcW w:w="1042" w:type="dxa"/>
                  <w:vAlign w:val="center"/>
                </w:tcPr>
                <w:p w14:paraId="27676FD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≤20</w:t>
                  </w:r>
                </w:p>
              </w:tc>
              <w:tc>
                <w:tcPr>
                  <w:tcW w:w="1039" w:type="dxa"/>
                  <w:vAlign w:val="center"/>
                </w:tcPr>
                <w:p w14:paraId="44CD624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≤10</w:t>
                  </w:r>
                </w:p>
              </w:tc>
              <w:tc>
                <w:tcPr>
                  <w:tcW w:w="1047" w:type="dxa"/>
                  <w:vAlign w:val="center"/>
                </w:tcPr>
                <w:p w14:paraId="0BD1511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≤20</w:t>
                  </w:r>
                </w:p>
              </w:tc>
            </w:tr>
            <w:tr w14:paraId="6A8939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7" w:hRule="atLeast"/>
              </w:trPr>
              <w:tc>
                <w:tcPr>
                  <w:tcW w:w="682" w:type="dxa"/>
                  <w:vAlign w:val="center"/>
                </w:tcPr>
                <w:p w14:paraId="53C6A2B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7</w:t>
                  </w:r>
                </w:p>
              </w:tc>
              <w:tc>
                <w:tcPr>
                  <w:tcW w:w="2192" w:type="dxa"/>
                  <w:vAlign w:val="center"/>
                </w:tcPr>
                <w:p w14:paraId="682287D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3"/>
                      <w:sz w:val="21"/>
                      <w:szCs w:val="21"/>
                    </w:rPr>
                    <w:t>阴离子表面活性剂</w:t>
                  </w:r>
                </w:p>
                <w:p w14:paraId="2B50B17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mg/L</w:t>
                  </w:r>
                </w:p>
              </w:tc>
              <w:tc>
                <w:tcPr>
                  <w:tcW w:w="1514" w:type="dxa"/>
                  <w:vAlign w:val="center"/>
                </w:tcPr>
                <w:p w14:paraId="2A0B63A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≤1.0</w:t>
                  </w:r>
                </w:p>
              </w:tc>
              <w:tc>
                <w:tcPr>
                  <w:tcW w:w="1260" w:type="dxa"/>
                  <w:vAlign w:val="center"/>
                </w:tcPr>
                <w:p w14:paraId="2B24351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≤1.0</w:t>
                  </w:r>
                </w:p>
              </w:tc>
              <w:tc>
                <w:tcPr>
                  <w:tcW w:w="1042" w:type="dxa"/>
                  <w:vAlign w:val="center"/>
                </w:tcPr>
                <w:p w14:paraId="540485F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≤1.0</w:t>
                  </w:r>
                </w:p>
              </w:tc>
              <w:tc>
                <w:tcPr>
                  <w:tcW w:w="1039" w:type="dxa"/>
                  <w:vAlign w:val="center"/>
                </w:tcPr>
                <w:p w14:paraId="11EE204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≤0.5</w:t>
                  </w:r>
                </w:p>
              </w:tc>
              <w:tc>
                <w:tcPr>
                  <w:tcW w:w="1047" w:type="dxa"/>
                  <w:vAlign w:val="center"/>
                </w:tcPr>
                <w:p w14:paraId="526A651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≤1.0</w:t>
                  </w:r>
                </w:p>
              </w:tc>
            </w:tr>
            <w:tr w14:paraId="6F2D86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 w:hRule="atLeast"/>
              </w:trPr>
              <w:tc>
                <w:tcPr>
                  <w:tcW w:w="682" w:type="dxa"/>
                  <w:vAlign w:val="center"/>
                </w:tcPr>
                <w:p w14:paraId="67AA342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8</w:t>
                  </w:r>
                </w:p>
              </w:tc>
              <w:tc>
                <w:tcPr>
                  <w:tcW w:w="2192" w:type="dxa"/>
                  <w:vAlign w:val="center"/>
                </w:tcPr>
                <w:p w14:paraId="36F9C34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铁</w:t>
                  </w:r>
                </w:p>
              </w:tc>
              <w:tc>
                <w:tcPr>
                  <w:tcW w:w="1514" w:type="dxa"/>
                  <w:vAlign w:val="center"/>
                </w:tcPr>
                <w:p w14:paraId="29025B0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≤0.3</w:t>
                  </w:r>
                </w:p>
              </w:tc>
              <w:tc>
                <w:tcPr>
                  <w:tcW w:w="1260" w:type="dxa"/>
                  <w:vAlign w:val="center"/>
                </w:tcPr>
                <w:p w14:paraId="74E5EB8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position w:val="-6"/>
                      <w:sz w:val="21"/>
                      <w:szCs w:val="21"/>
                    </w:rPr>
                    <w:t>-</w:t>
                  </w:r>
                </w:p>
              </w:tc>
              <w:tc>
                <w:tcPr>
                  <w:tcW w:w="1042" w:type="dxa"/>
                  <w:vAlign w:val="center"/>
                </w:tcPr>
                <w:p w14:paraId="5DE23E2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position w:val="-6"/>
                      <w:sz w:val="21"/>
                      <w:szCs w:val="21"/>
                    </w:rPr>
                    <w:t>-</w:t>
                  </w:r>
                </w:p>
              </w:tc>
              <w:tc>
                <w:tcPr>
                  <w:tcW w:w="1039" w:type="dxa"/>
                  <w:vAlign w:val="center"/>
                </w:tcPr>
                <w:p w14:paraId="3F14DD5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≤0.3</w:t>
                  </w:r>
                </w:p>
              </w:tc>
              <w:tc>
                <w:tcPr>
                  <w:tcW w:w="1047" w:type="dxa"/>
                  <w:vAlign w:val="center"/>
                </w:tcPr>
                <w:p w14:paraId="48571CF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position w:val="-6"/>
                      <w:sz w:val="21"/>
                      <w:szCs w:val="21"/>
                    </w:rPr>
                    <w:t>-</w:t>
                  </w:r>
                </w:p>
              </w:tc>
            </w:tr>
            <w:tr w14:paraId="03F217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 w:hRule="atLeast"/>
              </w:trPr>
              <w:tc>
                <w:tcPr>
                  <w:tcW w:w="682" w:type="dxa"/>
                  <w:vAlign w:val="center"/>
                </w:tcPr>
                <w:p w14:paraId="26E6836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9</w:t>
                  </w:r>
                </w:p>
              </w:tc>
              <w:tc>
                <w:tcPr>
                  <w:tcW w:w="2192" w:type="dxa"/>
                  <w:vAlign w:val="center"/>
                </w:tcPr>
                <w:p w14:paraId="13E3D43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锰</w:t>
                  </w:r>
                </w:p>
              </w:tc>
              <w:tc>
                <w:tcPr>
                  <w:tcW w:w="1514" w:type="dxa"/>
                  <w:vAlign w:val="center"/>
                </w:tcPr>
                <w:p w14:paraId="536A1BA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≤0.1</w:t>
                  </w:r>
                </w:p>
              </w:tc>
              <w:tc>
                <w:tcPr>
                  <w:tcW w:w="1260" w:type="dxa"/>
                  <w:vAlign w:val="center"/>
                </w:tcPr>
                <w:p w14:paraId="596CF43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position w:val="-6"/>
                      <w:sz w:val="21"/>
                      <w:szCs w:val="21"/>
                    </w:rPr>
                    <w:t>-</w:t>
                  </w:r>
                </w:p>
              </w:tc>
              <w:tc>
                <w:tcPr>
                  <w:tcW w:w="1042" w:type="dxa"/>
                  <w:vAlign w:val="center"/>
                </w:tcPr>
                <w:p w14:paraId="0053518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position w:val="-6"/>
                      <w:sz w:val="21"/>
                      <w:szCs w:val="21"/>
                    </w:rPr>
                    <w:t>-</w:t>
                  </w:r>
                </w:p>
              </w:tc>
              <w:tc>
                <w:tcPr>
                  <w:tcW w:w="1039" w:type="dxa"/>
                  <w:vAlign w:val="center"/>
                </w:tcPr>
                <w:p w14:paraId="54D6E03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≤0.1</w:t>
                  </w:r>
                </w:p>
              </w:tc>
              <w:tc>
                <w:tcPr>
                  <w:tcW w:w="1047" w:type="dxa"/>
                  <w:vAlign w:val="center"/>
                </w:tcPr>
                <w:p w14:paraId="4345086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position w:val="-6"/>
                      <w:sz w:val="21"/>
                      <w:szCs w:val="21"/>
                    </w:rPr>
                    <w:t>-</w:t>
                  </w:r>
                </w:p>
              </w:tc>
            </w:tr>
            <w:tr w14:paraId="692468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 w:hRule="atLeast"/>
              </w:trPr>
              <w:tc>
                <w:tcPr>
                  <w:tcW w:w="682" w:type="dxa"/>
                  <w:vAlign w:val="center"/>
                </w:tcPr>
                <w:p w14:paraId="4484EDA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10</w:t>
                  </w:r>
                </w:p>
              </w:tc>
              <w:tc>
                <w:tcPr>
                  <w:tcW w:w="2192" w:type="dxa"/>
                  <w:vAlign w:val="center"/>
                </w:tcPr>
                <w:p w14:paraId="5EAC968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2"/>
                      <w:position w:val="2"/>
                      <w:sz w:val="21"/>
                      <w:szCs w:val="21"/>
                    </w:rPr>
                    <w:t>溶解氧mg/L</w:t>
                  </w:r>
                </w:p>
              </w:tc>
              <w:tc>
                <w:tcPr>
                  <w:tcW w:w="5902" w:type="dxa"/>
                  <w:gridSpan w:val="5"/>
                  <w:vAlign w:val="center"/>
                </w:tcPr>
                <w:p w14:paraId="45997CB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7"/>
                      <w:sz w:val="21"/>
                      <w:szCs w:val="21"/>
                    </w:rPr>
                    <w:t>1.0</w:t>
                  </w:r>
                </w:p>
              </w:tc>
            </w:tr>
            <w:tr w14:paraId="019A48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 w:hRule="atLeast"/>
              </w:trPr>
              <w:tc>
                <w:tcPr>
                  <w:tcW w:w="682" w:type="dxa"/>
                  <w:vAlign w:val="center"/>
                </w:tcPr>
                <w:p w14:paraId="2FD60A9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11</w:t>
                  </w:r>
                </w:p>
              </w:tc>
              <w:tc>
                <w:tcPr>
                  <w:tcW w:w="2192" w:type="dxa"/>
                  <w:vAlign w:val="center"/>
                </w:tcPr>
                <w:p w14:paraId="654DC12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4"/>
                      <w:sz w:val="21"/>
                      <w:szCs w:val="21"/>
                    </w:rPr>
                    <w:t>总余氯</w:t>
                  </w:r>
                </w:p>
              </w:tc>
              <w:tc>
                <w:tcPr>
                  <w:tcW w:w="5902" w:type="dxa"/>
                  <w:gridSpan w:val="5"/>
                  <w:vAlign w:val="center"/>
                </w:tcPr>
                <w:p w14:paraId="06613FA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3"/>
                      <w:sz w:val="21"/>
                      <w:szCs w:val="21"/>
                    </w:rPr>
                    <w:t>接触30min后≥1.0，管网末端≥0.2</w:t>
                  </w:r>
                </w:p>
              </w:tc>
            </w:tr>
            <w:tr w14:paraId="1FAB06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6" w:hRule="atLeast"/>
              </w:trPr>
              <w:tc>
                <w:tcPr>
                  <w:tcW w:w="682" w:type="dxa"/>
                  <w:vAlign w:val="center"/>
                </w:tcPr>
                <w:p w14:paraId="6E56463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12</w:t>
                  </w:r>
                </w:p>
              </w:tc>
              <w:tc>
                <w:tcPr>
                  <w:tcW w:w="2192" w:type="dxa"/>
                  <w:vAlign w:val="center"/>
                </w:tcPr>
                <w:p w14:paraId="3BA5FF0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3"/>
                      <w:position w:val="1"/>
                      <w:sz w:val="21"/>
                      <w:szCs w:val="21"/>
                    </w:rPr>
                    <w:t>总大肠菌群个/L</w:t>
                  </w:r>
                </w:p>
              </w:tc>
              <w:tc>
                <w:tcPr>
                  <w:tcW w:w="5902" w:type="dxa"/>
                  <w:gridSpan w:val="5"/>
                  <w:vAlign w:val="center"/>
                </w:tcPr>
                <w:p w14:paraId="772E460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11"/>
                      <w:sz w:val="21"/>
                      <w:szCs w:val="21"/>
                    </w:rPr>
                    <w:t>≤3</w:t>
                  </w:r>
                </w:p>
              </w:tc>
            </w:tr>
          </w:tbl>
          <w:p w14:paraId="394D2D00">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表</w:t>
            </w:r>
            <w:r>
              <w:rPr>
                <w:rFonts w:hint="eastAsia" w:ascii="Times New Roman" w:hAnsi="Times New Roman" w:eastAsia="宋体" w:cs="Times New Roman"/>
                <w:b w:val="0"/>
                <w:bCs/>
                <w:color w:val="auto"/>
                <w:spacing w:val="0"/>
                <w:w w:val="100"/>
                <w:sz w:val="21"/>
                <w:szCs w:val="21"/>
                <w:lang w:val="en-US" w:eastAsia="zh-CN"/>
              </w:rPr>
              <w:t>3-10</w:t>
            </w:r>
            <w:r>
              <w:rPr>
                <w:rFonts w:hint="default" w:ascii="Times New Roman" w:hAnsi="Times New Roman" w:eastAsia="宋体" w:cs="Times New Roman"/>
                <w:b w:val="0"/>
                <w:bCs/>
                <w:color w:val="auto"/>
                <w:spacing w:val="0"/>
                <w:w w:val="100"/>
                <w:sz w:val="21"/>
                <w:szCs w:val="21"/>
                <w:lang w:val="en-US" w:eastAsia="zh-CN"/>
              </w:rPr>
              <w:t xml:space="preserve">  工业用水水质</w:t>
            </w:r>
          </w:p>
          <w:tbl>
            <w:tblPr>
              <w:tblStyle w:val="58"/>
              <w:tblW w:w="901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3"/>
              <w:gridCol w:w="2663"/>
              <w:gridCol w:w="1131"/>
              <w:gridCol w:w="1291"/>
              <w:gridCol w:w="965"/>
              <w:gridCol w:w="1128"/>
              <w:gridCol w:w="1136"/>
            </w:tblGrid>
            <w:tr w14:paraId="70801E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jc w:val="center"/>
              </w:trPr>
              <w:tc>
                <w:tcPr>
                  <w:tcW w:w="703" w:type="dxa"/>
                  <w:vMerge w:val="restart"/>
                  <w:tcBorders>
                    <w:bottom w:val="nil"/>
                  </w:tcBorders>
                  <w:vAlign w:val="center"/>
                </w:tcPr>
                <w:p w14:paraId="1CDB5BF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4"/>
                      <w:sz w:val="21"/>
                      <w:szCs w:val="21"/>
                    </w:rPr>
                    <w:t>序号</w:t>
                  </w:r>
                </w:p>
              </w:tc>
              <w:tc>
                <w:tcPr>
                  <w:tcW w:w="2663" w:type="dxa"/>
                  <w:vMerge w:val="restart"/>
                  <w:tcBorders>
                    <w:bottom w:val="nil"/>
                  </w:tcBorders>
                  <w:vAlign w:val="center"/>
                </w:tcPr>
                <w:p w14:paraId="4339952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5"/>
                      <w:sz w:val="21"/>
                      <w:szCs w:val="21"/>
                    </w:rPr>
                    <w:t>项目</w:t>
                  </w:r>
                </w:p>
              </w:tc>
              <w:tc>
                <w:tcPr>
                  <w:tcW w:w="2422" w:type="dxa"/>
                  <w:gridSpan w:val="2"/>
                  <w:vAlign w:val="center"/>
                </w:tcPr>
                <w:p w14:paraId="3B765A5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4"/>
                      <w:sz w:val="21"/>
                      <w:szCs w:val="21"/>
                    </w:rPr>
                    <w:t>冷却用水</w:t>
                  </w:r>
                </w:p>
              </w:tc>
              <w:tc>
                <w:tcPr>
                  <w:tcW w:w="965" w:type="dxa"/>
                  <w:vMerge w:val="restart"/>
                  <w:tcBorders>
                    <w:bottom w:val="nil"/>
                  </w:tcBorders>
                  <w:vAlign w:val="center"/>
                </w:tcPr>
                <w:p w14:paraId="7954050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4"/>
                      <w:sz w:val="21"/>
                      <w:szCs w:val="21"/>
                    </w:rPr>
                    <w:t>洗涤用</w:t>
                  </w:r>
                </w:p>
                <w:p w14:paraId="6DD019D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3"/>
                      <w:sz w:val="21"/>
                      <w:szCs w:val="21"/>
                    </w:rPr>
                    <w:t>水</w:t>
                  </w:r>
                </w:p>
              </w:tc>
              <w:tc>
                <w:tcPr>
                  <w:tcW w:w="1128" w:type="dxa"/>
                  <w:vMerge w:val="restart"/>
                  <w:tcBorders>
                    <w:bottom w:val="nil"/>
                  </w:tcBorders>
                  <w:vAlign w:val="center"/>
                </w:tcPr>
                <w:p w14:paraId="79CBE51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3"/>
                      <w:sz w:val="21"/>
                      <w:szCs w:val="21"/>
                    </w:rPr>
                    <w:t>锅炉补给</w:t>
                  </w:r>
                </w:p>
                <w:p w14:paraId="66D4478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3"/>
                      <w:sz w:val="21"/>
                      <w:szCs w:val="21"/>
                    </w:rPr>
                    <w:t>水</w:t>
                  </w:r>
                </w:p>
              </w:tc>
              <w:tc>
                <w:tcPr>
                  <w:tcW w:w="1136" w:type="dxa"/>
                  <w:vMerge w:val="restart"/>
                  <w:tcBorders>
                    <w:bottom w:val="nil"/>
                  </w:tcBorders>
                  <w:vAlign w:val="center"/>
                </w:tcPr>
                <w:p w14:paraId="64B732F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4"/>
                      <w:sz w:val="21"/>
                      <w:szCs w:val="21"/>
                    </w:rPr>
                    <w:t>工艺与产</w:t>
                  </w:r>
                  <w:r>
                    <w:rPr>
                      <w:rFonts w:hint="default" w:ascii="Times New Roman" w:hAnsi="Times New Roman" w:eastAsia="宋体" w:cs="Times New Roman"/>
                      <w:b w:val="0"/>
                      <w:bCs w:val="0"/>
                      <w:spacing w:val="-6"/>
                      <w:sz w:val="21"/>
                      <w:szCs w:val="21"/>
                    </w:rPr>
                    <w:t>品用水-</w:t>
                  </w:r>
                  <w:r>
                    <w:rPr>
                      <w:rFonts w:hint="default" w:ascii="Times New Roman" w:hAnsi="Times New Roman" w:eastAsia="宋体" w:cs="Times New Roman"/>
                      <w:b w:val="0"/>
                      <w:bCs w:val="0"/>
                      <w:spacing w:val="-8"/>
                      <w:sz w:val="21"/>
                      <w:szCs w:val="21"/>
                    </w:rPr>
                    <w:t>原水</w:t>
                  </w:r>
                </w:p>
              </w:tc>
            </w:tr>
            <w:tr w14:paraId="558A06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6" w:hRule="atLeast"/>
                <w:jc w:val="center"/>
              </w:trPr>
              <w:tc>
                <w:tcPr>
                  <w:tcW w:w="703" w:type="dxa"/>
                  <w:vMerge w:val="continue"/>
                  <w:tcBorders>
                    <w:top w:val="nil"/>
                  </w:tcBorders>
                  <w:vAlign w:val="center"/>
                </w:tcPr>
                <w:p w14:paraId="0014B51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2663" w:type="dxa"/>
                  <w:vMerge w:val="continue"/>
                  <w:tcBorders>
                    <w:top w:val="nil"/>
                  </w:tcBorders>
                  <w:vAlign w:val="center"/>
                </w:tcPr>
                <w:p w14:paraId="112DC1D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1131" w:type="dxa"/>
                  <w:vAlign w:val="center"/>
                </w:tcPr>
                <w:p w14:paraId="3AC48DC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4"/>
                      <w:sz w:val="21"/>
                      <w:szCs w:val="21"/>
                    </w:rPr>
                    <w:t>直流冷却</w:t>
                  </w:r>
                </w:p>
                <w:p w14:paraId="1FB467B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3"/>
                      <w:sz w:val="21"/>
                      <w:szCs w:val="21"/>
                    </w:rPr>
                    <w:t>水</w:t>
                  </w:r>
                </w:p>
              </w:tc>
              <w:tc>
                <w:tcPr>
                  <w:tcW w:w="1291" w:type="dxa"/>
                  <w:vAlign w:val="center"/>
                </w:tcPr>
                <w:p w14:paraId="6441E89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敞开式循环</w:t>
                  </w:r>
                  <w:r>
                    <w:rPr>
                      <w:rFonts w:hint="default" w:ascii="Times New Roman" w:hAnsi="Times New Roman" w:eastAsia="宋体" w:cs="Times New Roman"/>
                      <w:b w:val="0"/>
                      <w:bCs w:val="0"/>
                      <w:spacing w:val="-3"/>
                      <w:sz w:val="21"/>
                      <w:szCs w:val="21"/>
                    </w:rPr>
                    <w:t>冷却水系统</w:t>
                  </w:r>
                  <w:r>
                    <w:rPr>
                      <w:rFonts w:hint="default" w:ascii="Times New Roman" w:hAnsi="Times New Roman" w:eastAsia="宋体" w:cs="Times New Roman"/>
                      <w:b w:val="0"/>
                      <w:bCs w:val="0"/>
                      <w:spacing w:val="-6"/>
                      <w:sz w:val="21"/>
                      <w:szCs w:val="21"/>
                    </w:rPr>
                    <w:t>补水</w:t>
                  </w:r>
                </w:p>
              </w:tc>
              <w:tc>
                <w:tcPr>
                  <w:tcW w:w="965" w:type="dxa"/>
                  <w:vMerge w:val="continue"/>
                  <w:tcBorders>
                    <w:top w:val="nil"/>
                  </w:tcBorders>
                  <w:vAlign w:val="center"/>
                </w:tcPr>
                <w:p w14:paraId="02EF211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1128" w:type="dxa"/>
                  <w:vMerge w:val="continue"/>
                  <w:tcBorders>
                    <w:top w:val="nil"/>
                  </w:tcBorders>
                  <w:vAlign w:val="center"/>
                </w:tcPr>
                <w:p w14:paraId="5CCA8C1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1136" w:type="dxa"/>
                  <w:vMerge w:val="continue"/>
                  <w:tcBorders>
                    <w:top w:val="nil"/>
                  </w:tcBorders>
                  <w:vAlign w:val="center"/>
                </w:tcPr>
                <w:p w14:paraId="4F6B7F2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r>
            <w:tr w14:paraId="169DC0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03" w:type="dxa"/>
                  <w:vAlign w:val="center"/>
                </w:tcPr>
                <w:p w14:paraId="4D21530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2663" w:type="dxa"/>
                  <w:vAlign w:val="center"/>
                </w:tcPr>
                <w:p w14:paraId="27BB11B8">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PH</w:t>
                  </w:r>
                </w:p>
              </w:tc>
              <w:tc>
                <w:tcPr>
                  <w:tcW w:w="1131" w:type="dxa"/>
                  <w:vAlign w:val="center"/>
                </w:tcPr>
                <w:p w14:paraId="5038BC0F">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6.0</w:t>
                  </w:r>
                  <w:r>
                    <w:rPr>
                      <w:rFonts w:hint="eastAsia" w:ascii="Times New Roman" w:hAnsi="Times New Roman" w:cs="Times New Roman"/>
                      <w:spacing w:val="-1"/>
                      <w:sz w:val="21"/>
                      <w:szCs w:val="21"/>
                      <w:lang w:eastAsia="zh-CN"/>
                    </w:rPr>
                    <w:t>-</w:t>
                  </w:r>
                  <w:r>
                    <w:rPr>
                      <w:rFonts w:hint="default" w:ascii="Times New Roman" w:hAnsi="Times New Roman" w:eastAsia="宋体" w:cs="Times New Roman"/>
                      <w:spacing w:val="-1"/>
                      <w:sz w:val="21"/>
                      <w:szCs w:val="21"/>
                    </w:rPr>
                    <w:t>9.0</w:t>
                  </w:r>
                </w:p>
              </w:tc>
              <w:tc>
                <w:tcPr>
                  <w:tcW w:w="1291" w:type="dxa"/>
                  <w:vAlign w:val="center"/>
                </w:tcPr>
                <w:p w14:paraId="3DD042F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6.5</w:t>
                  </w:r>
                  <w:r>
                    <w:rPr>
                      <w:rFonts w:hint="eastAsia" w:ascii="Times New Roman" w:hAnsi="Times New Roman" w:cs="Times New Roman"/>
                      <w:spacing w:val="-1"/>
                      <w:sz w:val="21"/>
                      <w:szCs w:val="21"/>
                      <w:lang w:eastAsia="zh-CN"/>
                    </w:rPr>
                    <w:t>-</w:t>
                  </w:r>
                  <w:r>
                    <w:rPr>
                      <w:rFonts w:hint="default" w:ascii="Times New Roman" w:hAnsi="Times New Roman" w:eastAsia="宋体" w:cs="Times New Roman"/>
                      <w:spacing w:val="-1"/>
                      <w:sz w:val="21"/>
                      <w:szCs w:val="21"/>
                    </w:rPr>
                    <w:t>8.5</w:t>
                  </w:r>
                </w:p>
              </w:tc>
              <w:tc>
                <w:tcPr>
                  <w:tcW w:w="965" w:type="dxa"/>
                  <w:vAlign w:val="center"/>
                </w:tcPr>
                <w:p w14:paraId="1EBCAAA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6.0</w:t>
                  </w:r>
                  <w:r>
                    <w:rPr>
                      <w:rFonts w:hint="eastAsia" w:ascii="Times New Roman" w:hAnsi="Times New Roman" w:cs="Times New Roman"/>
                      <w:spacing w:val="-1"/>
                      <w:sz w:val="21"/>
                      <w:szCs w:val="21"/>
                      <w:lang w:eastAsia="zh-CN"/>
                    </w:rPr>
                    <w:t>-</w:t>
                  </w:r>
                  <w:r>
                    <w:rPr>
                      <w:rFonts w:hint="default" w:ascii="Times New Roman" w:hAnsi="Times New Roman" w:eastAsia="宋体" w:cs="Times New Roman"/>
                      <w:spacing w:val="-1"/>
                      <w:sz w:val="21"/>
                      <w:szCs w:val="21"/>
                    </w:rPr>
                    <w:t>9.0</w:t>
                  </w:r>
                </w:p>
              </w:tc>
              <w:tc>
                <w:tcPr>
                  <w:tcW w:w="1128" w:type="dxa"/>
                  <w:vAlign w:val="center"/>
                </w:tcPr>
                <w:p w14:paraId="528AAD4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6.5</w:t>
                  </w:r>
                  <w:r>
                    <w:rPr>
                      <w:rFonts w:hint="eastAsia" w:ascii="Times New Roman" w:hAnsi="Times New Roman" w:cs="Times New Roman"/>
                      <w:spacing w:val="-1"/>
                      <w:sz w:val="21"/>
                      <w:szCs w:val="21"/>
                      <w:lang w:eastAsia="zh-CN"/>
                    </w:rPr>
                    <w:t>-</w:t>
                  </w:r>
                  <w:r>
                    <w:rPr>
                      <w:rFonts w:hint="default" w:ascii="Times New Roman" w:hAnsi="Times New Roman" w:eastAsia="宋体" w:cs="Times New Roman"/>
                      <w:spacing w:val="-1"/>
                      <w:sz w:val="21"/>
                      <w:szCs w:val="21"/>
                    </w:rPr>
                    <w:t>8.5</w:t>
                  </w:r>
                </w:p>
              </w:tc>
              <w:tc>
                <w:tcPr>
                  <w:tcW w:w="1136" w:type="dxa"/>
                  <w:vAlign w:val="center"/>
                </w:tcPr>
                <w:p w14:paraId="0B8DECB2">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6.5</w:t>
                  </w:r>
                  <w:r>
                    <w:rPr>
                      <w:rFonts w:hint="eastAsia" w:ascii="Times New Roman" w:hAnsi="Times New Roman" w:cs="Times New Roman"/>
                      <w:spacing w:val="-1"/>
                      <w:sz w:val="21"/>
                      <w:szCs w:val="21"/>
                      <w:lang w:eastAsia="zh-CN"/>
                    </w:rPr>
                    <w:t>-</w:t>
                  </w:r>
                  <w:r>
                    <w:rPr>
                      <w:rFonts w:hint="default" w:ascii="Times New Roman" w:hAnsi="Times New Roman" w:eastAsia="宋体" w:cs="Times New Roman"/>
                      <w:spacing w:val="-1"/>
                      <w:sz w:val="21"/>
                      <w:szCs w:val="21"/>
                    </w:rPr>
                    <w:t>8.5</w:t>
                  </w:r>
                </w:p>
              </w:tc>
            </w:tr>
            <w:tr w14:paraId="030A54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03" w:type="dxa"/>
                  <w:vAlign w:val="center"/>
                </w:tcPr>
                <w:p w14:paraId="5DFF6D8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2663" w:type="dxa"/>
                  <w:vAlign w:val="center"/>
                </w:tcPr>
                <w:p w14:paraId="05E58B8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SS（mg/L）</w:t>
                  </w:r>
                </w:p>
              </w:tc>
              <w:tc>
                <w:tcPr>
                  <w:tcW w:w="1131" w:type="dxa"/>
                  <w:vAlign w:val="center"/>
                </w:tcPr>
                <w:p w14:paraId="5FDA71B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≤30</w:t>
                  </w:r>
                </w:p>
              </w:tc>
              <w:tc>
                <w:tcPr>
                  <w:tcW w:w="1291" w:type="dxa"/>
                  <w:vAlign w:val="center"/>
                </w:tcPr>
                <w:p w14:paraId="718796A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965" w:type="dxa"/>
                  <w:vAlign w:val="center"/>
                </w:tcPr>
                <w:p w14:paraId="7738F80E">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≤30</w:t>
                  </w:r>
                </w:p>
              </w:tc>
              <w:tc>
                <w:tcPr>
                  <w:tcW w:w="1128" w:type="dxa"/>
                  <w:vAlign w:val="center"/>
                </w:tcPr>
                <w:p w14:paraId="4DE05A3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136" w:type="dxa"/>
                  <w:vAlign w:val="center"/>
                </w:tcPr>
                <w:p w14:paraId="5955C1E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r>
            <w:tr w14:paraId="71AA7F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703" w:type="dxa"/>
                  <w:vAlign w:val="center"/>
                </w:tcPr>
                <w:p w14:paraId="53EFB70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2663" w:type="dxa"/>
                  <w:vAlign w:val="center"/>
                </w:tcPr>
                <w:p w14:paraId="1065740D">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浊度（NTU）</w:t>
                  </w:r>
                </w:p>
              </w:tc>
              <w:tc>
                <w:tcPr>
                  <w:tcW w:w="1131" w:type="dxa"/>
                  <w:vAlign w:val="center"/>
                </w:tcPr>
                <w:p w14:paraId="20D527A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1291" w:type="dxa"/>
                  <w:vAlign w:val="center"/>
                </w:tcPr>
                <w:p w14:paraId="55DF395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w:t>
                  </w:r>
                </w:p>
              </w:tc>
              <w:tc>
                <w:tcPr>
                  <w:tcW w:w="965" w:type="dxa"/>
                  <w:vAlign w:val="center"/>
                </w:tcPr>
                <w:p w14:paraId="4BE41E0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p>
              </w:tc>
              <w:tc>
                <w:tcPr>
                  <w:tcW w:w="1128" w:type="dxa"/>
                  <w:vAlign w:val="center"/>
                </w:tcPr>
                <w:p w14:paraId="0404BAE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w:t>
                  </w:r>
                </w:p>
              </w:tc>
              <w:tc>
                <w:tcPr>
                  <w:tcW w:w="1136" w:type="dxa"/>
                  <w:vAlign w:val="center"/>
                </w:tcPr>
                <w:p w14:paraId="4AF0784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w:t>
                  </w:r>
                </w:p>
              </w:tc>
            </w:tr>
            <w:tr w14:paraId="61677B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03" w:type="dxa"/>
                  <w:vAlign w:val="center"/>
                </w:tcPr>
                <w:p w14:paraId="7244247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2663" w:type="dxa"/>
                  <w:vAlign w:val="center"/>
                </w:tcPr>
                <w:p w14:paraId="5D021C9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BOD</w:t>
                  </w:r>
                  <w:r>
                    <w:rPr>
                      <w:rFonts w:hint="default" w:ascii="Times New Roman" w:hAnsi="Times New Roman" w:eastAsia="宋体" w:cs="Times New Roman"/>
                      <w:spacing w:val="-1"/>
                      <w:sz w:val="21"/>
                      <w:szCs w:val="21"/>
                      <w:vertAlign w:val="subscript"/>
                    </w:rPr>
                    <w:t>5</w:t>
                  </w:r>
                  <w:r>
                    <w:rPr>
                      <w:rFonts w:hint="default" w:ascii="Times New Roman" w:hAnsi="Times New Roman" w:eastAsia="宋体" w:cs="Times New Roman"/>
                      <w:spacing w:val="-1"/>
                      <w:sz w:val="21"/>
                      <w:szCs w:val="21"/>
                    </w:rPr>
                    <w:t>（mg/L）</w:t>
                  </w:r>
                </w:p>
              </w:tc>
              <w:tc>
                <w:tcPr>
                  <w:tcW w:w="1131" w:type="dxa"/>
                  <w:vAlign w:val="center"/>
                </w:tcPr>
                <w:p w14:paraId="3BA0046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≤30</w:t>
                  </w:r>
                </w:p>
              </w:tc>
              <w:tc>
                <w:tcPr>
                  <w:tcW w:w="1291" w:type="dxa"/>
                  <w:vAlign w:val="center"/>
                </w:tcPr>
                <w:p w14:paraId="3B62F94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≤10</w:t>
                  </w:r>
                </w:p>
              </w:tc>
              <w:tc>
                <w:tcPr>
                  <w:tcW w:w="965" w:type="dxa"/>
                  <w:vAlign w:val="center"/>
                </w:tcPr>
                <w:p w14:paraId="2BF7907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≤30</w:t>
                  </w:r>
                </w:p>
              </w:tc>
              <w:tc>
                <w:tcPr>
                  <w:tcW w:w="1128" w:type="dxa"/>
                  <w:vAlign w:val="center"/>
                </w:tcPr>
                <w:p w14:paraId="268AF83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≤10</w:t>
                  </w:r>
                </w:p>
              </w:tc>
              <w:tc>
                <w:tcPr>
                  <w:tcW w:w="1136" w:type="dxa"/>
                  <w:vAlign w:val="center"/>
                </w:tcPr>
                <w:p w14:paraId="5E5898D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≤10</w:t>
                  </w:r>
                </w:p>
              </w:tc>
            </w:tr>
            <w:tr w14:paraId="48F083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703" w:type="dxa"/>
                  <w:vAlign w:val="center"/>
                </w:tcPr>
                <w:p w14:paraId="2962353E">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2663" w:type="dxa"/>
                  <w:vAlign w:val="center"/>
                </w:tcPr>
                <w:p w14:paraId="2FA6EFC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CODcr</w:t>
                  </w:r>
                  <w:r>
                    <w:rPr>
                      <w:rFonts w:hint="eastAsia" w:ascii="Times New Roman" w:hAnsi="Times New Roman" w:cs="Times New Roman"/>
                      <w:spacing w:val="-1"/>
                      <w:sz w:val="21"/>
                      <w:szCs w:val="21"/>
                      <w:lang w:eastAsia="zh-CN"/>
                    </w:rPr>
                    <w:t>(</w:t>
                  </w:r>
                  <w:r>
                    <w:rPr>
                      <w:rFonts w:hint="default" w:ascii="Times New Roman" w:hAnsi="Times New Roman" w:eastAsia="宋体" w:cs="Times New Roman"/>
                      <w:spacing w:val="-1"/>
                      <w:sz w:val="21"/>
                      <w:szCs w:val="21"/>
                    </w:rPr>
                    <w:t>mg/L</w:t>
                  </w:r>
                  <w:r>
                    <w:rPr>
                      <w:rFonts w:hint="eastAsia" w:ascii="Times New Roman" w:hAnsi="Times New Roman" w:cs="Times New Roman"/>
                      <w:spacing w:val="-1"/>
                      <w:sz w:val="21"/>
                      <w:szCs w:val="21"/>
                      <w:lang w:eastAsia="zh-CN"/>
                    </w:rPr>
                    <w:t>)</w:t>
                  </w:r>
                </w:p>
              </w:tc>
              <w:tc>
                <w:tcPr>
                  <w:tcW w:w="1131" w:type="dxa"/>
                  <w:vAlign w:val="center"/>
                </w:tcPr>
                <w:p w14:paraId="65A327A2">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291" w:type="dxa"/>
                  <w:vAlign w:val="center"/>
                </w:tcPr>
                <w:p w14:paraId="662324A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≤50</w:t>
                  </w:r>
                </w:p>
              </w:tc>
              <w:tc>
                <w:tcPr>
                  <w:tcW w:w="965" w:type="dxa"/>
                  <w:vAlign w:val="center"/>
                </w:tcPr>
                <w:p w14:paraId="30072DCE">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128" w:type="dxa"/>
                  <w:vAlign w:val="center"/>
                </w:tcPr>
                <w:p w14:paraId="13D6A39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≤60</w:t>
                  </w:r>
                </w:p>
              </w:tc>
              <w:tc>
                <w:tcPr>
                  <w:tcW w:w="1136" w:type="dxa"/>
                  <w:vAlign w:val="center"/>
                </w:tcPr>
                <w:p w14:paraId="6F24CC7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≤60</w:t>
                  </w:r>
                </w:p>
              </w:tc>
            </w:tr>
            <w:tr w14:paraId="606DE5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03" w:type="dxa"/>
                  <w:vAlign w:val="center"/>
                </w:tcPr>
                <w:p w14:paraId="131DD43E">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2663" w:type="dxa"/>
                  <w:vAlign w:val="center"/>
                </w:tcPr>
                <w:p w14:paraId="012967C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铁（mg/L）</w:t>
                  </w:r>
                </w:p>
              </w:tc>
              <w:tc>
                <w:tcPr>
                  <w:tcW w:w="1131" w:type="dxa"/>
                  <w:vAlign w:val="center"/>
                </w:tcPr>
                <w:p w14:paraId="1634E5B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291" w:type="dxa"/>
                  <w:vAlign w:val="center"/>
                </w:tcPr>
                <w:p w14:paraId="7AEEDE2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≤0.3</w:t>
                  </w:r>
                </w:p>
              </w:tc>
              <w:tc>
                <w:tcPr>
                  <w:tcW w:w="965" w:type="dxa"/>
                  <w:vAlign w:val="center"/>
                </w:tcPr>
                <w:p w14:paraId="790A9AD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≤0.3</w:t>
                  </w:r>
                </w:p>
              </w:tc>
              <w:tc>
                <w:tcPr>
                  <w:tcW w:w="1128" w:type="dxa"/>
                  <w:vAlign w:val="center"/>
                </w:tcPr>
                <w:p w14:paraId="4BD3CE4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≤0.3</w:t>
                  </w:r>
                </w:p>
              </w:tc>
              <w:tc>
                <w:tcPr>
                  <w:tcW w:w="1136" w:type="dxa"/>
                  <w:vAlign w:val="center"/>
                </w:tcPr>
                <w:p w14:paraId="4863CF1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≤0.3</w:t>
                  </w:r>
                </w:p>
              </w:tc>
            </w:tr>
            <w:tr w14:paraId="563C76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703" w:type="dxa"/>
                  <w:vAlign w:val="center"/>
                </w:tcPr>
                <w:p w14:paraId="1AF10EB2">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2663" w:type="dxa"/>
                  <w:vAlign w:val="center"/>
                </w:tcPr>
                <w:p w14:paraId="2C93586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锰（mg/L）</w:t>
                  </w:r>
                </w:p>
              </w:tc>
              <w:tc>
                <w:tcPr>
                  <w:tcW w:w="1131" w:type="dxa"/>
                  <w:vAlign w:val="center"/>
                </w:tcPr>
                <w:p w14:paraId="78C9D45F">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291" w:type="dxa"/>
                  <w:vAlign w:val="center"/>
                </w:tcPr>
                <w:p w14:paraId="35531F38">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≤0.1</w:t>
                  </w:r>
                </w:p>
              </w:tc>
              <w:tc>
                <w:tcPr>
                  <w:tcW w:w="965" w:type="dxa"/>
                  <w:vAlign w:val="center"/>
                </w:tcPr>
                <w:p w14:paraId="4FE13CF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≤0.1</w:t>
                  </w:r>
                </w:p>
              </w:tc>
              <w:tc>
                <w:tcPr>
                  <w:tcW w:w="1128" w:type="dxa"/>
                  <w:vAlign w:val="center"/>
                </w:tcPr>
                <w:p w14:paraId="25833FFD">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≤0.1</w:t>
                  </w:r>
                </w:p>
              </w:tc>
              <w:tc>
                <w:tcPr>
                  <w:tcW w:w="1136" w:type="dxa"/>
                  <w:vAlign w:val="center"/>
                </w:tcPr>
                <w:p w14:paraId="52781FFF">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≤0.1</w:t>
                  </w:r>
                </w:p>
              </w:tc>
            </w:tr>
            <w:tr w14:paraId="16DE73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03" w:type="dxa"/>
                  <w:vAlign w:val="center"/>
                </w:tcPr>
                <w:p w14:paraId="4642E15A">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2663" w:type="dxa"/>
                  <w:vAlign w:val="center"/>
                </w:tcPr>
                <w:p w14:paraId="0CF0E12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氯离子（mg/L）</w:t>
                  </w:r>
                </w:p>
              </w:tc>
              <w:tc>
                <w:tcPr>
                  <w:tcW w:w="1131" w:type="dxa"/>
                  <w:vAlign w:val="center"/>
                </w:tcPr>
                <w:p w14:paraId="6B821CF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≤250</w:t>
                  </w:r>
                </w:p>
              </w:tc>
              <w:tc>
                <w:tcPr>
                  <w:tcW w:w="1291" w:type="dxa"/>
                  <w:vAlign w:val="center"/>
                </w:tcPr>
                <w:p w14:paraId="3D358D7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≤250</w:t>
                  </w:r>
                </w:p>
              </w:tc>
              <w:tc>
                <w:tcPr>
                  <w:tcW w:w="965" w:type="dxa"/>
                  <w:vAlign w:val="center"/>
                </w:tcPr>
                <w:p w14:paraId="0CC40E2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≤250</w:t>
                  </w:r>
                </w:p>
              </w:tc>
              <w:tc>
                <w:tcPr>
                  <w:tcW w:w="1128" w:type="dxa"/>
                  <w:vAlign w:val="center"/>
                </w:tcPr>
                <w:p w14:paraId="579F0E3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≤250</w:t>
                  </w:r>
                </w:p>
              </w:tc>
              <w:tc>
                <w:tcPr>
                  <w:tcW w:w="1136" w:type="dxa"/>
                  <w:vAlign w:val="center"/>
                </w:tcPr>
                <w:p w14:paraId="52F4C08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≤250</w:t>
                  </w:r>
                </w:p>
              </w:tc>
            </w:tr>
            <w:tr w14:paraId="0BBB4C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0" w:hRule="atLeast"/>
                <w:jc w:val="center"/>
              </w:trPr>
              <w:tc>
                <w:tcPr>
                  <w:tcW w:w="703" w:type="dxa"/>
                  <w:vAlign w:val="center"/>
                </w:tcPr>
                <w:p w14:paraId="00A17F0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2663" w:type="dxa"/>
                  <w:vAlign w:val="center"/>
                </w:tcPr>
                <w:p w14:paraId="5A5ECC08">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总硬度（以CaCO</w:t>
                  </w:r>
                  <w:r>
                    <w:rPr>
                      <w:rFonts w:hint="default" w:ascii="Times New Roman" w:hAnsi="Times New Roman" w:eastAsia="宋体" w:cs="Times New Roman"/>
                      <w:spacing w:val="-2"/>
                      <w:sz w:val="21"/>
                      <w:szCs w:val="21"/>
                      <w:vertAlign w:val="subscript"/>
                    </w:rPr>
                    <w:t>3</w:t>
                  </w:r>
                  <w:r>
                    <w:rPr>
                      <w:rFonts w:hint="default" w:ascii="Times New Roman" w:hAnsi="Times New Roman" w:eastAsia="宋体" w:cs="Times New Roman"/>
                      <w:spacing w:val="-2"/>
                      <w:sz w:val="21"/>
                      <w:szCs w:val="21"/>
                    </w:rPr>
                    <w:t>计</w:t>
                  </w:r>
                </w:p>
                <w:p w14:paraId="45515E22">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/mg/L</w:t>
                  </w:r>
                  <w:r>
                    <w:rPr>
                      <w:rFonts w:hint="eastAsia" w:ascii="Times New Roman" w:hAnsi="Times New Roman" w:cs="Times New Roman"/>
                      <w:spacing w:val="-1"/>
                      <w:sz w:val="21"/>
                      <w:szCs w:val="21"/>
                      <w:lang w:eastAsia="zh-CN"/>
                    </w:rPr>
                    <w:t>）</w:t>
                  </w:r>
                </w:p>
              </w:tc>
              <w:tc>
                <w:tcPr>
                  <w:tcW w:w="1131" w:type="dxa"/>
                  <w:vAlign w:val="center"/>
                </w:tcPr>
                <w:p w14:paraId="7F7DCC5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≤450</w:t>
                  </w:r>
                </w:p>
              </w:tc>
              <w:tc>
                <w:tcPr>
                  <w:tcW w:w="1291" w:type="dxa"/>
                  <w:vAlign w:val="center"/>
                </w:tcPr>
                <w:p w14:paraId="58E5717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≤450</w:t>
                  </w:r>
                </w:p>
              </w:tc>
              <w:tc>
                <w:tcPr>
                  <w:tcW w:w="965" w:type="dxa"/>
                  <w:vAlign w:val="center"/>
                </w:tcPr>
                <w:p w14:paraId="0ADF6B3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≤450</w:t>
                  </w:r>
                </w:p>
              </w:tc>
              <w:tc>
                <w:tcPr>
                  <w:tcW w:w="1128" w:type="dxa"/>
                  <w:vAlign w:val="center"/>
                </w:tcPr>
                <w:p w14:paraId="28A0A20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≤450</w:t>
                  </w:r>
                </w:p>
              </w:tc>
              <w:tc>
                <w:tcPr>
                  <w:tcW w:w="1136" w:type="dxa"/>
                  <w:vAlign w:val="center"/>
                </w:tcPr>
                <w:p w14:paraId="4E89569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≤450</w:t>
                  </w:r>
                </w:p>
              </w:tc>
            </w:tr>
            <w:tr w14:paraId="025948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0" w:hRule="atLeast"/>
                <w:jc w:val="center"/>
              </w:trPr>
              <w:tc>
                <w:tcPr>
                  <w:tcW w:w="703" w:type="dxa"/>
                  <w:vAlign w:val="center"/>
                </w:tcPr>
                <w:p w14:paraId="675F1EF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10</w:t>
                  </w:r>
                </w:p>
              </w:tc>
              <w:tc>
                <w:tcPr>
                  <w:tcW w:w="2663" w:type="dxa"/>
                  <w:vAlign w:val="center"/>
                </w:tcPr>
                <w:p w14:paraId="1FA044E6">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总碱度（以CaCO</w:t>
                  </w:r>
                  <w:r>
                    <w:rPr>
                      <w:rFonts w:hint="default" w:ascii="Times New Roman" w:hAnsi="Times New Roman" w:eastAsia="宋体" w:cs="Times New Roman"/>
                      <w:spacing w:val="-2"/>
                      <w:sz w:val="21"/>
                      <w:szCs w:val="21"/>
                      <w:vertAlign w:val="subscript"/>
                    </w:rPr>
                    <w:t>3</w:t>
                  </w:r>
                  <w:r>
                    <w:rPr>
                      <w:rFonts w:hint="default" w:ascii="Times New Roman" w:hAnsi="Times New Roman" w:eastAsia="宋体" w:cs="Times New Roman"/>
                      <w:spacing w:val="-2"/>
                      <w:sz w:val="21"/>
                      <w:szCs w:val="21"/>
                    </w:rPr>
                    <w:t>计</w:t>
                  </w:r>
                </w:p>
                <w:p w14:paraId="4F52918F">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mg/L</w:t>
                  </w:r>
                  <w:r>
                    <w:rPr>
                      <w:rFonts w:hint="eastAsia" w:ascii="Times New Roman" w:hAnsi="Times New Roman" w:cs="Times New Roman"/>
                      <w:spacing w:val="-1"/>
                      <w:sz w:val="21"/>
                      <w:szCs w:val="21"/>
                      <w:lang w:eastAsia="zh-CN"/>
                    </w:rPr>
                    <w:t>）</w:t>
                  </w:r>
                </w:p>
              </w:tc>
              <w:tc>
                <w:tcPr>
                  <w:tcW w:w="1131" w:type="dxa"/>
                  <w:vAlign w:val="center"/>
                </w:tcPr>
                <w:p w14:paraId="495006A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291" w:type="dxa"/>
                  <w:vAlign w:val="center"/>
                </w:tcPr>
                <w:p w14:paraId="4C28D24D">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≤350</w:t>
                  </w:r>
                </w:p>
              </w:tc>
              <w:tc>
                <w:tcPr>
                  <w:tcW w:w="965" w:type="dxa"/>
                  <w:vAlign w:val="center"/>
                </w:tcPr>
                <w:p w14:paraId="4FCE59ED">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≤350</w:t>
                  </w:r>
                </w:p>
              </w:tc>
              <w:tc>
                <w:tcPr>
                  <w:tcW w:w="1128" w:type="dxa"/>
                  <w:vAlign w:val="center"/>
                </w:tcPr>
                <w:p w14:paraId="7880FE6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≤350</w:t>
                  </w:r>
                </w:p>
              </w:tc>
              <w:tc>
                <w:tcPr>
                  <w:tcW w:w="1136" w:type="dxa"/>
                  <w:vAlign w:val="center"/>
                </w:tcPr>
                <w:p w14:paraId="6F3DAF5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≤350</w:t>
                  </w:r>
                </w:p>
              </w:tc>
            </w:tr>
            <w:tr w14:paraId="0EDA8B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703" w:type="dxa"/>
                  <w:vAlign w:val="center"/>
                </w:tcPr>
                <w:p w14:paraId="06C0867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3"/>
                      <w:sz w:val="21"/>
                      <w:szCs w:val="21"/>
                    </w:rPr>
                    <w:t>11</w:t>
                  </w:r>
                </w:p>
              </w:tc>
              <w:tc>
                <w:tcPr>
                  <w:tcW w:w="2663" w:type="dxa"/>
                  <w:vAlign w:val="center"/>
                </w:tcPr>
                <w:p w14:paraId="6EFB955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硫酸盐（mg/L）</w:t>
                  </w:r>
                </w:p>
              </w:tc>
              <w:tc>
                <w:tcPr>
                  <w:tcW w:w="1131" w:type="dxa"/>
                  <w:vAlign w:val="center"/>
                </w:tcPr>
                <w:p w14:paraId="6257FD8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≤600</w:t>
                  </w:r>
                </w:p>
              </w:tc>
              <w:tc>
                <w:tcPr>
                  <w:tcW w:w="1291" w:type="dxa"/>
                  <w:vAlign w:val="center"/>
                </w:tcPr>
                <w:p w14:paraId="7A403BBA">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≤250</w:t>
                  </w:r>
                </w:p>
              </w:tc>
              <w:tc>
                <w:tcPr>
                  <w:tcW w:w="965" w:type="dxa"/>
                  <w:vAlign w:val="center"/>
                </w:tcPr>
                <w:p w14:paraId="49BB7A6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≤250</w:t>
                  </w:r>
                </w:p>
              </w:tc>
              <w:tc>
                <w:tcPr>
                  <w:tcW w:w="1128" w:type="dxa"/>
                  <w:vAlign w:val="center"/>
                </w:tcPr>
                <w:p w14:paraId="577EE35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≤250</w:t>
                  </w:r>
                </w:p>
              </w:tc>
              <w:tc>
                <w:tcPr>
                  <w:tcW w:w="1136" w:type="dxa"/>
                  <w:vAlign w:val="center"/>
                </w:tcPr>
                <w:p w14:paraId="5EA7B392">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14:paraId="5EEE44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03" w:type="dxa"/>
                  <w:vAlign w:val="center"/>
                </w:tcPr>
                <w:p w14:paraId="5423B06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12</w:t>
                  </w:r>
                </w:p>
              </w:tc>
              <w:tc>
                <w:tcPr>
                  <w:tcW w:w="2663" w:type="dxa"/>
                  <w:vAlign w:val="center"/>
                </w:tcPr>
                <w:p w14:paraId="01E8459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氨氮（以N计</w:t>
                  </w:r>
                  <w:r>
                    <w:rPr>
                      <w:rFonts w:hint="default" w:ascii="Times New Roman" w:hAnsi="Times New Roman" w:eastAsia="宋体" w:cs="Times New Roman"/>
                      <w:sz w:val="21"/>
                      <w:szCs w:val="21"/>
                    </w:rPr>
                    <w:t>mg</w:t>
                  </w:r>
                  <w:r>
                    <w:rPr>
                      <w:rFonts w:hint="default" w:ascii="Times New Roman" w:hAnsi="Times New Roman" w:eastAsia="宋体" w:cs="Times New Roman"/>
                      <w:spacing w:val="4"/>
                      <w:sz w:val="21"/>
                      <w:szCs w:val="21"/>
                    </w:rPr>
                    <w:t>/L）</w:t>
                  </w:r>
                </w:p>
              </w:tc>
              <w:tc>
                <w:tcPr>
                  <w:tcW w:w="1131" w:type="dxa"/>
                  <w:vAlign w:val="center"/>
                </w:tcPr>
                <w:p w14:paraId="1FD907EF">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291" w:type="dxa"/>
                  <w:vAlign w:val="center"/>
                </w:tcPr>
                <w:p w14:paraId="1AFAD09A">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≤10</w:t>
                  </w:r>
                </w:p>
              </w:tc>
              <w:tc>
                <w:tcPr>
                  <w:tcW w:w="965" w:type="dxa"/>
                  <w:vAlign w:val="center"/>
                </w:tcPr>
                <w:p w14:paraId="5994BC7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128" w:type="dxa"/>
                  <w:vAlign w:val="center"/>
                </w:tcPr>
                <w:p w14:paraId="3227B12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≤10</w:t>
                  </w:r>
                </w:p>
              </w:tc>
              <w:tc>
                <w:tcPr>
                  <w:tcW w:w="1136" w:type="dxa"/>
                  <w:vAlign w:val="center"/>
                </w:tcPr>
                <w:p w14:paraId="4C50C77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≤10</w:t>
                  </w:r>
                </w:p>
              </w:tc>
            </w:tr>
            <w:tr w14:paraId="7678C3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03" w:type="dxa"/>
                  <w:vAlign w:val="center"/>
                </w:tcPr>
                <w:p w14:paraId="0B6A5A1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13</w:t>
                  </w:r>
                </w:p>
              </w:tc>
              <w:tc>
                <w:tcPr>
                  <w:tcW w:w="2663" w:type="dxa"/>
                  <w:vAlign w:val="center"/>
                </w:tcPr>
                <w:p w14:paraId="45CC9FAD">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总磷（以P计mg/L）</w:t>
                  </w:r>
                </w:p>
              </w:tc>
              <w:tc>
                <w:tcPr>
                  <w:tcW w:w="1131" w:type="dxa"/>
                  <w:vAlign w:val="center"/>
                </w:tcPr>
                <w:p w14:paraId="6EC9FDB8">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291" w:type="dxa"/>
                  <w:vAlign w:val="center"/>
                </w:tcPr>
                <w:p w14:paraId="4F89C33F">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w:t>
                  </w:r>
                </w:p>
              </w:tc>
              <w:tc>
                <w:tcPr>
                  <w:tcW w:w="965" w:type="dxa"/>
                  <w:vAlign w:val="center"/>
                </w:tcPr>
                <w:p w14:paraId="0D73BB1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128" w:type="dxa"/>
                  <w:vAlign w:val="center"/>
                </w:tcPr>
                <w:p w14:paraId="68D9E9C8">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w:t>
                  </w:r>
                </w:p>
              </w:tc>
              <w:tc>
                <w:tcPr>
                  <w:tcW w:w="1136" w:type="dxa"/>
                  <w:vAlign w:val="center"/>
                </w:tcPr>
                <w:p w14:paraId="7AB3F66D">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w:t>
                  </w:r>
                </w:p>
              </w:tc>
            </w:tr>
            <w:tr w14:paraId="0C8E6F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703" w:type="dxa"/>
                  <w:vAlign w:val="center"/>
                </w:tcPr>
                <w:p w14:paraId="0821540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14</w:t>
                  </w:r>
                </w:p>
              </w:tc>
              <w:tc>
                <w:tcPr>
                  <w:tcW w:w="2663" w:type="dxa"/>
                  <w:vAlign w:val="center"/>
                </w:tcPr>
                <w:p w14:paraId="264EE13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溶解性总固体（mg/L）</w:t>
                  </w:r>
                </w:p>
              </w:tc>
              <w:tc>
                <w:tcPr>
                  <w:tcW w:w="1131" w:type="dxa"/>
                  <w:vAlign w:val="center"/>
                </w:tcPr>
                <w:p w14:paraId="5696148B">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291" w:type="dxa"/>
                  <w:vAlign w:val="center"/>
                </w:tcPr>
                <w:p w14:paraId="1347C55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≤1000</w:t>
                  </w:r>
                </w:p>
              </w:tc>
              <w:tc>
                <w:tcPr>
                  <w:tcW w:w="965" w:type="dxa"/>
                  <w:vAlign w:val="center"/>
                </w:tcPr>
                <w:p w14:paraId="3DB4FF6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≤1000</w:t>
                  </w:r>
                </w:p>
              </w:tc>
              <w:tc>
                <w:tcPr>
                  <w:tcW w:w="1128" w:type="dxa"/>
                  <w:vAlign w:val="center"/>
                </w:tcPr>
                <w:p w14:paraId="6B53106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≤1000</w:t>
                  </w:r>
                </w:p>
              </w:tc>
              <w:tc>
                <w:tcPr>
                  <w:tcW w:w="1136" w:type="dxa"/>
                  <w:vAlign w:val="center"/>
                </w:tcPr>
                <w:p w14:paraId="5E8B79A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≤1000</w:t>
                  </w:r>
                </w:p>
              </w:tc>
            </w:tr>
            <w:tr w14:paraId="40C1B6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03" w:type="dxa"/>
                  <w:vAlign w:val="center"/>
                </w:tcPr>
                <w:p w14:paraId="67FA662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15</w:t>
                  </w:r>
                </w:p>
              </w:tc>
              <w:tc>
                <w:tcPr>
                  <w:tcW w:w="2663" w:type="dxa"/>
                  <w:vAlign w:val="center"/>
                </w:tcPr>
                <w:p w14:paraId="61E4916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粪大肠菌群（个/L）</w:t>
                  </w:r>
                </w:p>
              </w:tc>
              <w:tc>
                <w:tcPr>
                  <w:tcW w:w="1131" w:type="dxa"/>
                  <w:vAlign w:val="center"/>
                </w:tcPr>
                <w:p w14:paraId="799DE32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≤2000</w:t>
                  </w:r>
                </w:p>
              </w:tc>
              <w:tc>
                <w:tcPr>
                  <w:tcW w:w="1291" w:type="dxa"/>
                  <w:vAlign w:val="center"/>
                </w:tcPr>
                <w:p w14:paraId="0D366B81">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≤2000</w:t>
                  </w:r>
                </w:p>
              </w:tc>
              <w:tc>
                <w:tcPr>
                  <w:tcW w:w="965" w:type="dxa"/>
                  <w:vAlign w:val="center"/>
                </w:tcPr>
                <w:p w14:paraId="48678B1E">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≤2000</w:t>
                  </w:r>
                </w:p>
              </w:tc>
              <w:tc>
                <w:tcPr>
                  <w:tcW w:w="1128" w:type="dxa"/>
                  <w:vAlign w:val="center"/>
                </w:tcPr>
                <w:p w14:paraId="2051A79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≤2000</w:t>
                  </w:r>
                </w:p>
              </w:tc>
              <w:tc>
                <w:tcPr>
                  <w:tcW w:w="1136" w:type="dxa"/>
                  <w:vAlign w:val="center"/>
                </w:tcPr>
                <w:p w14:paraId="3216B86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≤2000</w:t>
                  </w:r>
                </w:p>
              </w:tc>
            </w:tr>
            <w:tr w14:paraId="462CA8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703" w:type="dxa"/>
                  <w:vAlign w:val="center"/>
                </w:tcPr>
                <w:p w14:paraId="5211EE3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16</w:t>
                  </w:r>
                </w:p>
              </w:tc>
              <w:tc>
                <w:tcPr>
                  <w:tcW w:w="2663" w:type="dxa"/>
                  <w:vAlign w:val="center"/>
                </w:tcPr>
                <w:p w14:paraId="5EDD8E25">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石油类（mg/L）</w:t>
                  </w:r>
                </w:p>
              </w:tc>
              <w:tc>
                <w:tcPr>
                  <w:tcW w:w="1131" w:type="dxa"/>
                  <w:vAlign w:val="center"/>
                </w:tcPr>
                <w:p w14:paraId="6A922C2E">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291" w:type="dxa"/>
                  <w:vAlign w:val="center"/>
                </w:tcPr>
                <w:p w14:paraId="45D83CC0">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w:t>
                  </w:r>
                </w:p>
              </w:tc>
              <w:tc>
                <w:tcPr>
                  <w:tcW w:w="965" w:type="dxa"/>
                  <w:vAlign w:val="center"/>
                </w:tcPr>
                <w:p w14:paraId="10CDA4FA">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128" w:type="dxa"/>
                  <w:vAlign w:val="center"/>
                </w:tcPr>
                <w:p w14:paraId="6AA0241C">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w:t>
                  </w:r>
                </w:p>
              </w:tc>
              <w:tc>
                <w:tcPr>
                  <w:tcW w:w="1136" w:type="dxa"/>
                  <w:vAlign w:val="center"/>
                </w:tcPr>
                <w:p w14:paraId="086AD713">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≤1</w:t>
                  </w:r>
                </w:p>
              </w:tc>
            </w:tr>
            <w:tr w14:paraId="780653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2" w:hRule="atLeast"/>
                <w:jc w:val="center"/>
              </w:trPr>
              <w:tc>
                <w:tcPr>
                  <w:tcW w:w="703" w:type="dxa"/>
                  <w:vAlign w:val="center"/>
                </w:tcPr>
                <w:p w14:paraId="04DF85D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17</w:t>
                  </w:r>
                </w:p>
              </w:tc>
              <w:tc>
                <w:tcPr>
                  <w:tcW w:w="2663" w:type="dxa"/>
                  <w:vAlign w:val="center"/>
                </w:tcPr>
                <w:p w14:paraId="646A7EB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阴离子表面活性剂</w:t>
                  </w:r>
                  <w:r>
                    <w:rPr>
                      <w:rFonts w:hint="default" w:ascii="Times New Roman" w:hAnsi="Times New Roman" w:eastAsia="宋体" w:cs="Times New Roman"/>
                      <w:spacing w:val="-1"/>
                      <w:sz w:val="21"/>
                      <w:szCs w:val="21"/>
                    </w:rPr>
                    <w:t>（mg/L）</w:t>
                  </w:r>
                </w:p>
              </w:tc>
              <w:tc>
                <w:tcPr>
                  <w:tcW w:w="1131" w:type="dxa"/>
                  <w:vAlign w:val="center"/>
                </w:tcPr>
                <w:p w14:paraId="539F466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291" w:type="dxa"/>
                  <w:vAlign w:val="center"/>
                </w:tcPr>
                <w:p w14:paraId="7D129ED9">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≤0.5</w:t>
                  </w:r>
                </w:p>
              </w:tc>
              <w:tc>
                <w:tcPr>
                  <w:tcW w:w="965" w:type="dxa"/>
                  <w:vAlign w:val="center"/>
                </w:tcPr>
                <w:p w14:paraId="43D1084A">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position w:val="-6"/>
                      <w:sz w:val="21"/>
                      <w:szCs w:val="21"/>
                    </w:rPr>
                    <w:t>-</w:t>
                  </w:r>
                </w:p>
              </w:tc>
              <w:tc>
                <w:tcPr>
                  <w:tcW w:w="1128" w:type="dxa"/>
                  <w:vAlign w:val="center"/>
                </w:tcPr>
                <w:p w14:paraId="53B43707">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≤0.5</w:t>
                  </w:r>
                </w:p>
              </w:tc>
              <w:tc>
                <w:tcPr>
                  <w:tcW w:w="1136" w:type="dxa"/>
                  <w:vAlign w:val="center"/>
                </w:tcPr>
                <w:p w14:paraId="07CC0AF4">
                  <w:pPr>
                    <w:pStyle w:val="71"/>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≤0.5</w:t>
                  </w:r>
                </w:p>
              </w:tc>
            </w:tr>
          </w:tbl>
          <w:p w14:paraId="4105B359">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left="420" w:leftChars="200" w:right="0" w:rightChars="0"/>
              <w:jc w:val="both"/>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4、固体废物排放标准</w:t>
            </w:r>
          </w:p>
          <w:p w14:paraId="76DB1249">
            <w:pPr>
              <w:pStyle w:val="14"/>
              <w:keepNext w:val="0"/>
              <w:keepLines w:val="0"/>
              <w:suppressLineNumbers w:val="0"/>
              <w:adjustRightInd w:val="0"/>
              <w:spacing w:before="0" w:beforeAutospacing="0" w:after="0" w:afterAutospacing="0" w:line="360" w:lineRule="auto"/>
              <w:ind w:left="0" w:leftChars="0" w:right="0" w:firstLine="480" w:firstLineChars="200"/>
              <w:jc w:val="left"/>
              <w:rPr>
                <w:rFonts w:hint="default" w:ascii="Times New Roman" w:hAnsi="Times New Roman" w:cs="Times New Roman"/>
                <w:color w:val="auto"/>
                <w:spacing w:val="0"/>
                <w:w w:val="100"/>
                <w:lang w:val="en-US" w:eastAsia="zh-CN"/>
              </w:rPr>
            </w:pPr>
            <w:r>
              <w:rPr>
                <w:rFonts w:hint="default" w:ascii="Times New Roman" w:hAnsi="Times New Roman" w:eastAsia="宋体" w:cs="Times New Roman"/>
                <w:color w:val="auto"/>
                <w:spacing w:val="0"/>
                <w:w w:val="100"/>
                <w:sz w:val="24"/>
                <w:szCs w:val="24"/>
                <w:lang w:eastAsia="zh-CN"/>
              </w:rPr>
              <w:t>污泥执行《城镇污水处理厂污染物排放标准》（GB18918-2002）中的排放标准要求；一般固体废物执行防渗漏、防雨淋、防扬尘；危险废物贮存执行</w:t>
            </w:r>
            <w:r>
              <w:rPr>
                <w:rFonts w:hint="eastAsia" w:ascii="Times New Roman" w:hAnsi="Times New Roman" w:eastAsia="宋体" w:cs="Times New Roman"/>
                <w:color w:val="auto"/>
                <w:spacing w:val="0"/>
                <w:w w:val="100"/>
                <w:sz w:val="24"/>
                <w:szCs w:val="24"/>
                <w:lang w:eastAsia="zh-CN"/>
              </w:rPr>
              <w:t>《危险废物贮存污染控制标准》（GB18597-2023）</w:t>
            </w:r>
            <w:r>
              <w:rPr>
                <w:rFonts w:hint="default" w:ascii="Times New Roman" w:hAnsi="Times New Roman" w:eastAsia="宋体" w:cs="Times New Roman"/>
                <w:color w:val="auto"/>
                <w:spacing w:val="0"/>
                <w:w w:val="100"/>
                <w:sz w:val="24"/>
                <w:szCs w:val="24"/>
                <w:lang w:eastAsia="zh-CN"/>
              </w:rPr>
              <w:t>中的有关规定。</w:t>
            </w:r>
          </w:p>
        </w:tc>
      </w:tr>
      <w:tr w14:paraId="7EE5A6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09" w:hRule="atLeast"/>
          <w:jc w:val="center"/>
        </w:trPr>
        <w:tc>
          <w:tcPr>
            <w:tcW w:w="822" w:type="dxa"/>
            <w:tcBorders>
              <w:top w:val="single" w:color="auto" w:sz="4" w:space="0"/>
              <w:left w:val="single" w:color="auto" w:sz="8" w:space="0"/>
              <w:bottom w:val="single" w:color="auto" w:sz="8" w:space="0"/>
              <w:right w:val="single" w:color="auto" w:sz="4" w:space="0"/>
            </w:tcBorders>
            <w:shd w:val="clear" w:color="auto" w:fill="auto"/>
            <w:vAlign w:val="center"/>
          </w:tcPr>
          <w:p w14:paraId="2F198125">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总量</w:t>
            </w:r>
          </w:p>
          <w:p w14:paraId="06CE8D2B">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 w:val="24"/>
                <w:szCs w:val="24"/>
                <w:lang w:val="en-US"/>
              </w:rPr>
            </w:pPr>
            <w:r>
              <w:rPr>
                <w:rFonts w:hint="default" w:ascii="Times New Roman" w:hAnsi="Times New Roman" w:eastAsia="宋体" w:cs="Times New Roman"/>
                <w:color w:val="auto"/>
                <w:spacing w:val="0"/>
                <w:w w:val="100"/>
                <w:kern w:val="0"/>
                <w:sz w:val="24"/>
                <w:szCs w:val="24"/>
                <w:lang w:val="en-US" w:eastAsia="zh-CN" w:bidi="ar"/>
              </w:rPr>
              <w:t>控制</w:t>
            </w:r>
          </w:p>
          <w:p w14:paraId="1D66006C">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kern w:val="0"/>
                <w:szCs w:val="21"/>
                <w:lang w:val="en-US"/>
              </w:rPr>
            </w:pPr>
            <w:r>
              <w:rPr>
                <w:rFonts w:hint="default" w:ascii="Times New Roman" w:hAnsi="Times New Roman" w:eastAsia="宋体" w:cs="Times New Roman"/>
                <w:color w:val="auto"/>
                <w:spacing w:val="0"/>
                <w:w w:val="100"/>
                <w:kern w:val="0"/>
                <w:sz w:val="24"/>
                <w:szCs w:val="24"/>
                <w:lang w:val="en-US" w:eastAsia="zh-CN" w:bidi="ar"/>
              </w:rPr>
              <w:t>指标</w:t>
            </w:r>
          </w:p>
        </w:tc>
        <w:tc>
          <w:tcPr>
            <w:tcW w:w="9134" w:type="dxa"/>
            <w:tcBorders>
              <w:top w:val="single" w:color="auto" w:sz="4" w:space="0"/>
              <w:left w:val="single" w:color="auto" w:sz="4" w:space="0"/>
              <w:bottom w:val="single" w:color="auto" w:sz="8" w:space="0"/>
              <w:right w:val="single" w:color="auto" w:sz="8" w:space="0"/>
            </w:tcBorders>
            <w:shd w:val="clear" w:color="auto" w:fill="auto"/>
            <w:vAlign w:val="top"/>
          </w:tcPr>
          <w:p w14:paraId="4446F644">
            <w:pPr>
              <w:keepNext w:val="0"/>
              <w:keepLines w:val="0"/>
              <w:numPr>
                <w:ilvl w:val="0"/>
                <w:numId w:val="0"/>
              </w:numPr>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pacing w:val="0"/>
                <w:w w:val="100"/>
                <w:sz w:val="24"/>
                <w:szCs w:val="32"/>
                <w:lang w:eastAsia="zh-CN"/>
              </w:rPr>
            </w:pPr>
          </w:p>
          <w:p w14:paraId="4DC69A9E">
            <w:pPr>
              <w:keepNext w:val="0"/>
              <w:keepLines w:val="0"/>
              <w:numPr>
                <w:ilvl w:val="0"/>
                <w:numId w:val="0"/>
              </w:numPr>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pacing w:val="0"/>
                <w:w w:val="100"/>
                <w:sz w:val="24"/>
                <w:szCs w:val="32"/>
                <w:lang w:val="en-US" w:eastAsia="zh-CN"/>
              </w:rPr>
            </w:pPr>
            <w:r>
              <w:rPr>
                <w:rFonts w:hint="default" w:ascii="Times New Roman" w:hAnsi="Times New Roman" w:cs="Times New Roman"/>
                <w:color w:val="auto"/>
                <w:spacing w:val="0"/>
                <w:w w:val="100"/>
                <w:sz w:val="24"/>
                <w:szCs w:val="32"/>
                <w:lang w:eastAsia="zh-CN"/>
              </w:rPr>
              <w:t>根据总量控制要求，本项目总量控制建议指标为：</w:t>
            </w:r>
          </w:p>
          <w:p w14:paraId="21B1D5A2">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表</w:t>
            </w:r>
            <w:r>
              <w:rPr>
                <w:rFonts w:hint="eastAsia" w:ascii="Times New Roman" w:hAnsi="Times New Roman" w:eastAsia="宋体" w:cs="Times New Roman"/>
                <w:b w:val="0"/>
                <w:bCs/>
                <w:color w:val="auto"/>
                <w:spacing w:val="0"/>
                <w:w w:val="100"/>
                <w:sz w:val="21"/>
                <w:szCs w:val="21"/>
                <w:lang w:val="en-US" w:eastAsia="zh-CN"/>
              </w:rPr>
              <w:t xml:space="preserve">3-11 </w:t>
            </w:r>
            <w:r>
              <w:rPr>
                <w:rFonts w:hint="default" w:ascii="Times New Roman" w:hAnsi="Times New Roman" w:eastAsia="宋体" w:cs="Times New Roman"/>
                <w:b w:val="0"/>
                <w:bCs/>
                <w:color w:val="auto"/>
                <w:spacing w:val="0"/>
                <w:w w:val="100"/>
                <w:sz w:val="21"/>
                <w:szCs w:val="21"/>
                <w:lang w:val="en-US" w:eastAsia="zh-CN"/>
              </w:rPr>
              <w:t xml:space="preserve"> 废水总量控制指标  单位：t/a</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19"/>
              <w:gridCol w:w="2217"/>
              <w:gridCol w:w="5"/>
              <w:gridCol w:w="2967"/>
            </w:tblGrid>
            <w:tr w14:paraId="73D13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87" w:type="pct"/>
                  <w:noWrap w:val="0"/>
                  <w:vAlign w:val="center"/>
                </w:tcPr>
                <w:p w14:paraId="0FE67A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b w:val="0"/>
                      <w:bCs w:val="0"/>
                      <w:color w:val="auto"/>
                      <w:spacing w:val="0"/>
                      <w:w w:val="100"/>
                      <w:sz w:val="21"/>
                      <w:szCs w:val="21"/>
                      <w:lang w:val="en-US" w:eastAsia="zh-CN"/>
                    </w:rPr>
                  </w:pPr>
                  <w:r>
                    <w:rPr>
                      <w:rFonts w:hint="default" w:ascii="Times New Roman" w:hAnsi="Times New Roman" w:cs="Times New Roman"/>
                      <w:b w:val="0"/>
                      <w:bCs w:val="0"/>
                      <w:color w:val="auto"/>
                      <w:spacing w:val="0"/>
                      <w:w w:val="100"/>
                      <w:sz w:val="21"/>
                      <w:szCs w:val="21"/>
                      <w:lang w:val="en-US" w:eastAsia="zh-CN"/>
                    </w:rPr>
                    <w:t>污染物名称</w:t>
                  </w:r>
                </w:p>
              </w:tc>
              <w:tc>
                <w:tcPr>
                  <w:tcW w:w="1244" w:type="pct"/>
                  <w:noWrap w:val="0"/>
                  <w:vAlign w:val="center"/>
                </w:tcPr>
                <w:p w14:paraId="2704EA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b w:val="0"/>
                      <w:bCs w:val="0"/>
                      <w:color w:val="auto"/>
                      <w:spacing w:val="0"/>
                      <w:w w:val="100"/>
                      <w:sz w:val="21"/>
                      <w:szCs w:val="21"/>
                      <w:lang w:val="en-US" w:eastAsia="zh-CN"/>
                    </w:rPr>
                  </w:pPr>
                  <w:r>
                    <w:rPr>
                      <w:rFonts w:hint="default" w:ascii="Times New Roman" w:hAnsi="Times New Roman" w:cs="Times New Roman"/>
                      <w:b w:val="0"/>
                      <w:bCs w:val="0"/>
                      <w:color w:val="auto"/>
                      <w:spacing w:val="0"/>
                      <w:w w:val="100"/>
                      <w:sz w:val="21"/>
                      <w:szCs w:val="21"/>
                      <w:lang w:val="en-US" w:eastAsia="zh-CN"/>
                    </w:rPr>
                    <w:t>COD</w:t>
                  </w:r>
                </w:p>
              </w:tc>
              <w:tc>
                <w:tcPr>
                  <w:tcW w:w="1668" w:type="pct"/>
                  <w:gridSpan w:val="2"/>
                  <w:noWrap w:val="0"/>
                  <w:vAlign w:val="center"/>
                </w:tcPr>
                <w:p w14:paraId="0AE3D0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b w:val="0"/>
                      <w:bCs w:val="0"/>
                      <w:color w:val="auto"/>
                      <w:spacing w:val="0"/>
                      <w:w w:val="100"/>
                      <w:sz w:val="21"/>
                      <w:szCs w:val="21"/>
                      <w:lang w:val="en-US" w:eastAsia="zh-CN"/>
                    </w:rPr>
                  </w:pPr>
                  <w:r>
                    <w:rPr>
                      <w:rFonts w:hint="default" w:ascii="Times New Roman" w:hAnsi="Times New Roman" w:cs="Times New Roman"/>
                      <w:b w:val="0"/>
                      <w:bCs w:val="0"/>
                      <w:color w:val="auto"/>
                      <w:spacing w:val="0"/>
                      <w:w w:val="100"/>
                      <w:sz w:val="21"/>
                      <w:szCs w:val="21"/>
                      <w:lang w:val="en-US" w:eastAsia="zh-CN"/>
                    </w:rPr>
                    <w:t>NH</w:t>
                  </w:r>
                  <w:r>
                    <w:rPr>
                      <w:rFonts w:hint="default" w:ascii="Times New Roman" w:hAnsi="Times New Roman" w:cs="Times New Roman"/>
                      <w:b w:val="0"/>
                      <w:bCs w:val="0"/>
                      <w:color w:val="auto"/>
                      <w:spacing w:val="0"/>
                      <w:w w:val="100"/>
                      <w:sz w:val="21"/>
                      <w:szCs w:val="21"/>
                      <w:vertAlign w:val="subscript"/>
                      <w:lang w:val="en-US" w:eastAsia="zh-CN"/>
                    </w:rPr>
                    <w:t>3</w:t>
                  </w:r>
                  <w:r>
                    <w:rPr>
                      <w:rFonts w:hint="default" w:ascii="Times New Roman" w:hAnsi="Times New Roman" w:cs="Times New Roman"/>
                      <w:b w:val="0"/>
                      <w:bCs w:val="0"/>
                      <w:color w:val="auto"/>
                      <w:spacing w:val="0"/>
                      <w:w w:val="100"/>
                      <w:sz w:val="21"/>
                      <w:szCs w:val="21"/>
                      <w:lang w:val="en-US" w:eastAsia="zh-CN"/>
                    </w:rPr>
                    <w:t>-N</w:t>
                  </w:r>
                </w:p>
              </w:tc>
            </w:tr>
            <w:tr w14:paraId="14B4F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87" w:type="pct"/>
                  <w:noWrap w:val="0"/>
                  <w:vAlign w:val="center"/>
                </w:tcPr>
                <w:p w14:paraId="5E93BC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b w:val="0"/>
                      <w:bCs w:val="0"/>
                      <w:color w:val="auto"/>
                      <w:spacing w:val="0"/>
                      <w:w w:val="100"/>
                      <w:kern w:val="2"/>
                      <w:sz w:val="21"/>
                      <w:szCs w:val="21"/>
                      <w:lang w:val="en-US" w:eastAsia="zh-CN" w:bidi="ar-SA"/>
                    </w:rPr>
                  </w:pPr>
                  <w:r>
                    <w:rPr>
                      <w:rFonts w:hint="default" w:ascii="Times New Roman" w:hAnsi="Times New Roman" w:cs="Times New Roman"/>
                      <w:b w:val="0"/>
                      <w:bCs w:val="0"/>
                      <w:color w:val="auto"/>
                      <w:spacing w:val="0"/>
                      <w:w w:val="100"/>
                      <w:sz w:val="21"/>
                      <w:szCs w:val="21"/>
                      <w:lang w:val="en-US" w:eastAsia="zh-CN"/>
                    </w:rPr>
                    <w:t>本项目申请总量</w:t>
                  </w:r>
                </w:p>
              </w:tc>
              <w:tc>
                <w:tcPr>
                  <w:tcW w:w="1247" w:type="pct"/>
                  <w:gridSpan w:val="2"/>
                  <w:noWrap w:val="0"/>
                  <w:vAlign w:val="center"/>
                </w:tcPr>
                <w:p w14:paraId="446FCD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eastAsia" w:ascii="Times New Roman" w:hAnsi="Times New Roman" w:eastAsia="宋体" w:cs="Times New Roman"/>
                      <w:b w:val="0"/>
                      <w:bCs w:val="0"/>
                      <w:color w:val="auto"/>
                      <w:spacing w:val="0"/>
                      <w:w w:val="100"/>
                      <w:kern w:val="2"/>
                      <w:sz w:val="21"/>
                      <w:szCs w:val="21"/>
                      <w:lang w:val="en-US" w:eastAsia="zh-CN" w:bidi="ar-SA"/>
                    </w:rPr>
                    <w:t>17.52</w:t>
                  </w:r>
                </w:p>
              </w:tc>
              <w:tc>
                <w:tcPr>
                  <w:tcW w:w="1665" w:type="pct"/>
                  <w:noWrap w:val="0"/>
                  <w:vAlign w:val="center"/>
                </w:tcPr>
                <w:p w14:paraId="3769AC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eastAsia" w:ascii="Times New Roman" w:hAnsi="Times New Roman" w:eastAsia="宋体" w:cs="Times New Roman"/>
                      <w:b w:val="0"/>
                      <w:bCs w:val="0"/>
                      <w:color w:val="auto"/>
                      <w:spacing w:val="0"/>
                      <w:w w:val="100"/>
                      <w:kern w:val="2"/>
                      <w:sz w:val="21"/>
                      <w:szCs w:val="21"/>
                      <w:lang w:val="en-US" w:eastAsia="zh-CN" w:bidi="ar-SA"/>
                    </w:rPr>
                    <w:t>1.164</w:t>
                  </w:r>
                </w:p>
              </w:tc>
            </w:tr>
          </w:tbl>
          <w:p w14:paraId="534925B9">
            <w:pPr>
              <w:pStyle w:val="43"/>
              <w:keepNext w:val="0"/>
              <w:keepLines w:val="0"/>
              <w:pageBreakBefore w:val="0"/>
              <w:widowControl w:val="0"/>
              <w:suppressLineNumbers w:val="0"/>
              <w:kinsoku/>
              <w:wordWrap/>
              <w:overflowPunct/>
              <w:topLinePunct w:val="0"/>
              <w:bidi w:val="0"/>
              <w:spacing w:before="0" w:beforeAutospacing="0" w:after="0" w:afterAutospacing="0"/>
              <w:ind w:left="0" w:right="0" w:firstLine="460"/>
              <w:jc w:val="left"/>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sz w:val="24"/>
                <w:szCs w:val="24"/>
              </w:rPr>
              <w:t>具体以对本项目环评报告表具有审批权限的环境保护主管部门下达的总量控制指标为准。</w:t>
            </w:r>
          </w:p>
        </w:tc>
      </w:tr>
    </w:tbl>
    <w:p w14:paraId="19064F38">
      <w:pPr>
        <w:pStyle w:val="19"/>
        <w:keepNext w:val="0"/>
        <w:keepLines w:val="0"/>
        <w:pageBreakBefore w:val="0"/>
        <w:widowControl/>
        <w:kinsoku/>
        <w:wordWrap/>
        <w:overflowPunct/>
        <w:topLinePunct w:val="0"/>
        <w:autoSpaceDE/>
        <w:autoSpaceDN/>
        <w:bidi w:val="0"/>
        <w:adjustRightInd/>
        <w:snapToGrid/>
        <w:spacing w:beforeAutospacing="0" w:afterAutospacing="0" w:line="360" w:lineRule="auto"/>
        <w:jc w:val="center"/>
        <w:textAlignment w:val="auto"/>
        <w:outlineLvl w:val="0"/>
        <w:rPr>
          <w:rFonts w:hint="default" w:ascii="Times New Roman" w:hAnsi="Times New Roman" w:eastAsia="黑体" w:cs="Times New Roman"/>
          <w:color w:val="auto"/>
          <w:spacing w:val="0"/>
          <w:w w:val="100"/>
          <w:sz w:val="30"/>
          <w:szCs w:val="30"/>
          <w:lang w:val="en-US"/>
        </w:rPr>
      </w:pPr>
      <w:r>
        <w:rPr>
          <w:rFonts w:hint="default" w:ascii="Times New Roman" w:hAnsi="Times New Roman" w:eastAsia="黑体" w:cs="Times New Roman"/>
          <w:snapToGrid w:val="0"/>
          <w:color w:val="auto"/>
          <w:spacing w:val="0"/>
          <w:w w:val="100"/>
          <w:sz w:val="36"/>
          <w:szCs w:val="36"/>
          <w:lang w:val="en-US" w:eastAsia="zh-CN" w:bidi="ar"/>
        </w:rPr>
        <w:br w:type="page"/>
      </w:r>
      <w:r>
        <w:rPr>
          <w:rFonts w:hint="default" w:ascii="Times New Roman" w:hAnsi="Times New Roman" w:eastAsia="黑体" w:cs="Times New Roman"/>
          <w:snapToGrid w:val="0"/>
          <w:color w:val="auto"/>
          <w:spacing w:val="0"/>
          <w:w w:val="100"/>
          <w:sz w:val="30"/>
          <w:szCs w:val="30"/>
          <w:lang w:eastAsia="zh-CN"/>
        </w:rPr>
        <w:t>四、主要环境影响和保护措施</w:t>
      </w:r>
    </w:p>
    <w:tbl>
      <w:tblPr>
        <w:tblStyle w:val="21"/>
        <w:tblW w:w="97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14"/>
        <w:gridCol w:w="9165"/>
      </w:tblGrid>
      <w:tr w14:paraId="5E5A2C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09" w:hRule="atLeast"/>
          <w:jc w:val="center"/>
        </w:trPr>
        <w:tc>
          <w:tcPr>
            <w:tcW w:w="614" w:type="dxa"/>
            <w:tcBorders>
              <w:top w:val="single" w:color="auto" w:sz="8" w:space="0"/>
              <w:left w:val="single" w:color="auto" w:sz="8" w:space="0"/>
              <w:bottom w:val="single" w:color="auto" w:sz="4" w:space="0"/>
              <w:right w:val="single" w:color="auto" w:sz="4" w:space="0"/>
            </w:tcBorders>
            <w:shd w:val="clear" w:color="auto" w:fill="auto"/>
            <w:tcMar>
              <w:left w:w="28" w:type="dxa"/>
              <w:right w:w="28" w:type="dxa"/>
            </w:tcMar>
            <w:vAlign w:val="center"/>
          </w:tcPr>
          <w:p w14:paraId="2EA0D8E8">
            <w:pPr>
              <w:pStyle w:val="19"/>
              <w:widowControl/>
              <w:adjustRightInd w:val="0"/>
              <w:snapToGrid w:val="0"/>
              <w:spacing w:before="0" w:beforeAutospacing="0" w:after="0" w:afterAutospacing="0"/>
              <w:ind w:left="0" w:right="0"/>
              <w:jc w:val="center"/>
              <w:rPr>
                <w:rFonts w:hint="default" w:ascii="Times New Roman" w:hAnsi="Times New Roman" w:cs="Times New Roman"/>
                <w:color w:val="auto"/>
                <w:spacing w:val="0"/>
                <w:w w:val="100"/>
                <w:kern w:val="2"/>
                <w:sz w:val="24"/>
                <w:szCs w:val="24"/>
                <w:lang w:val="en-US"/>
              </w:rPr>
            </w:pPr>
            <w:r>
              <w:rPr>
                <w:rFonts w:hint="default" w:ascii="Times New Roman" w:hAnsi="Times New Roman" w:cs="Times New Roman"/>
                <w:color w:val="auto"/>
                <w:spacing w:val="0"/>
                <w:w w:val="100"/>
                <w:kern w:val="2"/>
                <w:sz w:val="24"/>
                <w:szCs w:val="24"/>
              </w:rPr>
              <w:t>施工</w:t>
            </w:r>
          </w:p>
          <w:p w14:paraId="54B4DBF8">
            <w:pPr>
              <w:pStyle w:val="19"/>
              <w:widowControl/>
              <w:adjustRightInd w:val="0"/>
              <w:snapToGrid w:val="0"/>
              <w:spacing w:before="0" w:beforeAutospacing="0" w:after="0" w:afterAutospacing="0"/>
              <w:ind w:left="0" w:right="0"/>
              <w:jc w:val="center"/>
              <w:rPr>
                <w:rFonts w:hint="default" w:ascii="Times New Roman" w:hAnsi="Times New Roman" w:cs="Times New Roman"/>
                <w:color w:val="auto"/>
                <w:spacing w:val="0"/>
                <w:w w:val="100"/>
                <w:kern w:val="2"/>
                <w:sz w:val="24"/>
                <w:szCs w:val="24"/>
                <w:lang w:val="en-US"/>
              </w:rPr>
            </w:pPr>
            <w:r>
              <w:rPr>
                <w:rFonts w:hint="default" w:ascii="Times New Roman" w:hAnsi="Times New Roman" w:cs="Times New Roman"/>
                <w:color w:val="auto"/>
                <w:spacing w:val="0"/>
                <w:w w:val="100"/>
                <w:kern w:val="2"/>
                <w:sz w:val="24"/>
                <w:szCs w:val="24"/>
              </w:rPr>
              <w:t>期环</w:t>
            </w:r>
          </w:p>
          <w:p w14:paraId="2BB70610">
            <w:pPr>
              <w:pStyle w:val="19"/>
              <w:widowControl/>
              <w:adjustRightInd w:val="0"/>
              <w:snapToGrid w:val="0"/>
              <w:spacing w:before="0" w:beforeAutospacing="0" w:after="0" w:afterAutospacing="0"/>
              <w:ind w:left="0" w:right="0"/>
              <w:jc w:val="center"/>
              <w:rPr>
                <w:rFonts w:hint="default" w:ascii="Times New Roman" w:hAnsi="Times New Roman" w:cs="Times New Roman"/>
                <w:color w:val="auto"/>
                <w:spacing w:val="0"/>
                <w:w w:val="100"/>
                <w:kern w:val="2"/>
                <w:sz w:val="24"/>
                <w:szCs w:val="24"/>
                <w:lang w:val="en-US"/>
              </w:rPr>
            </w:pPr>
            <w:r>
              <w:rPr>
                <w:rFonts w:hint="default" w:ascii="Times New Roman" w:hAnsi="Times New Roman" w:cs="Times New Roman"/>
                <w:color w:val="auto"/>
                <w:spacing w:val="0"/>
                <w:w w:val="100"/>
                <w:kern w:val="2"/>
                <w:sz w:val="24"/>
                <w:szCs w:val="24"/>
              </w:rPr>
              <w:t>境保</w:t>
            </w:r>
          </w:p>
          <w:p w14:paraId="140AF5AC">
            <w:pPr>
              <w:pStyle w:val="19"/>
              <w:widowControl/>
              <w:adjustRightInd w:val="0"/>
              <w:snapToGrid w:val="0"/>
              <w:spacing w:before="0" w:beforeAutospacing="0" w:after="0" w:afterAutospacing="0"/>
              <w:ind w:left="0" w:right="0"/>
              <w:jc w:val="center"/>
              <w:rPr>
                <w:rFonts w:hint="default" w:ascii="Times New Roman" w:hAnsi="Times New Roman" w:cs="Times New Roman"/>
                <w:color w:val="auto"/>
                <w:spacing w:val="0"/>
                <w:w w:val="100"/>
                <w:kern w:val="2"/>
                <w:sz w:val="24"/>
                <w:szCs w:val="24"/>
                <w:lang w:val="en-US"/>
              </w:rPr>
            </w:pPr>
            <w:r>
              <w:rPr>
                <w:rFonts w:hint="default" w:ascii="Times New Roman" w:hAnsi="Times New Roman" w:cs="Times New Roman"/>
                <w:color w:val="auto"/>
                <w:spacing w:val="0"/>
                <w:w w:val="100"/>
                <w:kern w:val="2"/>
                <w:sz w:val="24"/>
                <w:szCs w:val="24"/>
              </w:rPr>
              <w:t>护措</w:t>
            </w:r>
          </w:p>
          <w:p w14:paraId="2EEFCBC4">
            <w:pPr>
              <w:pStyle w:val="19"/>
              <w:widowControl/>
              <w:adjustRightInd w:val="0"/>
              <w:snapToGrid w:val="0"/>
              <w:spacing w:before="0" w:beforeAutospacing="0" w:after="0" w:afterAutospacing="0"/>
              <w:ind w:left="0" w:right="0"/>
              <w:jc w:val="center"/>
              <w:rPr>
                <w:rFonts w:hint="default" w:ascii="Times New Roman" w:hAnsi="Times New Roman" w:cs="Times New Roman"/>
                <w:bCs/>
                <w:color w:val="auto"/>
                <w:spacing w:val="0"/>
                <w:w w:val="100"/>
                <w:kern w:val="2"/>
                <w:sz w:val="21"/>
                <w:szCs w:val="21"/>
                <w:lang w:val="en-US"/>
              </w:rPr>
            </w:pPr>
            <w:r>
              <w:rPr>
                <w:rFonts w:hint="default" w:ascii="Times New Roman" w:hAnsi="Times New Roman" w:cs="Times New Roman"/>
                <w:color w:val="auto"/>
                <w:spacing w:val="0"/>
                <w:w w:val="100"/>
                <w:kern w:val="2"/>
                <w:sz w:val="24"/>
                <w:szCs w:val="24"/>
              </w:rPr>
              <w:t>施</w:t>
            </w:r>
          </w:p>
        </w:tc>
        <w:tc>
          <w:tcPr>
            <w:tcW w:w="9165" w:type="dxa"/>
            <w:tcBorders>
              <w:top w:val="single" w:color="auto" w:sz="8" w:space="0"/>
              <w:left w:val="single" w:color="auto" w:sz="4" w:space="0"/>
              <w:bottom w:val="single" w:color="auto" w:sz="4" w:space="0"/>
              <w:right w:val="single" w:color="auto" w:sz="8" w:space="0"/>
            </w:tcBorders>
            <w:shd w:val="clear" w:color="auto" w:fill="auto"/>
            <w:vAlign w:val="center"/>
          </w:tcPr>
          <w:p w14:paraId="1BA60A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1、施工期污染物的排放及治理</w:t>
            </w:r>
          </w:p>
          <w:p w14:paraId="28953B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（1）废水</w:t>
            </w:r>
          </w:p>
          <w:p w14:paraId="5F9DE4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施工期废水主要为施工生产废水、管道试压废水、施工人员生活污水。</w:t>
            </w:r>
          </w:p>
          <w:p w14:paraId="3AF274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①施工生产废水</w:t>
            </w:r>
          </w:p>
          <w:p w14:paraId="7C1497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治理措施：评价</w:t>
            </w:r>
            <w:r>
              <w:rPr>
                <w:rFonts w:hint="default" w:ascii="Times New Roman" w:hAnsi="Times New Roman" w:eastAsia="宋体" w:cs="Times New Roman"/>
                <w:color w:val="auto"/>
                <w:spacing w:val="0"/>
                <w:w w:val="100"/>
                <w:sz w:val="24"/>
                <w:szCs w:val="24"/>
                <w:lang w:eastAsia="zh-CN"/>
              </w:rPr>
              <w:t>建议</w:t>
            </w:r>
            <w:r>
              <w:rPr>
                <w:rFonts w:hint="default" w:ascii="Times New Roman" w:hAnsi="Times New Roman" w:eastAsia="宋体" w:cs="Times New Roman"/>
                <w:color w:val="auto"/>
                <w:spacing w:val="0"/>
                <w:w w:val="100"/>
                <w:sz w:val="24"/>
                <w:szCs w:val="24"/>
              </w:rPr>
              <w:t>建设单位应在施工场地进出口位置设置一个隔油池（容积不小于2.0m</w:t>
            </w:r>
            <w:r>
              <w:rPr>
                <w:rFonts w:hint="default" w:ascii="Times New Roman" w:hAnsi="Times New Roman" w:eastAsia="宋体" w:cs="Times New Roman"/>
                <w:color w:val="auto"/>
                <w:spacing w:val="0"/>
                <w:w w:val="100"/>
                <w:sz w:val="24"/>
                <w:szCs w:val="24"/>
                <w:vertAlign w:val="superscript"/>
              </w:rPr>
              <w:t>3</w:t>
            </w:r>
            <w:r>
              <w:rPr>
                <w:rFonts w:hint="default" w:ascii="Times New Roman" w:hAnsi="Times New Roman" w:eastAsia="宋体" w:cs="Times New Roman"/>
                <w:color w:val="auto"/>
                <w:spacing w:val="0"/>
                <w:w w:val="100"/>
                <w:sz w:val="24"/>
                <w:szCs w:val="24"/>
              </w:rPr>
              <w:t>）、一个沉淀池（容积不小于30m</w:t>
            </w:r>
            <w:r>
              <w:rPr>
                <w:rFonts w:hint="default" w:ascii="Times New Roman" w:hAnsi="Times New Roman" w:eastAsia="宋体" w:cs="Times New Roman"/>
                <w:color w:val="auto"/>
                <w:spacing w:val="0"/>
                <w:w w:val="100"/>
                <w:sz w:val="24"/>
                <w:szCs w:val="24"/>
                <w:vertAlign w:val="superscript"/>
              </w:rPr>
              <w:t>3</w:t>
            </w:r>
            <w:r>
              <w:rPr>
                <w:rFonts w:hint="default" w:ascii="Times New Roman" w:hAnsi="Times New Roman" w:eastAsia="宋体" w:cs="Times New Roman"/>
                <w:color w:val="auto"/>
                <w:spacing w:val="0"/>
                <w:w w:val="100"/>
                <w:sz w:val="24"/>
                <w:szCs w:val="24"/>
              </w:rPr>
              <w:t>），施工区域设置围堰，其施工过程所产生的泥浆水、冲洗水、地基抽排水及进出机动车冲洗废水可通过围堰汇入隔油、沉淀池，经隔油沉淀后，部分废水可循环使用，剩余部分可用于施工场地洒水降尘，其施工废水不外排。</w:t>
            </w:r>
            <w:r>
              <w:rPr>
                <w:rFonts w:hint="default" w:ascii="Times New Roman" w:hAnsi="Times New Roman" w:eastAsia="宋体" w:cs="Times New Roman"/>
                <w:color w:val="auto"/>
                <w:spacing w:val="0"/>
                <w:w w:val="100"/>
                <w:sz w:val="24"/>
                <w:szCs w:val="24"/>
                <w:lang w:eastAsia="zh-CN"/>
              </w:rPr>
              <w:t>施工过程中产生的泥浆水或含有砂石的工程废水，未经沉淀一律不准排放，沉淀下来的泥浆和固体废物，应与建筑渣土一起处理。同时应尽量减少物料流失、散落和溢流现象。</w:t>
            </w:r>
          </w:p>
          <w:p w14:paraId="5C5E3E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②管道试压废水</w:t>
            </w:r>
          </w:p>
          <w:p w14:paraId="2BD6E8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治理措施：试验结束后，移除堵头，其管道内废水可通过废水桶临时收集，循环使用，废水不外排。所有管道密封性检验结束后，其检验废水可作为砼养护用水或用于施工场地洒水降尘，其废水不外排。</w:t>
            </w:r>
          </w:p>
          <w:p w14:paraId="79D836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③施工期生活污水</w:t>
            </w:r>
          </w:p>
          <w:p w14:paraId="566511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治理措施：本项目施工人员生活污水利用附近农户的卫生设施收集</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不外排。</w:t>
            </w:r>
          </w:p>
          <w:p w14:paraId="20F7CA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eastAsia" w:ascii="Times New Roman" w:hAnsi="Times New Roman" w:eastAsia="宋体" w:cs="Times New Roman"/>
                <w:color w:val="auto"/>
                <w:spacing w:val="0"/>
                <w:w w:val="100"/>
                <w:sz w:val="24"/>
                <w:szCs w:val="24"/>
                <w:lang w:eastAsia="zh-CN"/>
              </w:rPr>
            </w:pPr>
            <w:r>
              <w:rPr>
                <w:rFonts w:hint="eastAsia" w:ascii="Times New Roman" w:hAnsi="Times New Roman" w:eastAsia="宋体" w:cs="Times New Roman"/>
                <w:color w:val="auto"/>
                <w:spacing w:val="0"/>
                <w:w w:val="100"/>
                <w:sz w:val="24"/>
                <w:szCs w:val="24"/>
                <w:lang w:eastAsia="zh-CN"/>
              </w:rPr>
              <w:t>综上所述，项目施工期废水均不外排，不会对千河产生影响。</w:t>
            </w:r>
          </w:p>
          <w:p w14:paraId="37BACE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（2）废气</w:t>
            </w:r>
          </w:p>
          <w:p w14:paraId="4D2243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施工废气主要为施工扬尘、施工机械及施工车辆尾气。</w:t>
            </w:r>
          </w:p>
          <w:p w14:paraId="780E00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①施工扬尘</w:t>
            </w:r>
          </w:p>
          <w:p w14:paraId="56882B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治理措施：</w:t>
            </w:r>
          </w:p>
          <w:p w14:paraId="63C04C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a.现场采取湿法作业，封闭施工现场，</w:t>
            </w:r>
            <w:r>
              <w:rPr>
                <w:rFonts w:hint="eastAsia" w:ascii="Times New Roman" w:hAnsi="Times New Roman" w:eastAsia="宋体" w:cs="Times New Roman"/>
                <w:color w:val="auto"/>
                <w:spacing w:val="0"/>
                <w:w w:val="100"/>
                <w:sz w:val="24"/>
                <w:szCs w:val="24"/>
                <w:lang w:eastAsia="zh-CN"/>
              </w:rPr>
              <w:t>污水处理厂</w:t>
            </w:r>
            <w:r>
              <w:rPr>
                <w:rFonts w:hint="default" w:ascii="Times New Roman" w:hAnsi="Times New Roman" w:eastAsia="宋体" w:cs="Times New Roman"/>
                <w:color w:val="auto"/>
                <w:spacing w:val="0"/>
                <w:w w:val="100"/>
                <w:sz w:val="24"/>
                <w:szCs w:val="24"/>
              </w:rPr>
              <w:t>四周沿线设置1.8m以上的围挡，底座设置防溢座。</w:t>
            </w:r>
          </w:p>
          <w:p w14:paraId="7BD205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b.对挖方临时堆放点、原辅材料采用篷布覆盖，定期洒水降尘；</w:t>
            </w:r>
          </w:p>
          <w:p w14:paraId="725919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c.安排合理施工工序，挖方及时回填；</w:t>
            </w:r>
          </w:p>
          <w:p w14:paraId="1600DC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d.定期对地面洒水，并对撒落在路面的渣土及时清除，清理阶段做到先洒水后清扫，避免产生扬尘对周边住户正常生活造成影响。</w:t>
            </w:r>
          </w:p>
          <w:p w14:paraId="7077CB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e.加强工地和道路扬尘整治，严格控制建设施工扬尘，针对临时施工场地、堆料场等，还应进行绿化恢复；全面督查建设工地现场管理“六必须</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六不准”执行情况。</w:t>
            </w:r>
          </w:p>
          <w:p w14:paraId="0BB43D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②</w:t>
            </w:r>
            <w:r>
              <w:rPr>
                <w:rFonts w:hint="eastAsia" w:ascii="Times New Roman" w:hAnsi="Times New Roman" w:eastAsia="宋体" w:cs="Times New Roman"/>
                <w:color w:val="auto"/>
                <w:spacing w:val="0"/>
                <w:w w:val="100"/>
                <w:sz w:val="24"/>
                <w:szCs w:val="24"/>
                <w:lang w:eastAsia="zh-CN"/>
              </w:rPr>
              <w:t>其他</w:t>
            </w:r>
            <w:r>
              <w:rPr>
                <w:rFonts w:hint="default" w:ascii="Times New Roman" w:hAnsi="Times New Roman" w:eastAsia="宋体" w:cs="Times New Roman"/>
                <w:color w:val="auto"/>
                <w:spacing w:val="0"/>
                <w:w w:val="100"/>
                <w:sz w:val="24"/>
                <w:szCs w:val="24"/>
              </w:rPr>
              <w:t>废气：运输车辆、施工机械尾气</w:t>
            </w:r>
          </w:p>
          <w:p w14:paraId="641359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施工机械设备和运输车辆排放的尾气产生量较小，属间断性、分散性排放，项目所在地空气流通性好，通过空气自然扩散，尾气对环境影响很小。</w:t>
            </w:r>
          </w:p>
          <w:p w14:paraId="6EE330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（3）噪声</w:t>
            </w:r>
          </w:p>
          <w:p w14:paraId="030EBB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施工过程会对周围声学环境产生一定的影响，因此本项目在施工过程中应根据外环境合理进行施工平面布置，采取相应的治理措施，具体措施如下：</w:t>
            </w:r>
          </w:p>
          <w:p w14:paraId="42F6AB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①合理安排施工时间，夜间（22</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00～6</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00）禁止进行高噪声施工。在施工进度组织方面，通过合理</w:t>
            </w:r>
            <w:r>
              <w:rPr>
                <w:rFonts w:hint="eastAsia" w:ascii="Times New Roman" w:hAnsi="Times New Roman" w:eastAsia="宋体" w:cs="Times New Roman"/>
                <w:color w:val="auto"/>
                <w:spacing w:val="0"/>
                <w:w w:val="100"/>
                <w:sz w:val="24"/>
                <w:szCs w:val="24"/>
                <w:lang w:eastAsia="zh-CN"/>
              </w:rPr>
              <w:t>组织</w:t>
            </w:r>
            <w:r>
              <w:rPr>
                <w:rFonts w:hint="default" w:ascii="Times New Roman" w:hAnsi="Times New Roman" w:eastAsia="宋体" w:cs="Times New Roman"/>
                <w:color w:val="auto"/>
                <w:spacing w:val="0"/>
                <w:w w:val="100"/>
                <w:sz w:val="24"/>
                <w:szCs w:val="24"/>
              </w:rPr>
              <w:t>尽量</w:t>
            </w:r>
            <w:r>
              <w:rPr>
                <w:rFonts w:hint="eastAsia" w:ascii="Times New Roman" w:hAnsi="Times New Roman" w:eastAsia="宋体" w:cs="Times New Roman"/>
                <w:color w:val="auto"/>
                <w:spacing w:val="0"/>
                <w:w w:val="100"/>
                <w:sz w:val="24"/>
                <w:szCs w:val="24"/>
                <w:lang w:eastAsia="zh-CN"/>
              </w:rPr>
              <w:t>远离人群</w:t>
            </w:r>
            <w:r>
              <w:rPr>
                <w:rFonts w:hint="default" w:ascii="Times New Roman" w:hAnsi="Times New Roman" w:eastAsia="宋体" w:cs="Times New Roman"/>
                <w:color w:val="auto"/>
                <w:spacing w:val="0"/>
                <w:w w:val="100"/>
                <w:sz w:val="24"/>
                <w:szCs w:val="24"/>
              </w:rPr>
              <w:t>施工。</w:t>
            </w:r>
          </w:p>
          <w:p w14:paraId="25AC02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②施工设备选用低噪声设备，对噪声施工设备加强维护工作，高噪音设备作业时要进行围挡。</w:t>
            </w:r>
          </w:p>
          <w:p w14:paraId="46F8B4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③施工单位要加强与施工点周围农户的沟通和联系，讲清项目建设的必要性和重要意义，做好受影响群众的思想工作，提高广大群众的认识，争取群众的理解和支持。</w:t>
            </w:r>
          </w:p>
          <w:p w14:paraId="1E68E7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eastAsia" w:ascii="Times New Roman" w:hAnsi="Times New Roman" w:eastAsia="宋体" w:cs="Times New Roman"/>
                <w:color w:val="auto"/>
                <w:spacing w:val="0"/>
                <w:w w:val="100"/>
                <w:sz w:val="24"/>
                <w:szCs w:val="24"/>
                <w:lang w:val="en-US" w:eastAsia="zh-CN"/>
              </w:rPr>
              <w:t>在采取上述措施后，施工噪声将得到有效控制，满足《建筑施工场界环境噪声排放标准》（</w:t>
            </w:r>
            <w:r>
              <w:rPr>
                <w:rFonts w:hint="default" w:ascii="Times New Roman" w:hAnsi="Times New Roman" w:eastAsia="宋体" w:cs="Times New Roman"/>
                <w:color w:val="auto"/>
                <w:spacing w:val="0"/>
                <w:w w:val="100"/>
                <w:sz w:val="24"/>
                <w:szCs w:val="24"/>
                <w:lang w:val="en-US" w:eastAsia="zh-CN"/>
              </w:rPr>
              <w:t>GB12523-2011</w:t>
            </w:r>
            <w:r>
              <w:rPr>
                <w:rFonts w:hint="eastAsia" w:ascii="Times New Roman" w:hAnsi="Times New Roman" w:eastAsia="宋体" w:cs="Times New Roman"/>
                <w:color w:val="auto"/>
                <w:spacing w:val="0"/>
                <w:w w:val="100"/>
                <w:sz w:val="24"/>
                <w:szCs w:val="24"/>
                <w:lang w:val="en-US" w:eastAsia="zh-CN"/>
              </w:rPr>
              <w:t>）噪声限值的要求。在一定程度上减轻了噪声对周边环境的影响，施工噪声将随着施工活动的结束而停止，采取上述降噪措施后，噪声对环境的影响在可接受范围内。</w:t>
            </w:r>
          </w:p>
          <w:p w14:paraId="2B3CDC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（4）固废</w:t>
            </w:r>
          </w:p>
          <w:p w14:paraId="4EBD71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本项目施工过</w:t>
            </w:r>
            <w:r>
              <w:rPr>
                <w:rFonts w:hint="eastAsia" w:ascii="Times New Roman" w:hAnsi="Times New Roman" w:eastAsia="宋体" w:cs="Times New Roman"/>
                <w:color w:val="auto"/>
                <w:spacing w:val="0"/>
                <w:w w:val="100"/>
                <w:sz w:val="24"/>
                <w:szCs w:val="24"/>
                <w:lang w:eastAsia="zh-CN"/>
              </w:rPr>
              <w:t>程中</w:t>
            </w:r>
            <w:r>
              <w:rPr>
                <w:rFonts w:hint="default" w:ascii="Times New Roman" w:hAnsi="Times New Roman" w:eastAsia="宋体" w:cs="Times New Roman"/>
                <w:color w:val="auto"/>
                <w:spacing w:val="0"/>
                <w:w w:val="100"/>
                <w:sz w:val="24"/>
                <w:szCs w:val="24"/>
              </w:rPr>
              <w:t>产生的固体废物包括土石方开挖工程产生的弃土方、施工过程中产生的建筑垃圾以及施工人员的生活垃圾等。</w:t>
            </w:r>
          </w:p>
          <w:p w14:paraId="557E52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土石方：本项目污水处理</w:t>
            </w:r>
            <w:r>
              <w:rPr>
                <w:rFonts w:hint="default" w:ascii="Times New Roman" w:hAnsi="Times New Roman" w:eastAsia="宋体" w:cs="Times New Roman"/>
                <w:color w:val="auto"/>
                <w:spacing w:val="0"/>
                <w:w w:val="100"/>
                <w:sz w:val="24"/>
                <w:szCs w:val="24"/>
                <w:lang w:eastAsia="zh-CN"/>
              </w:rPr>
              <w:t>厂</w:t>
            </w:r>
            <w:r>
              <w:rPr>
                <w:rFonts w:hint="default" w:ascii="Times New Roman" w:hAnsi="Times New Roman" w:eastAsia="宋体" w:cs="Times New Roman"/>
                <w:color w:val="auto"/>
                <w:spacing w:val="0"/>
                <w:w w:val="100"/>
                <w:sz w:val="24"/>
                <w:szCs w:val="24"/>
              </w:rPr>
              <w:t>施工期污水处理</w:t>
            </w:r>
            <w:r>
              <w:rPr>
                <w:rFonts w:hint="default" w:ascii="Times New Roman" w:hAnsi="Times New Roman" w:eastAsia="宋体" w:cs="Times New Roman"/>
                <w:color w:val="auto"/>
                <w:spacing w:val="0"/>
                <w:w w:val="100"/>
                <w:sz w:val="24"/>
                <w:szCs w:val="24"/>
                <w:lang w:eastAsia="zh-CN"/>
              </w:rPr>
              <w:t>厂</w:t>
            </w:r>
            <w:r>
              <w:rPr>
                <w:rFonts w:hint="default" w:ascii="Times New Roman" w:hAnsi="Times New Roman" w:eastAsia="宋体" w:cs="Times New Roman"/>
                <w:color w:val="auto"/>
                <w:spacing w:val="0"/>
                <w:w w:val="100"/>
                <w:sz w:val="24"/>
                <w:szCs w:val="24"/>
              </w:rPr>
              <w:t>挖方总量约为</w:t>
            </w:r>
            <w:r>
              <w:rPr>
                <w:rFonts w:hint="eastAsia" w:ascii="Times New Roman" w:hAnsi="Times New Roman" w:eastAsia="宋体" w:cs="Times New Roman"/>
                <w:color w:val="auto"/>
                <w:spacing w:val="0"/>
                <w:w w:val="100"/>
                <w:sz w:val="24"/>
                <w:szCs w:val="24"/>
                <w:lang w:val="en-US" w:eastAsia="zh-CN"/>
              </w:rPr>
              <w:t>1963</w:t>
            </w:r>
            <w:r>
              <w:rPr>
                <w:rFonts w:hint="default" w:ascii="Times New Roman" w:hAnsi="Times New Roman" w:eastAsia="宋体" w:cs="Times New Roman"/>
                <w:color w:val="auto"/>
                <w:spacing w:val="0"/>
                <w:w w:val="100"/>
                <w:sz w:val="24"/>
                <w:szCs w:val="24"/>
              </w:rPr>
              <w:t>m</w:t>
            </w:r>
            <w:r>
              <w:rPr>
                <w:rFonts w:hint="default" w:ascii="Times New Roman" w:hAnsi="Times New Roman" w:eastAsia="宋体" w:cs="Times New Roman"/>
                <w:color w:val="auto"/>
                <w:spacing w:val="0"/>
                <w:w w:val="100"/>
                <w:sz w:val="24"/>
                <w:szCs w:val="24"/>
                <w:vertAlign w:val="superscript"/>
              </w:rPr>
              <w:t>3</w:t>
            </w:r>
            <w:r>
              <w:rPr>
                <w:rFonts w:hint="default" w:ascii="Times New Roman" w:hAnsi="Times New Roman" w:eastAsia="宋体" w:cs="Times New Roman"/>
                <w:color w:val="auto"/>
                <w:spacing w:val="0"/>
                <w:w w:val="100"/>
                <w:sz w:val="24"/>
                <w:szCs w:val="24"/>
              </w:rPr>
              <w:t>，填方量</w:t>
            </w:r>
            <w:r>
              <w:rPr>
                <w:rFonts w:hint="eastAsia" w:ascii="Times New Roman" w:hAnsi="Times New Roman" w:eastAsia="宋体" w:cs="Times New Roman"/>
                <w:color w:val="auto"/>
                <w:spacing w:val="0"/>
                <w:w w:val="100"/>
                <w:sz w:val="24"/>
                <w:szCs w:val="24"/>
                <w:lang w:val="en-US" w:eastAsia="zh-CN"/>
              </w:rPr>
              <w:t>1685</w:t>
            </w:r>
            <w:r>
              <w:rPr>
                <w:rFonts w:hint="default" w:ascii="Times New Roman" w:hAnsi="Times New Roman" w:eastAsia="宋体" w:cs="Times New Roman"/>
                <w:color w:val="auto"/>
                <w:spacing w:val="0"/>
                <w:w w:val="100"/>
                <w:sz w:val="24"/>
                <w:szCs w:val="24"/>
              </w:rPr>
              <w:t>m</w:t>
            </w:r>
            <w:r>
              <w:rPr>
                <w:rFonts w:hint="default" w:ascii="Times New Roman" w:hAnsi="Times New Roman" w:eastAsia="宋体" w:cs="Times New Roman"/>
                <w:color w:val="auto"/>
                <w:spacing w:val="0"/>
                <w:w w:val="100"/>
                <w:sz w:val="24"/>
                <w:szCs w:val="24"/>
                <w:vertAlign w:val="superscript"/>
              </w:rPr>
              <w:t>3</w:t>
            </w:r>
            <w:r>
              <w:rPr>
                <w:rFonts w:hint="default" w:ascii="Times New Roman" w:hAnsi="Times New Roman" w:eastAsia="宋体" w:cs="Times New Roman"/>
                <w:color w:val="auto"/>
                <w:spacing w:val="0"/>
                <w:w w:val="100"/>
                <w:sz w:val="24"/>
                <w:szCs w:val="24"/>
              </w:rPr>
              <w:t>，</w:t>
            </w:r>
            <w:r>
              <w:rPr>
                <w:rFonts w:hint="eastAsia" w:ascii="Times New Roman" w:hAnsi="Times New Roman" w:eastAsia="宋体" w:cs="Times New Roman"/>
                <w:color w:val="auto"/>
                <w:spacing w:val="0"/>
                <w:w w:val="100"/>
                <w:sz w:val="24"/>
                <w:szCs w:val="24"/>
                <w:lang w:val="en-US" w:eastAsia="zh-CN"/>
              </w:rPr>
              <w:t>余</w:t>
            </w:r>
            <w:r>
              <w:rPr>
                <w:rFonts w:hint="default" w:ascii="Times New Roman" w:hAnsi="Times New Roman" w:eastAsia="宋体" w:cs="Times New Roman"/>
                <w:color w:val="auto"/>
                <w:spacing w:val="0"/>
                <w:w w:val="100"/>
                <w:sz w:val="24"/>
                <w:szCs w:val="24"/>
              </w:rPr>
              <w:t>方量</w:t>
            </w:r>
            <w:r>
              <w:rPr>
                <w:rFonts w:hint="eastAsia" w:ascii="Times New Roman" w:hAnsi="Times New Roman" w:eastAsia="宋体" w:cs="Times New Roman"/>
                <w:color w:val="auto"/>
                <w:spacing w:val="0"/>
                <w:w w:val="100"/>
                <w:sz w:val="24"/>
                <w:szCs w:val="24"/>
                <w:lang w:val="en-US" w:eastAsia="zh-CN"/>
              </w:rPr>
              <w:t>278</w:t>
            </w:r>
            <w:r>
              <w:rPr>
                <w:rFonts w:hint="default" w:ascii="Times New Roman" w:hAnsi="Times New Roman" w:eastAsia="宋体" w:cs="Times New Roman"/>
                <w:color w:val="auto"/>
                <w:spacing w:val="0"/>
                <w:w w:val="100"/>
                <w:sz w:val="24"/>
                <w:szCs w:val="24"/>
              </w:rPr>
              <w:t>m</w:t>
            </w:r>
            <w:r>
              <w:rPr>
                <w:rFonts w:hint="default" w:ascii="Times New Roman" w:hAnsi="Times New Roman" w:eastAsia="宋体" w:cs="Times New Roman"/>
                <w:color w:val="auto"/>
                <w:spacing w:val="0"/>
                <w:w w:val="100"/>
                <w:sz w:val="24"/>
                <w:szCs w:val="24"/>
                <w:vertAlign w:val="superscript"/>
              </w:rPr>
              <w:t>3</w:t>
            </w:r>
            <w:r>
              <w:rPr>
                <w:rFonts w:hint="eastAsia" w:ascii="Times New Roman" w:hAnsi="Times New Roman" w:eastAsia="宋体" w:cs="Times New Roman"/>
                <w:color w:val="auto"/>
                <w:spacing w:val="0"/>
                <w:w w:val="100"/>
                <w:sz w:val="24"/>
                <w:szCs w:val="24"/>
                <w:vertAlign w:val="baseline"/>
                <w:lang w:eastAsia="zh-CN"/>
              </w:rPr>
              <w:t>，</w:t>
            </w:r>
            <w:r>
              <w:rPr>
                <w:rFonts w:hint="eastAsia" w:ascii="Times New Roman" w:hAnsi="Times New Roman" w:eastAsia="宋体" w:cs="Times New Roman"/>
                <w:color w:val="auto"/>
                <w:spacing w:val="0"/>
                <w:w w:val="100"/>
                <w:sz w:val="24"/>
                <w:szCs w:val="24"/>
                <w:vertAlign w:val="baseline"/>
                <w:lang w:val="en-US" w:eastAsia="zh-CN"/>
              </w:rPr>
              <w:t>205</w:t>
            </w:r>
            <w:r>
              <w:rPr>
                <w:rFonts w:hint="default" w:ascii="Times New Roman" w:hAnsi="Times New Roman" w:eastAsia="宋体" w:cs="Times New Roman"/>
                <w:color w:val="auto"/>
                <w:spacing w:val="0"/>
                <w:w w:val="100"/>
                <w:sz w:val="24"/>
                <w:szCs w:val="24"/>
              </w:rPr>
              <w:t>m</w:t>
            </w:r>
            <w:r>
              <w:rPr>
                <w:rFonts w:hint="default" w:ascii="Times New Roman" w:hAnsi="Times New Roman" w:eastAsia="宋体" w:cs="Times New Roman"/>
                <w:color w:val="auto"/>
                <w:spacing w:val="0"/>
                <w:w w:val="100"/>
                <w:sz w:val="24"/>
                <w:szCs w:val="24"/>
                <w:vertAlign w:val="superscript"/>
              </w:rPr>
              <w:t>3</w:t>
            </w:r>
            <w:r>
              <w:rPr>
                <w:rFonts w:hint="eastAsia" w:ascii="Times New Roman" w:hAnsi="Times New Roman" w:eastAsia="宋体" w:cs="Times New Roman"/>
                <w:color w:val="auto"/>
                <w:spacing w:val="0"/>
                <w:w w:val="100"/>
                <w:sz w:val="24"/>
                <w:szCs w:val="24"/>
                <w:vertAlign w:val="baseline"/>
                <w:lang w:val="en-US" w:eastAsia="zh-CN"/>
              </w:rPr>
              <w:t>厂区暂存</w:t>
            </w:r>
            <w:r>
              <w:rPr>
                <w:rFonts w:hint="default" w:ascii="Times New Roman" w:hAnsi="Times New Roman" w:eastAsia="宋体" w:cs="Times New Roman"/>
                <w:color w:val="auto"/>
                <w:spacing w:val="0"/>
                <w:w w:val="100"/>
                <w:sz w:val="24"/>
                <w:szCs w:val="24"/>
              </w:rPr>
              <w:t>用于厂区绿化覆土，厂区道路硬化，</w:t>
            </w:r>
            <w:r>
              <w:rPr>
                <w:rFonts w:hint="eastAsia" w:ascii="Times New Roman" w:hAnsi="Times New Roman" w:eastAsia="宋体" w:cs="Times New Roman"/>
                <w:color w:val="auto"/>
                <w:spacing w:val="0"/>
                <w:w w:val="100"/>
                <w:sz w:val="24"/>
                <w:szCs w:val="24"/>
                <w:lang w:val="en-US" w:eastAsia="zh-CN"/>
              </w:rPr>
              <w:t>弃方约73</w:t>
            </w:r>
            <w:r>
              <w:rPr>
                <w:rFonts w:hint="default" w:ascii="Times New Roman" w:hAnsi="Times New Roman" w:eastAsia="宋体" w:cs="Times New Roman"/>
                <w:color w:val="auto"/>
                <w:spacing w:val="0"/>
                <w:w w:val="100"/>
                <w:sz w:val="24"/>
                <w:szCs w:val="24"/>
              </w:rPr>
              <w:t>m</w:t>
            </w:r>
            <w:r>
              <w:rPr>
                <w:rFonts w:hint="default" w:ascii="Times New Roman" w:hAnsi="Times New Roman" w:eastAsia="宋体" w:cs="Times New Roman"/>
                <w:color w:val="auto"/>
                <w:spacing w:val="0"/>
                <w:w w:val="100"/>
                <w:sz w:val="24"/>
                <w:szCs w:val="24"/>
                <w:vertAlign w:val="superscript"/>
              </w:rPr>
              <w:t>3</w:t>
            </w:r>
            <w:r>
              <w:rPr>
                <w:rFonts w:hint="eastAsia" w:ascii="Times New Roman" w:hAnsi="Times New Roman" w:eastAsia="宋体" w:cs="Times New Roman"/>
                <w:color w:val="auto"/>
                <w:spacing w:val="0"/>
                <w:w w:val="100"/>
                <w:sz w:val="24"/>
                <w:szCs w:val="24"/>
                <w:lang w:val="en-US" w:eastAsia="zh-CN"/>
              </w:rPr>
              <w:t>，</w:t>
            </w:r>
            <w:r>
              <w:rPr>
                <w:rFonts w:hint="default" w:ascii="Times New Roman" w:hAnsi="Times New Roman" w:eastAsia="宋体" w:cs="Times New Roman"/>
                <w:color w:val="auto"/>
                <w:spacing w:val="0"/>
                <w:w w:val="100"/>
                <w:sz w:val="24"/>
                <w:szCs w:val="24"/>
              </w:rPr>
              <w:t>本工程总弃方约</w:t>
            </w:r>
            <w:r>
              <w:rPr>
                <w:rFonts w:hint="eastAsia" w:ascii="Times New Roman" w:hAnsi="Times New Roman" w:eastAsia="宋体" w:cs="Times New Roman"/>
                <w:color w:val="auto"/>
                <w:spacing w:val="0"/>
                <w:w w:val="100"/>
                <w:sz w:val="24"/>
                <w:szCs w:val="24"/>
                <w:lang w:val="en-US" w:eastAsia="zh-CN"/>
              </w:rPr>
              <w:t>73</w:t>
            </w:r>
            <w:r>
              <w:rPr>
                <w:rFonts w:hint="default" w:ascii="Times New Roman" w:hAnsi="Times New Roman" w:eastAsia="宋体" w:cs="Times New Roman"/>
                <w:color w:val="auto"/>
                <w:spacing w:val="0"/>
                <w:w w:val="100"/>
                <w:sz w:val="24"/>
                <w:szCs w:val="24"/>
              </w:rPr>
              <w:t>m</w:t>
            </w:r>
            <w:r>
              <w:rPr>
                <w:rFonts w:hint="default" w:ascii="Times New Roman" w:hAnsi="Times New Roman" w:eastAsia="宋体" w:cs="Times New Roman"/>
                <w:color w:val="auto"/>
                <w:spacing w:val="0"/>
                <w:w w:val="100"/>
                <w:sz w:val="24"/>
                <w:szCs w:val="24"/>
                <w:vertAlign w:val="superscript"/>
                <w:lang w:val="en-US" w:eastAsia="zh-CN"/>
              </w:rPr>
              <w:t>3</w:t>
            </w:r>
            <w:r>
              <w:rPr>
                <w:rFonts w:hint="default" w:ascii="Times New Roman" w:hAnsi="Times New Roman" w:eastAsia="宋体" w:cs="Times New Roman"/>
                <w:color w:val="auto"/>
                <w:spacing w:val="0"/>
                <w:w w:val="100"/>
                <w:sz w:val="24"/>
                <w:szCs w:val="24"/>
              </w:rPr>
              <w:t>，单独堆存，运至指定弃土场堆放。</w:t>
            </w:r>
          </w:p>
          <w:p w14:paraId="52218ADF">
            <w:pPr>
              <w:keepNext w:val="0"/>
              <w:keepLines w:val="0"/>
              <w:pageBreakBefore w:val="0"/>
              <w:suppressLineNumbers w:val="0"/>
              <w:wordWrap/>
              <w:overflowPunct/>
              <w:topLinePunct w:val="0"/>
              <w:bidi w:val="0"/>
              <w:spacing w:before="0" w:beforeAutospacing="0" w:after="0" w:afterAutospacing="0" w:line="360" w:lineRule="auto"/>
              <w:ind w:left="0" w:right="0" w:firstLine="420" w:firstLineChars="200"/>
              <w:jc w:val="center"/>
              <w:textAlignment w:val="baseline"/>
              <w:rPr>
                <w:rFonts w:hint="eastAsia" w:ascii="宋体" w:hAnsi="宋体" w:eastAsia="宋体" w:cs="宋体"/>
                <w:b w:val="0"/>
                <w:bCs w:val="0"/>
                <w:color w:val="auto"/>
                <w:spacing w:val="0"/>
                <w:w w:val="100"/>
                <w:sz w:val="24"/>
                <w:szCs w:val="24"/>
              </w:rPr>
            </w:pPr>
            <w:r>
              <w:rPr>
                <w:rFonts w:hint="eastAsia" w:ascii="Times New Roman" w:hAnsi="Times New Roman" w:eastAsia="宋体" w:cs="Times New Roman"/>
                <w:color w:val="auto"/>
                <w:spacing w:val="0"/>
                <w:w w:val="100"/>
                <w:sz w:val="21"/>
                <w:szCs w:val="21"/>
              </w:rPr>
              <w:t>表</w:t>
            </w:r>
            <w:r>
              <w:rPr>
                <w:rFonts w:hint="eastAsia" w:ascii="Times New Roman" w:hAnsi="Times New Roman" w:eastAsia="宋体" w:cs="Times New Roman"/>
                <w:color w:val="auto"/>
                <w:spacing w:val="0"/>
                <w:w w:val="100"/>
                <w:sz w:val="21"/>
                <w:szCs w:val="21"/>
                <w:lang w:val="en-US" w:eastAsia="zh-CN"/>
              </w:rPr>
              <w:t xml:space="preserve">4-1  </w:t>
            </w:r>
            <w:r>
              <w:rPr>
                <w:rFonts w:hint="eastAsia" w:ascii="Times New Roman" w:hAnsi="Times New Roman" w:eastAsia="宋体" w:cs="Times New Roman"/>
                <w:color w:val="auto"/>
                <w:spacing w:val="0"/>
                <w:w w:val="100"/>
                <w:sz w:val="21"/>
                <w:szCs w:val="21"/>
              </w:rPr>
              <w:t>建设工程土石方平衡分析表单位：m</w:t>
            </w:r>
            <w:r>
              <w:rPr>
                <w:rFonts w:hint="eastAsia" w:ascii="Times New Roman" w:hAnsi="Times New Roman" w:eastAsia="宋体" w:cs="Times New Roman"/>
                <w:color w:val="auto"/>
                <w:spacing w:val="0"/>
                <w:w w:val="100"/>
                <w:sz w:val="21"/>
                <w:szCs w:val="21"/>
                <w:vertAlign w:val="superscript"/>
              </w:rPr>
              <w:t>3</w:t>
            </w:r>
          </w:p>
          <w:tbl>
            <w:tblPr>
              <w:tblStyle w:val="58"/>
              <w:tblW w:w="8919"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88"/>
              <w:gridCol w:w="2267"/>
              <w:gridCol w:w="2263"/>
              <w:gridCol w:w="2401"/>
            </w:tblGrid>
            <w:tr w14:paraId="4D4A92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3" w:hRule="atLeast"/>
              </w:trPr>
              <w:tc>
                <w:tcPr>
                  <w:tcW w:w="1988" w:type="dxa"/>
                  <w:vAlign w:val="center"/>
                </w:tcPr>
                <w:p w14:paraId="33918F7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挖方</w:t>
                  </w:r>
                </w:p>
              </w:tc>
              <w:tc>
                <w:tcPr>
                  <w:tcW w:w="2267" w:type="dxa"/>
                  <w:vAlign w:val="center"/>
                </w:tcPr>
                <w:p w14:paraId="041446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填方</w:t>
                  </w:r>
                </w:p>
              </w:tc>
              <w:tc>
                <w:tcPr>
                  <w:tcW w:w="2263" w:type="dxa"/>
                  <w:vAlign w:val="center"/>
                </w:tcPr>
                <w:p w14:paraId="454790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综合利用</w:t>
                  </w:r>
                </w:p>
              </w:tc>
              <w:tc>
                <w:tcPr>
                  <w:tcW w:w="2401" w:type="dxa"/>
                  <w:tcBorders>
                    <w:right w:val="single" w:color="000000" w:sz="6" w:space="0"/>
                  </w:tcBorders>
                  <w:vAlign w:val="center"/>
                </w:tcPr>
                <w:p w14:paraId="3A910A1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弃方</w:t>
                  </w:r>
                </w:p>
              </w:tc>
            </w:tr>
            <w:tr w14:paraId="31CA6A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988" w:type="dxa"/>
                  <w:tcBorders>
                    <w:bottom w:val="single" w:color="000000" w:sz="6" w:space="0"/>
                  </w:tcBorders>
                  <w:vAlign w:val="center"/>
                </w:tcPr>
                <w:p w14:paraId="2A631D3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1963</w:t>
                  </w:r>
                </w:p>
              </w:tc>
              <w:tc>
                <w:tcPr>
                  <w:tcW w:w="2267" w:type="dxa"/>
                  <w:tcBorders>
                    <w:bottom w:val="single" w:color="000000" w:sz="6" w:space="0"/>
                  </w:tcBorders>
                  <w:vAlign w:val="center"/>
                </w:tcPr>
                <w:p w14:paraId="2FC7EC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1685</w:t>
                  </w:r>
                </w:p>
              </w:tc>
              <w:tc>
                <w:tcPr>
                  <w:tcW w:w="2263" w:type="dxa"/>
                  <w:tcBorders>
                    <w:bottom w:val="single" w:color="000000" w:sz="6" w:space="0"/>
                  </w:tcBorders>
                  <w:vAlign w:val="center"/>
                </w:tcPr>
                <w:p w14:paraId="056AD26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205</w:t>
                  </w:r>
                </w:p>
              </w:tc>
              <w:tc>
                <w:tcPr>
                  <w:tcW w:w="2401" w:type="dxa"/>
                  <w:tcBorders>
                    <w:bottom w:val="single" w:color="000000" w:sz="6" w:space="0"/>
                    <w:right w:val="single" w:color="000000" w:sz="6" w:space="0"/>
                  </w:tcBorders>
                  <w:vAlign w:val="center"/>
                </w:tcPr>
                <w:p w14:paraId="0314201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73</w:t>
                  </w:r>
                </w:p>
              </w:tc>
            </w:tr>
          </w:tbl>
          <w:p w14:paraId="2A5B4709">
            <w:pPr>
              <w:keepNext w:val="0"/>
              <w:keepLines w:val="0"/>
              <w:pageBreakBefore w:val="0"/>
              <w:suppressLineNumbers w:val="0"/>
              <w:wordWrap/>
              <w:overflowPunct/>
              <w:topLinePunct w:val="0"/>
              <w:bidi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建筑垃圾：建筑垃圾主要为施工中废弃的路面碎块、混凝土块、废钢筋、废砂石、碎砖瓦等杂物。经类比同类项目建筑垃圾产生量，本项目建筑垃圾产生量约为</w:t>
            </w:r>
            <w:r>
              <w:rPr>
                <w:rFonts w:hint="eastAsia" w:ascii="Times New Roman" w:hAnsi="Times New Roman" w:eastAsia="宋体" w:cs="Times New Roman"/>
                <w:color w:val="auto"/>
                <w:spacing w:val="0"/>
                <w:w w:val="100"/>
                <w:sz w:val="24"/>
                <w:szCs w:val="24"/>
                <w:lang w:val="en-US" w:eastAsia="zh-CN"/>
              </w:rPr>
              <w:t>8</w:t>
            </w:r>
            <w:r>
              <w:rPr>
                <w:rFonts w:hint="default" w:ascii="Times New Roman" w:hAnsi="Times New Roman" w:eastAsia="宋体" w:cs="Times New Roman"/>
                <w:color w:val="auto"/>
                <w:spacing w:val="0"/>
                <w:w w:val="100"/>
                <w:sz w:val="24"/>
                <w:szCs w:val="24"/>
              </w:rPr>
              <w:t>.4t。能够回收利用的可回收利用，不能回收的应运往城乡规划部门指定的建筑垃圾堆放场，不得任意倾倒，污染环境。</w:t>
            </w:r>
          </w:p>
          <w:p w14:paraId="05880A72">
            <w:pPr>
              <w:keepNext w:val="0"/>
              <w:keepLines w:val="0"/>
              <w:pageBreakBefore w:val="0"/>
              <w:suppressLineNumbers w:val="0"/>
              <w:wordWrap/>
              <w:overflowPunct/>
              <w:topLinePunct w:val="0"/>
              <w:bidi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生活垃圾：项目高峰期施工人数约30人，生活垃圾产生量按0.5kg/d•人计，则生活垃圾产生量约15kg/d，经集中收集后由环卫部门统一清运处理，不会造成二次污染。</w:t>
            </w:r>
          </w:p>
          <w:p w14:paraId="771EBAF4">
            <w:pPr>
              <w:keepNext w:val="0"/>
              <w:keepLines w:val="0"/>
              <w:pageBreakBefore w:val="0"/>
              <w:suppressLineNumbers w:val="0"/>
              <w:wordWrap/>
              <w:overflowPunct/>
              <w:topLinePunct w:val="0"/>
              <w:bidi w:val="0"/>
              <w:spacing w:before="0" w:beforeAutospacing="0" w:after="0" w:afterAutospacing="0" w:line="360" w:lineRule="auto"/>
              <w:ind w:left="0" w:right="0" w:firstLine="420" w:firstLineChars="20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表</w:t>
            </w:r>
            <w:r>
              <w:rPr>
                <w:rFonts w:hint="eastAsia" w:ascii="Times New Roman" w:hAnsi="Times New Roman" w:eastAsia="宋体" w:cs="Times New Roman"/>
                <w:color w:val="auto"/>
                <w:spacing w:val="0"/>
                <w:w w:val="100"/>
                <w:sz w:val="21"/>
                <w:szCs w:val="21"/>
                <w:lang w:val="en-US" w:eastAsia="zh-CN"/>
              </w:rPr>
              <w:t>4-2</w:t>
            </w:r>
            <w:r>
              <w:rPr>
                <w:rFonts w:hint="default" w:ascii="Times New Roman" w:hAnsi="Times New Roman" w:eastAsia="宋体" w:cs="Times New Roman"/>
                <w:color w:val="auto"/>
                <w:spacing w:val="0"/>
                <w:w w:val="100"/>
                <w:sz w:val="21"/>
                <w:szCs w:val="21"/>
                <w:lang w:val="en-US" w:eastAsia="zh-CN"/>
              </w:rPr>
              <w:t xml:space="preserve">  </w:t>
            </w:r>
            <w:r>
              <w:rPr>
                <w:rFonts w:hint="default" w:ascii="Times New Roman" w:hAnsi="Times New Roman" w:eastAsia="宋体" w:cs="Times New Roman"/>
                <w:color w:val="auto"/>
                <w:spacing w:val="0"/>
                <w:w w:val="100"/>
                <w:sz w:val="21"/>
                <w:szCs w:val="21"/>
              </w:rPr>
              <w:t>项目施工期固废产生及处置措施一览表</w:t>
            </w:r>
          </w:p>
          <w:tbl>
            <w:tblPr>
              <w:tblStyle w:val="58"/>
              <w:tblW w:w="885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96"/>
              <w:gridCol w:w="2097"/>
              <w:gridCol w:w="1912"/>
              <w:gridCol w:w="3153"/>
            </w:tblGrid>
            <w:tr w14:paraId="37C4C9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7" w:hRule="atLeast"/>
                <w:jc w:val="center"/>
              </w:trPr>
              <w:tc>
                <w:tcPr>
                  <w:tcW w:w="1696" w:type="dxa"/>
                  <w:vAlign w:val="center"/>
                </w:tcPr>
                <w:p w14:paraId="3697EF3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w:t>
                  </w:r>
                </w:p>
              </w:tc>
              <w:tc>
                <w:tcPr>
                  <w:tcW w:w="2097" w:type="dxa"/>
                  <w:vAlign w:val="center"/>
                </w:tcPr>
                <w:p w14:paraId="0CBA430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主要成分</w:t>
                  </w:r>
                </w:p>
              </w:tc>
              <w:tc>
                <w:tcPr>
                  <w:tcW w:w="1912" w:type="dxa"/>
                  <w:vAlign w:val="center"/>
                </w:tcPr>
                <w:p w14:paraId="7DDB1B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数量</w:t>
                  </w:r>
                </w:p>
              </w:tc>
              <w:tc>
                <w:tcPr>
                  <w:tcW w:w="3153" w:type="dxa"/>
                  <w:vAlign w:val="center"/>
                </w:tcPr>
                <w:p w14:paraId="4AC7A6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处置措施</w:t>
                  </w:r>
                </w:p>
              </w:tc>
            </w:tr>
            <w:tr w14:paraId="3B7F29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7" w:hRule="atLeast"/>
                <w:jc w:val="center"/>
              </w:trPr>
              <w:tc>
                <w:tcPr>
                  <w:tcW w:w="1696" w:type="dxa"/>
                  <w:vAlign w:val="center"/>
                </w:tcPr>
                <w:p w14:paraId="519614D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弃土</w:t>
                  </w:r>
                </w:p>
              </w:tc>
              <w:tc>
                <w:tcPr>
                  <w:tcW w:w="2097" w:type="dxa"/>
                  <w:vAlign w:val="center"/>
                </w:tcPr>
                <w:p w14:paraId="427ABA6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土、石</w:t>
                  </w:r>
                </w:p>
              </w:tc>
              <w:tc>
                <w:tcPr>
                  <w:tcW w:w="1912" w:type="dxa"/>
                  <w:vAlign w:val="center"/>
                </w:tcPr>
                <w:p w14:paraId="7065F63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Times New Roman" w:cs="Times New Roman"/>
                      <w:color w:val="auto"/>
                      <w:spacing w:val="0"/>
                      <w:w w:val="100"/>
                      <w:sz w:val="14"/>
                      <w:szCs w:val="14"/>
                    </w:rPr>
                  </w:pPr>
                  <w:r>
                    <w:rPr>
                      <w:rFonts w:hint="eastAsia" w:ascii="Times New Roman" w:hAnsi="Times New Roman" w:eastAsia="宋体" w:cs="Times New Roman"/>
                      <w:color w:val="auto"/>
                      <w:spacing w:val="0"/>
                      <w:w w:val="100"/>
                      <w:sz w:val="21"/>
                      <w:szCs w:val="21"/>
                      <w:lang w:val="en-US" w:eastAsia="zh-CN"/>
                    </w:rPr>
                    <w:t>73</w:t>
                  </w:r>
                  <w:r>
                    <w:rPr>
                      <w:rFonts w:hint="default" w:ascii="Times New Roman" w:hAnsi="Times New Roman" w:eastAsia="Times New Roman" w:cs="Times New Roman"/>
                      <w:color w:val="auto"/>
                      <w:spacing w:val="0"/>
                      <w:w w:val="100"/>
                      <w:sz w:val="21"/>
                      <w:szCs w:val="21"/>
                    </w:rPr>
                    <w:t>m</w:t>
                  </w:r>
                  <w:r>
                    <w:rPr>
                      <w:rFonts w:hint="default" w:ascii="Times New Roman" w:hAnsi="Times New Roman" w:eastAsia="Times New Roman" w:cs="Times New Roman"/>
                      <w:color w:val="auto"/>
                      <w:spacing w:val="0"/>
                      <w:w w:val="100"/>
                      <w:position w:val="6"/>
                      <w:sz w:val="14"/>
                      <w:szCs w:val="14"/>
                    </w:rPr>
                    <w:t>3</w:t>
                  </w:r>
                </w:p>
              </w:tc>
              <w:tc>
                <w:tcPr>
                  <w:tcW w:w="3153" w:type="dxa"/>
                  <w:vAlign w:val="center"/>
                </w:tcPr>
                <w:p w14:paraId="3FD6A3A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弃方运至指定弃土场堆放</w:t>
                  </w:r>
                </w:p>
              </w:tc>
            </w:tr>
            <w:tr w14:paraId="584220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9" w:hRule="atLeast"/>
                <w:jc w:val="center"/>
              </w:trPr>
              <w:tc>
                <w:tcPr>
                  <w:tcW w:w="1696" w:type="dxa"/>
                  <w:vAlign w:val="center"/>
                </w:tcPr>
                <w:p w14:paraId="289885D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建筑垃圾</w:t>
                  </w:r>
                </w:p>
              </w:tc>
              <w:tc>
                <w:tcPr>
                  <w:tcW w:w="2097" w:type="dxa"/>
                  <w:vAlign w:val="center"/>
                </w:tcPr>
                <w:p w14:paraId="020C064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eastAsia" w:ascii="Times New Roman" w:hAnsi="Times New Roman" w:eastAsia="宋体" w:cs="Times New Roman"/>
                      <w:color w:val="auto"/>
                      <w:spacing w:val="0"/>
                      <w:w w:val="100"/>
                      <w:sz w:val="21"/>
                      <w:szCs w:val="21"/>
                      <w:lang w:eastAsia="zh-CN"/>
                    </w:rPr>
                    <w:t>混凝土</w:t>
                  </w:r>
                  <w:r>
                    <w:rPr>
                      <w:rFonts w:hint="default" w:ascii="Times New Roman" w:hAnsi="Times New Roman" w:eastAsia="宋体" w:cs="Times New Roman"/>
                      <w:color w:val="auto"/>
                      <w:spacing w:val="0"/>
                      <w:w w:val="100"/>
                      <w:sz w:val="21"/>
                      <w:szCs w:val="21"/>
                    </w:rPr>
                    <w:t>块、钢筋头等</w:t>
                  </w:r>
                </w:p>
              </w:tc>
              <w:tc>
                <w:tcPr>
                  <w:tcW w:w="1912" w:type="dxa"/>
                  <w:vAlign w:val="center"/>
                </w:tcPr>
                <w:p w14:paraId="00B2D2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Times New Roman" w:cs="Times New Roman"/>
                      <w:color w:val="auto"/>
                      <w:spacing w:val="0"/>
                      <w:w w:val="100"/>
                      <w:sz w:val="21"/>
                      <w:szCs w:val="21"/>
                    </w:rPr>
                  </w:pPr>
                  <w:r>
                    <w:rPr>
                      <w:rFonts w:hint="eastAsia" w:ascii="Times New Roman" w:hAnsi="Times New Roman" w:eastAsia="宋体" w:cs="Times New Roman"/>
                      <w:color w:val="auto"/>
                      <w:spacing w:val="0"/>
                      <w:w w:val="100"/>
                      <w:sz w:val="21"/>
                      <w:szCs w:val="21"/>
                      <w:lang w:val="en-US" w:eastAsia="zh-CN"/>
                    </w:rPr>
                    <w:t>8</w:t>
                  </w:r>
                  <w:r>
                    <w:rPr>
                      <w:rFonts w:hint="default" w:ascii="Times New Roman" w:hAnsi="Times New Roman" w:eastAsia="Times New Roman" w:cs="Times New Roman"/>
                      <w:color w:val="auto"/>
                      <w:spacing w:val="0"/>
                      <w:w w:val="100"/>
                      <w:sz w:val="21"/>
                      <w:szCs w:val="21"/>
                    </w:rPr>
                    <w:t>.4t</w:t>
                  </w:r>
                </w:p>
              </w:tc>
              <w:tc>
                <w:tcPr>
                  <w:tcW w:w="3153" w:type="dxa"/>
                  <w:vAlign w:val="center"/>
                </w:tcPr>
                <w:p w14:paraId="2C27F9B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运往乡镇规划部门指定地点堆放</w:t>
                  </w:r>
                </w:p>
              </w:tc>
            </w:tr>
            <w:tr w14:paraId="31F233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696" w:type="dxa"/>
                  <w:vAlign w:val="center"/>
                </w:tcPr>
                <w:p w14:paraId="474FBED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生活垃圾</w:t>
                  </w:r>
                </w:p>
              </w:tc>
              <w:tc>
                <w:tcPr>
                  <w:tcW w:w="2097" w:type="dxa"/>
                  <w:vAlign w:val="center"/>
                </w:tcPr>
                <w:p w14:paraId="79A7C9D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w:t>
                  </w:r>
                </w:p>
              </w:tc>
              <w:tc>
                <w:tcPr>
                  <w:tcW w:w="1912" w:type="dxa"/>
                  <w:vAlign w:val="center"/>
                </w:tcPr>
                <w:p w14:paraId="64E9F82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15kg/d</w:t>
                  </w:r>
                </w:p>
              </w:tc>
              <w:tc>
                <w:tcPr>
                  <w:tcW w:w="3153" w:type="dxa"/>
                  <w:vAlign w:val="center"/>
                </w:tcPr>
                <w:p w14:paraId="5039D16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由环卫部门统一清运处理</w:t>
                  </w:r>
                </w:p>
              </w:tc>
            </w:tr>
          </w:tbl>
          <w:p w14:paraId="79A3316B">
            <w:pPr>
              <w:keepNext w:val="0"/>
              <w:keepLines w:val="0"/>
              <w:pageBreakBefore w:val="0"/>
              <w:suppressLineNumbers w:val="0"/>
              <w:wordWrap/>
              <w:overflowPunct/>
              <w:topLinePunct w:val="0"/>
              <w:bidi w:val="0"/>
              <w:spacing w:before="0" w:beforeAutospacing="0" w:after="0" w:afterAutospacing="0" w:line="360" w:lineRule="auto"/>
              <w:ind w:left="0" w:right="0" w:firstLine="480" w:firstLineChars="200"/>
              <w:textAlignment w:val="baseline"/>
              <w:rPr>
                <w:rFonts w:hint="eastAsia"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（5）生态</w:t>
            </w:r>
            <w:r>
              <w:rPr>
                <w:rFonts w:hint="eastAsia" w:ascii="Times New Roman" w:hAnsi="Times New Roman" w:eastAsia="宋体" w:cs="Times New Roman"/>
                <w:color w:val="auto"/>
                <w:spacing w:val="0"/>
                <w:w w:val="100"/>
                <w:sz w:val="24"/>
                <w:szCs w:val="24"/>
                <w:lang w:val="en-US" w:eastAsia="zh-CN"/>
              </w:rPr>
              <w:t>治理</w:t>
            </w:r>
          </w:p>
          <w:p w14:paraId="25EB5A2C">
            <w:pPr>
              <w:keepNext w:val="0"/>
              <w:keepLines w:val="0"/>
              <w:numPr>
                <w:ilvl w:val="0"/>
                <w:numId w:val="0"/>
              </w:numPr>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sz w:val="24"/>
                <w:szCs w:val="22"/>
              </w:rPr>
            </w:pPr>
            <w:r>
              <w:rPr>
                <w:rFonts w:hint="default" w:ascii="Times New Roman" w:hAnsi="Times New Roman" w:cs="Times New Roman"/>
                <w:color w:val="auto"/>
                <w:sz w:val="24"/>
                <w:szCs w:val="22"/>
              </w:rPr>
              <w:t>生态环境的影响主要表现在</w:t>
            </w:r>
            <w:r>
              <w:rPr>
                <w:rFonts w:hint="default" w:ascii="Times New Roman" w:hAnsi="Times New Roman" w:cs="Times New Roman"/>
                <w:color w:val="auto"/>
                <w:sz w:val="24"/>
                <w:szCs w:val="22"/>
                <w:lang w:eastAsia="zh-CN"/>
              </w:rPr>
              <w:t>地表</w:t>
            </w:r>
            <w:r>
              <w:rPr>
                <w:rFonts w:hint="default" w:ascii="Times New Roman" w:hAnsi="Times New Roman" w:cs="Times New Roman"/>
                <w:color w:val="auto"/>
                <w:sz w:val="24"/>
                <w:szCs w:val="22"/>
              </w:rPr>
              <w:t>开挖过程中</w:t>
            </w:r>
            <w:r>
              <w:rPr>
                <w:rFonts w:hint="default" w:ascii="Times New Roman" w:hAnsi="Times New Roman" w:cs="Times New Roman"/>
                <w:color w:val="auto"/>
                <w:sz w:val="24"/>
                <w:szCs w:val="22"/>
                <w:lang w:eastAsia="zh-CN"/>
              </w:rPr>
              <w:t>产生的土方</w:t>
            </w:r>
            <w:r>
              <w:rPr>
                <w:rFonts w:hint="default" w:ascii="Times New Roman" w:hAnsi="Times New Roman" w:cs="Times New Roman"/>
                <w:color w:val="auto"/>
                <w:sz w:val="24"/>
                <w:szCs w:val="22"/>
              </w:rPr>
              <w:t>临时占用土地、破坏土壤结构和土壤环境、破坏地表植被等方面。该影响均属于短期影响，在采取适当保护措施并在施工结束后对植被进行恢复后，施工期对环境的影响是可以接受的，因此对周围环境的影响不大。</w:t>
            </w:r>
          </w:p>
          <w:p w14:paraId="70F6E8A0">
            <w:pPr>
              <w:keepNext w:val="0"/>
              <w:keepLines w:val="0"/>
              <w:pageBreakBefore w:val="0"/>
              <w:suppressLineNumbers w:val="0"/>
              <w:wordWrap/>
              <w:overflowPunct/>
              <w:topLinePunct w:val="0"/>
              <w:bidi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b w:val="0"/>
                <w:bCs w:val="0"/>
                <w:color w:val="auto"/>
                <w:spacing w:val="0"/>
                <w:w w:val="100"/>
                <w:sz w:val="24"/>
                <w:szCs w:val="24"/>
              </w:rPr>
              <w:t>本项目临时工程位于</w:t>
            </w:r>
            <w:r>
              <w:rPr>
                <w:rFonts w:hint="eastAsia" w:ascii="Times New Roman" w:hAnsi="Times New Roman" w:eastAsia="宋体" w:cs="Times New Roman"/>
                <w:b w:val="0"/>
                <w:bCs w:val="0"/>
                <w:color w:val="auto"/>
                <w:spacing w:val="0"/>
                <w:w w:val="100"/>
                <w:sz w:val="24"/>
                <w:szCs w:val="24"/>
                <w:lang w:eastAsia="zh-CN"/>
              </w:rPr>
              <w:t>污水处理厂</w:t>
            </w:r>
            <w:r>
              <w:rPr>
                <w:rFonts w:hint="default" w:ascii="Times New Roman" w:hAnsi="Times New Roman" w:eastAsia="宋体" w:cs="Times New Roman"/>
                <w:b w:val="0"/>
                <w:bCs w:val="0"/>
                <w:color w:val="auto"/>
                <w:spacing w:val="0"/>
                <w:w w:val="100"/>
                <w:sz w:val="24"/>
                <w:szCs w:val="24"/>
              </w:rPr>
              <w:t>用地范围内，完工后，及时回填，防止雨水冲刷</w:t>
            </w:r>
            <w:r>
              <w:rPr>
                <w:rFonts w:hint="default" w:ascii="Times New Roman" w:hAnsi="Times New Roman" w:eastAsia="宋体" w:cs="Times New Roman"/>
                <w:color w:val="auto"/>
                <w:spacing w:val="0"/>
                <w:w w:val="100"/>
                <w:sz w:val="24"/>
                <w:szCs w:val="24"/>
              </w:rPr>
              <w:t>。</w:t>
            </w:r>
          </w:p>
          <w:p w14:paraId="2F46218D">
            <w:pPr>
              <w:keepNext w:val="0"/>
              <w:keepLines w:val="0"/>
              <w:numPr>
                <w:ilvl w:val="0"/>
                <w:numId w:val="0"/>
              </w:numPr>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sz w:val="24"/>
                <w:szCs w:val="22"/>
              </w:rPr>
            </w:pPr>
            <w:r>
              <w:rPr>
                <w:rFonts w:hint="default" w:ascii="Times New Roman" w:hAnsi="Times New Roman" w:cs="Times New Roman"/>
                <w:color w:val="auto"/>
                <w:sz w:val="24"/>
                <w:szCs w:val="22"/>
              </w:rPr>
              <w:t>项目施工结束后，项目区域内进行绿化，绿化植被采取灌草结合的方式，对空地进行绿化，并在厂址周边种植行道树，运营期做好植被养护工作。通过以上措施，可使区域内生态环境得到改善。</w:t>
            </w:r>
          </w:p>
          <w:p w14:paraId="75D71671">
            <w:pPr>
              <w:keepNext w:val="0"/>
              <w:keepLines w:val="0"/>
              <w:pageBreakBefore w:val="0"/>
              <w:suppressLineNumbers w:val="0"/>
              <w:wordWrap/>
              <w:overflowPunct/>
              <w:topLinePunct w:val="0"/>
              <w:bidi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（6）水土流失</w:t>
            </w:r>
          </w:p>
          <w:p w14:paraId="7A99FFF9">
            <w:pPr>
              <w:keepNext w:val="0"/>
              <w:keepLines w:val="0"/>
              <w:pageBreakBefore w:val="0"/>
              <w:suppressLineNumbers w:val="0"/>
              <w:wordWrap/>
              <w:overflowPunct/>
              <w:topLinePunct w:val="0"/>
              <w:bidi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项目施工期间，由于地表开挖，导致土壤裸露、结构松散，易被雨水冲刷而造成水土流失。为减少施工场地水土流失量，施工单位应采取以下防治措施：</w:t>
            </w:r>
          </w:p>
          <w:p w14:paraId="757ED82E">
            <w:pPr>
              <w:keepNext w:val="0"/>
              <w:keepLines w:val="0"/>
              <w:pageBreakBefore w:val="0"/>
              <w:suppressLineNumbers w:val="0"/>
              <w:wordWrap/>
              <w:overflowPunct/>
              <w:topLinePunct w:val="0"/>
              <w:bidi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①应尽量避开雨季施工</w:t>
            </w:r>
            <w:r>
              <w:rPr>
                <w:rFonts w:hint="eastAsia" w:ascii="Times New Roman" w:hAnsi="Times New Roman" w:eastAsia="宋体" w:cs="Times New Roman"/>
                <w:color w:val="auto"/>
                <w:spacing w:val="0"/>
                <w:w w:val="100"/>
                <w:sz w:val="24"/>
                <w:szCs w:val="24"/>
                <w:lang w:eastAsia="zh-CN"/>
              </w:rPr>
              <w:t>，在</w:t>
            </w:r>
            <w:r>
              <w:rPr>
                <w:rFonts w:hint="default" w:ascii="Times New Roman" w:hAnsi="Times New Roman" w:eastAsia="宋体" w:cs="Times New Roman"/>
                <w:color w:val="auto"/>
                <w:spacing w:val="0"/>
                <w:w w:val="100"/>
                <w:sz w:val="24"/>
                <w:szCs w:val="24"/>
              </w:rPr>
              <w:t>强降雨来临前做好预防工作；</w:t>
            </w:r>
          </w:p>
          <w:p w14:paraId="58F09463">
            <w:pPr>
              <w:keepNext w:val="0"/>
              <w:keepLines w:val="0"/>
              <w:pageBreakBefore w:val="0"/>
              <w:suppressLineNumbers w:val="0"/>
              <w:wordWrap/>
              <w:overflowPunct/>
              <w:topLinePunct w:val="0"/>
              <w:bidi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②制定合理的施工方案，施工材料堆放场应选择较为平整的场地且远离</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w:t>
            </w:r>
          </w:p>
          <w:p w14:paraId="05085785">
            <w:pPr>
              <w:keepNext w:val="0"/>
              <w:keepLines w:val="0"/>
              <w:pageBreakBefore w:val="0"/>
              <w:suppressLineNumbers w:val="0"/>
              <w:wordWrap/>
              <w:overflowPunct/>
              <w:topLinePunct w:val="0"/>
              <w:bidi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③工程施工应分期分区进行，不要全面铺开以缩短单项工期，减少开挖的裸露面；</w:t>
            </w:r>
          </w:p>
          <w:p w14:paraId="38F69ED0">
            <w:pPr>
              <w:keepNext w:val="0"/>
              <w:keepLines w:val="0"/>
              <w:pageBreakBefore w:val="0"/>
              <w:suppressLineNumbers w:val="0"/>
              <w:wordWrap/>
              <w:overflowPunct/>
              <w:topLinePunct w:val="0"/>
              <w:bidi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④根据工程施工进度，开挖的裸露面要有</w:t>
            </w:r>
            <w:r>
              <w:rPr>
                <w:rFonts w:hint="eastAsia" w:ascii="Times New Roman" w:hAnsi="Times New Roman" w:eastAsia="宋体" w:cs="Times New Roman"/>
                <w:color w:val="auto"/>
                <w:spacing w:val="0"/>
                <w:w w:val="100"/>
                <w:sz w:val="24"/>
                <w:szCs w:val="24"/>
                <w:lang w:eastAsia="zh-CN"/>
              </w:rPr>
              <w:t>防治措施</w:t>
            </w:r>
            <w:r>
              <w:rPr>
                <w:rFonts w:hint="default" w:ascii="Times New Roman" w:hAnsi="Times New Roman" w:eastAsia="宋体" w:cs="Times New Roman"/>
                <w:color w:val="auto"/>
                <w:spacing w:val="0"/>
                <w:w w:val="100"/>
                <w:sz w:val="24"/>
                <w:szCs w:val="24"/>
              </w:rPr>
              <w:t>，尽量缩短暴露时间，减少水土流失。</w:t>
            </w:r>
          </w:p>
          <w:p w14:paraId="20761DC4">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Cs/>
                <w:color w:val="auto"/>
                <w:spacing w:val="0"/>
                <w:w w:val="100"/>
                <w:szCs w:val="21"/>
                <w:lang w:val="en-US"/>
              </w:rPr>
            </w:pPr>
            <w:r>
              <w:rPr>
                <w:rFonts w:hint="default" w:ascii="Times New Roman" w:hAnsi="Times New Roman" w:eastAsia="宋体" w:cs="Times New Roman"/>
                <w:color w:val="auto"/>
                <w:spacing w:val="0"/>
                <w:w w:val="100"/>
                <w:sz w:val="24"/>
                <w:szCs w:val="24"/>
              </w:rPr>
              <w:t>综上所述，项目施工期虽然对所在区域的生态环境造成一定的影响，但此影响是暂时的，将随着施工期的结束而结束；且项目施工期将采取必要的水土流失防治措施，项目建成后将对区域内地表进行绿化，种植花草树木，以恢复施工期造成的生态破坏，因此，项目施工期对生态环境的影响很小。</w:t>
            </w:r>
          </w:p>
        </w:tc>
      </w:tr>
      <w:tr w14:paraId="67C5E3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49" w:hRule="atLeast"/>
          <w:jc w:val="center"/>
        </w:trPr>
        <w:tc>
          <w:tcPr>
            <w:tcW w:w="614" w:type="dxa"/>
            <w:tcBorders>
              <w:top w:val="single" w:color="auto" w:sz="4" w:space="0"/>
              <w:left w:val="single" w:color="auto" w:sz="8" w:space="0"/>
              <w:bottom w:val="single" w:color="auto" w:sz="8" w:space="0"/>
              <w:right w:val="single" w:color="auto" w:sz="4" w:space="0"/>
            </w:tcBorders>
            <w:shd w:val="clear" w:color="auto" w:fill="auto"/>
            <w:tcMar>
              <w:left w:w="28" w:type="dxa"/>
              <w:right w:w="28" w:type="dxa"/>
            </w:tcMar>
            <w:vAlign w:val="center"/>
          </w:tcPr>
          <w:p w14:paraId="59F2ED59">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spacing w:val="0"/>
                <w:w w:val="100"/>
                <w:sz w:val="24"/>
                <w:szCs w:val="24"/>
                <w:lang w:val="en-US"/>
              </w:rPr>
            </w:pPr>
            <w:r>
              <w:rPr>
                <w:rFonts w:hint="default" w:ascii="Times New Roman" w:hAnsi="Times New Roman" w:eastAsia="宋体" w:cs="Times New Roman"/>
                <w:bCs/>
                <w:color w:val="auto"/>
                <w:spacing w:val="0"/>
                <w:w w:val="100"/>
                <w:kern w:val="2"/>
                <w:sz w:val="24"/>
                <w:szCs w:val="24"/>
                <w:lang w:val="en-US" w:eastAsia="zh-CN" w:bidi="ar"/>
              </w:rPr>
              <w:t>运营</w:t>
            </w:r>
          </w:p>
          <w:p w14:paraId="4EDD4803">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spacing w:val="0"/>
                <w:w w:val="100"/>
                <w:sz w:val="24"/>
                <w:szCs w:val="24"/>
                <w:lang w:val="en-US"/>
              </w:rPr>
            </w:pPr>
            <w:r>
              <w:rPr>
                <w:rFonts w:hint="default" w:ascii="Times New Roman" w:hAnsi="Times New Roman" w:eastAsia="宋体" w:cs="Times New Roman"/>
                <w:bCs/>
                <w:color w:val="auto"/>
                <w:spacing w:val="0"/>
                <w:w w:val="100"/>
                <w:kern w:val="2"/>
                <w:sz w:val="24"/>
                <w:szCs w:val="24"/>
                <w:lang w:val="en-US" w:eastAsia="zh-CN" w:bidi="ar"/>
              </w:rPr>
              <w:t>期环</w:t>
            </w:r>
          </w:p>
          <w:p w14:paraId="66545FD7">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spacing w:val="0"/>
                <w:w w:val="100"/>
                <w:sz w:val="24"/>
                <w:szCs w:val="24"/>
                <w:lang w:val="en-US"/>
              </w:rPr>
            </w:pPr>
            <w:r>
              <w:rPr>
                <w:rFonts w:hint="default" w:ascii="Times New Roman" w:hAnsi="Times New Roman" w:eastAsia="宋体" w:cs="Times New Roman"/>
                <w:bCs/>
                <w:color w:val="auto"/>
                <w:spacing w:val="0"/>
                <w:w w:val="100"/>
                <w:kern w:val="2"/>
                <w:sz w:val="24"/>
                <w:szCs w:val="24"/>
                <w:lang w:val="en-US" w:eastAsia="zh-CN" w:bidi="ar"/>
              </w:rPr>
              <w:t>境影</w:t>
            </w:r>
          </w:p>
          <w:p w14:paraId="73D74A05">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spacing w:val="0"/>
                <w:w w:val="100"/>
                <w:sz w:val="24"/>
                <w:szCs w:val="24"/>
                <w:lang w:val="en-US"/>
              </w:rPr>
            </w:pPr>
            <w:r>
              <w:rPr>
                <w:rFonts w:hint="default" w:ascii="Times New Roman" w:hAnsi="Times New Roman" w:eastAsia="宋体" w:cs="Times New Roman"/>
                <w:bCs/>
                <w:color w:val="auto"/>
                <w:spacing w:val="0"/>
                <w:w w:val="100"/>
                <w:kern w:val="2"/>
                <w:sz w:val="24"/>
                <w:szCs w:val="24"/>
                <w:lang w:val="en-US" w:eastAsia="zh-CN" w:bidi="ar"/>
              </w:rPr>
              <w:t>响和</w:t>
            </w:r>
          </w:p>
          <w:p w14:paraId="312292E2">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spacing w:val="0"/>
                <w:w w:val="100"/>
                <w:sz w:val="24"/>
                <w:szCs w:val="24"/>
                <w:lang w:val="en-US"/>
              </w:rPr>
            </w:pPr>
            <w:r>
              <w:rPr>
                <w:rFonts w:hint="default" w:ascii="Times New Roman" w:hAnsi="Times New Roman" w:eastAsia="宋体" w:cs="Times New Roman"/>
                <w:bCs/>
                <w:color w:val="auto"/>
                <w:spacing w:val="0"/>
                <w:w w:val="100"/>
                <w:kern w:val="2"/>
                <w:sz w:val="24"/>
                <w:szCs w:val="24"/>
                <w:lang w:val="en-US" w:eastAsia="zh-CN" w:bidi="ar"/>
              </w:rPr>
              <w:t>保护</w:t>
            </w:r>
          </w:p>
          <w:p w14:paraId="669F9C81">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spacing w:val="0"/>
                <w:w w:val="100"/>
                <w:szCs w:val="21"/>
                <w:lang w:val="en-US"/>
              </w:rPr>
            </w:pPr>
            <w:r>
              <w:rPr>
                <w:rFonts w:hint="default" w:ascii="Times New Roman" w:hAnsi="Times New Roman" w:eastAsia="宋体" w:cs="Times New Roman"/>
                <w:bCs/>
                <w:color w:val="auto"/>
                <w:spacing w:val="0"/>
                <w:w w:val="100"/>
                <w:kern w:val="2"/>
                <w:sz w:val="24"/>
                <w:szCs w:val="24"/>
                <w:lang w:val="en-US" w:eastAsia="zh-CN" w:bidi="ar"/>
              </w:rPr>
              <w:t>措施</w:t>
            </w:r>
          </w:p>
        </w:tc>
        <w:tc>
          <w:tcPr>
            <w:tcW w:w="9165" w:type="dxa"/>
            <w:tcBorders>
              <w:top w:val="single" w:color="auto" w:sz="4" w:space="0"/>
              <w:left w:val="single" w:color="auto" w:sz="4" w:space="0"/>
              <w:bottom w:val="single" w:color="auto" w:sz="8" w:space="0"/>
              <w:right w:val="single" w:color="auto" w:sz="8" w:space="0"/>
            </w:tcBorders>
            <w:shd w:val="clear" w:color="auto" w:fill="auto"/>
            <w:vAlign w:val="top"/>
          </w:tcPr>
          <w:p w14:paraId="5BA71281">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kern w:val="0"/>
                <w:sz w:val="24"/>
                <w:szCs w:val="24"/>
              </w:rPr>
              <w:t>1、</w:t>
            </w:r>
            <w:r>
              <w:rPr>
                <w:rFonts w:hint="default" w:ascii="Times New Roman" w:hAnsi="Times New Roman" w:eastAsia="宋体" w:cs="Times New Roman"/>
                <w:color w:val="auto"/>
                <w:spacing w:val="0"/>
                <w:w w:val="100"/>
                <w:sz w:val="24"/>
                <w:szCs w:val="24"/>
              </w:rPr>
              <w:t>废气</w:t>
            </w:r>
          </w:p>
          <w:p w14:paraId="7836A1D7">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t>本项目污染物产排情况及污染防治措施见下表。</w:t>
            </w:r>
          </w:p>
          <w:p w14:paraId="327E6B61">
            <w:pPr>
              <w:keepNext w:val="0"/>
              <w:keepLines w:val="0"/>
              <w:suppressLineNumbers w:val="0"/>
              <w:spacing w:before="0" w:beforeAutospacing="0" w:after="0" w:afterAutospacing="0"/>
              <w:ind w:left="0" w:right="0" w:firstLine="420" w:firstLineChars="20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表</w:t>
            </w:r>
            <w:r>
              <w:rPr>
                <w:rFonts w:hint="eastAsia" w:ascii="Times New Roman" w:hAnsi="Times New Roman" w:eastAsia="宋体" w:cs="Times New Roman"/>
                <w:color w:val="auto"/>
                <w:spacing w:val="0"/>
                <w:w w:val="100"/>
                <w:sz w:val="21"/>
                <w:szCs w:val="21"/>
                <w:lang w:val="en-US" w:eastAsia="zh-CN"/>
              </w:rPr>
              <w:t>4-3</w:t>
            </w:r>
            <w:r>
              <w:rPr>
                <w:rFonts w:hint="default" w:ascii="Times New Roman" w:hAnsi="Times New Roman" w:eastAsia="宋体" w:cs="Times New Roman"/>
                <w:color w:val="auto"/>
                <w:spacing w:val="0"/>
                <w:w w:val="100"/>
                <w:sz w:val="21"/>
                <w:szCs w:val="21"/>
                <w:lang w:val="en-US" w:eastAsia="zh-CN"/>
              </w:rPr>
              <w:t xml:space="preserve"> </w:t>
            </w:r>
            <w:r>
              <w:rPr>
                <w:rFonts w:hint="default" w:ascii="Times New Roman" w:hAnsi="Times New Roman" w:eastAsia="宋体" w:cs="Times New Roman"/>
                <w:color w:val="auto"/>
                <w:spacing w:val="0"/>
                <w:w w:val="100"/>
                <w:sz w:val="21"/>
                <w:szCs w:val="21"/>
              </w:rPr>
              <w:t xml:space="preserve"> </w:t>
            </w:r>
            <w:r>
              <w:rPr>
                <w:rFonts w:hint="default" w:ascii="Times New Roman" w:hAnsi="Times New Roman" w:eastAsia="宋体" w:cs="Times New Roman"/>
                <w:color w:val="auto"/>
                <w:spacing w:val="0"/>
                <w:w w:val="100"/>
                <w:sz w:val="21"/>
                <w:szCs w:val="21"/>
                <w:lang w:eastAsia="zh-CN"/>
              </w:rPr>
              <w:t>项目</w:t>
            </w:r>
            <w:r>
              <w:rPr>
                <w:rFonts w:hint="default" w:ascii="Times New Roman" w:hAnsi="Times New Roman" w:eastAsia="宋体" w:cs="Times New Roman"/>
                <w:color w:val="auto"/>
                <w:spacing w:val="0"/>
                <w:w w:val="100"/>
                <w:sz w:val="21"/>
                <w:szCs w:val="21"/>
              </w:rPr>
              <w:t>污染物</w:t>
            </w:r>
            <w:r>
              <w:rPr>
                <w:rFonts w:hint="default" w:ascii="Times New Roman" w:hAnsi="Times New Roman" w:eastAsia="宋体" w:cs="Times New Roman"/>
                <w:color w:val="auto"/>
                <w:spacing w:val="0"/>
                <w:w w:val="100"/>
                <w:sz w:val="21"/>
                <w:szCs w:val="21"/>
                <w:lang w:eastAsia="zh-CN"/>
              </w:rPr>
              <w:t>产</w:t>
            </w:r>
            <w:r>
              <w:rPr>
                <w:rFonts w:hint="default" w:ascii="Times New Roman" w:hAnsi="Times New Roman" w:eastAsia="宋体" w:cs="Times New Roman"/>
                <w:color w:val="auto"/>
                <w:spacing w:val="0"/>
                <w:w w:val="100"/>
                <w:sz w:val="21"/>
                <w:szCs w:val="21"/>
              </w:rPr>
              <w:t>排情况</w:t>
            </w:r>
            <w:r>
              <w:rPr>
                <w:rFonts w:hint="default" w:ascii="Times New Roman" w:hAnsi="Times New Roman" w:eastAsia="宋体" w:cs="Times New Roman"/>
                <w:color w:val="auto"/>
                <w:spacing w:val="0"/>
                <w:w w:val="100"/>
                <w:sz w:val="21"/>
                <w:szCs w:val="21"/>
                <w:lang w:eastAsia="zh-CN"/>
              </w:rPr>
              <w:t>及污染防治措施</w:t>
            </w:r>
            <w:r>
              <w:rPr>
                <w:rFonts w:hint="default" w:ascii="Times New Roman" w:hAnsi="Times New Roman" w:eastAsia="宋体" w:cs="Times New Roman"/>
                <w:color w:val="auto"/>
                <w:spacing w:val="0"/>
                <w:w w:val="100"/>
                <w:sz w:val="21"/>
                <w:szCs w:val="21"/>
              </w:rPr>
              <w:t>一览表</w:t>
            </w:r>
          </w:p>
          <w:tbl>
            <w:tblPr>
              <w:tblStyle w:val="21"/>
              <w:tblW w:w="9043" w:type="dxa"/>
              <w:tblInd w:w="-5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677"/>
              <w:gridCol w:w="740"/>
              <w:gridCol w:w="927"/>
              <w:gridCol w:w="1704"/>
              <w:gridCol w:w="792"/>
              <w:gridCol w:w="948"/>
              <w:gridCol w:w="699"/>
              <w:gridCol w:w="820"/>
              <w:gridCol w:w="1005"/>
            </w:tblGrid>
            <w:tr w14:paraId="64C1A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 w:hRule="atLeast"/>
              </w:trPr>
              <w:tc>
                <w:tcPr>
                  <w:tcW w:w="404" w:type="pct"/>
                  <w:tcBorders>
                    <w:tl2br w:val="nil"/>
                    <w:tr2bl w:val="nil"/>
                  </w:tcBorders>
                  <w:noWrap w:val="0"/>
                  <w:vAlign w:val="center"/>
                </w:tcPr>
                <w:p w14:paraId="35AF3E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产污环节</w:t>
                  </w:r>
                </w:p>
              </w:tc>
              <w:tc>
                <w:tcPr>
                  <w:tcW w:w="374" w:type="pct"/>
                  <w:tcBorders>
                    <w:tl2br w:val="nil"/>
                    <w:tr2bl w:val="nil"/>
                  </w:tcBorders>
                  <w:noWrap w:val="0"/>
                  <w:vAlign w:val="center"/>
                </w:tcPr>
                <w:p w14:paraId="5BD063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污染物</w:t>
                  </w:r>
                  <w:r>
                    <w:rPr>
                      <w:rFonts w:hint="default" w:ascii="Times New Roman" w:hAnsi="Times New Roman" w:eastAsia="宋体" w:cs="Times New Roman"/>
                      <w:b w:val="0"/>
                      <w:bCs w:val="0"/>
                      <w:color w:val="auto"/>
                      <w:spacing w:val="0"/>
                      <w:w w:val="100"/>
                      <w:sz w:val="21"/>
                      <w:szCs w:val="21"/>
                      <w:lang w:eastAsia="zh-CN"/>
                    </w:rPr>
                    <w:t>种类</w:t>
                  </w:r>
                </w:p>
              </w:tc>
              <w:tc>
                <w:tcPr>
                  <w:tcW w:w="409" w:type="pct"/>
                  <w:tcBorders>
                    <w:tl2br w:val="nil"/>
                    <w:tr2bl w:val="nil"/>
                  </w:tcBorders>
                  <w:noWrap w:val="0"/>
                  <w:vAlign w:val="center"/>
                </w:tcPr>
                <w:p w14:paraId="137A39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产生量（t/a）</w:t>
                  </w:r>
                </w:p>
              </w:tc>
              <w:tc>
                <w:tcPr>
                  <w:tcW w:w="512" w:type="pct"/>
                  <w:tcBorders>
                    <w:tl2br w:val="nil"/>
                    <w:tr2bl w:val="nil"/>
                  </w:tcBorders>
                  <w:noWrap w:val="0"/>
                  <w:vAlign w:val="center"/>
                </w:tcPr>
                <w:p w14:paraId="44996D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lang w:eastAsia="zh-CN"/>
                    </w:rPr>
                    <w:t>产生浓度（</w:t>
                  </w:r>
                  <w:r>
                    <w:rPr>
                      <w:rFonts w:hint="default" w:ascii="Times New Roman" w:hAnsi="Times New Roman" w:eastAsia="宋体" w:cs="Times New Roman"/>
                      <w:b w:val="0"/>
                      <w:bCs w:val="0"/>
                      <w:color w:val="auto"/>
                      <w:spacing w:val="0"/>
                      <w:w w:val="100"/>
                      <w:sz w:val="21"/>
                      <w:szCs w:val="21"/>
                      <w:lang w:val="en-US" w:eastAsia="zh-CN"/>
                    </w:rPr>
                    <w:t>mg/m</w:t>
                  </w:r>
                  <w:r>
                    <w:rPr>
                      <w:rFonts w:hint="default" w:ascii="Times New Roman" w:hAnsi="Times New Roman" w:eastAsia="宋体" w:cs="Times New Roman"/>
                      <w:b w:val="0"/>
                      <w:bCs w:val="0"/>
                      <w:color w:val="auto"/>
                      <w:spacing w:val="0"/>
                      <w:w w:val="100"/>
                      <w:sz w:val="21"/>
                      <w:szCs w:val="21"/>
                      <w:vertAlign w:val="superscript"/>
                      <w:lang w:val="en-US" w:eastAsia="zh-CN"/>
                    </w:rPr>
                    <w:t>3</w:t>
                  </w:r>
                  <w:r>
                    <w:rPr>
                      <w:rFonts w:hint="default" w:ascii="Times New Roman" w:hAnsi="Times New Roman" w:eastAsia="宋体" w:cs="Times New Roman"/>
                      <w:b w:val="0"/>
                      <w:bCs w:val="0"/>
                      <w:color w:val="auto"/>
                      <w:spacing w:val="0"/>
                      <w:w w:val="100"/>
                      <w:sz w:val="21"/>
                      <w:szCs w:val="21"/>
                      <w:lang w:eastAsia="zh-CN"/>
                    </w:rPr>
                    <w:t>）</w:t>
                  </w:r>
                </w:p>
              </w:tc>
              <w:tc>
                <w:tcPr>
                  <w:tcW w:w="942" w:type="pct"/>
                  <w:tcBorders>
                    <w:tl2br w:val="nil"/>
                    <w:tr2bl w:val="nil"/>
                  </w:tcBorders>
                  <w:noWrap w:val="0"/>
                  <w:vAlign w:val="center"/>
                </w:tcPr>
                <w:p w14:paraId="01922C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处理措施</w:t>
                  </w:r>
                </w:p>
              </w:tc>
              <w:tc>
                <w:tcPr>
                  <w:tcW w:w="437" w:type="pct"/>
                  <w:tcBorders>
                    <w:tl2br w:val="nil"/>
                    <w:tr2bl w:val="nil"/>
                  </w:tcBorders>
                  <w:noWrap w:val="0"/>
                  <w:vAlign w:val="center"/>
                </w:tcPr>
                <w:p w14:paraId="5E4FCF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是否可行技术</w:t>
                  </w:r>
                </w:p>
              </w:tc>
              <w:tc>
                <w:tcPr>
                  <w:tcW w:w="524" w:type="pct"/>
                  <w:tcBorders>
                    <w:tl2br w:val="nil"/>
                    <w:tr2bl w:val="nil"/>
                  </w:tcBorders>
                  <w:noWrap w:val="0"/>
                  <w:vAlign w:val="center"/>
                </w:tcPr>
                <w:p w14:paraId="05C81C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排放量（t/a）</w:t>
                  </w:r>
                </w:p>
              </w:tc>
              <w:tc>
                <w:tcPr>
                  <w:tcW w:w="386" w:type="pct"/>
                  <w:tcBorders>
                    <w:tl2br w:val="nil"/>
                    <w:tr2bl w:val="nil"/>
                  </w:tcBorders>
                  <w:noWrap w:val="0"/>
                  <w:vAlign w:val="center"/>
                </w:tcPr>
                <w:p w14:paraId="195D6A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排放浓度（</w:t>
                  </w:r>
                  <w:r>
                    <w:rPr>
                      <w:rFonts w:hint="default" w:ascii="Times New Roman" w:hAnsi="Times New Roman" w:eastAsia="宋体" w:cs="Times New Roman"/>
                      <w:b w:val="0"/>
                      <w:bCs w:val="0"/>
                      <w:color w:val="auto"/>
                      <w:spacing w:val="0"/>
                      <w:w w:val="100"/>
                      <w:sz w:val="21"/>
                      <w:szCs w:val="21"/>
                      <w:lang w:val="en-US" w:eastAsia="zh-CN"/>
                    </w:rPr>
                    <w:t>mg/m</w:t>
                  </w:r>
                  <w:r>
                    <w:rPr>
                      <w:rFonts w:hint="default" w:ascii="Times New Roman" w:hAnsi="Times New Roman" w:eastAsia="宋体" w:cs="Times New Roman"/>
                      <w:b w:val="0"/>
                      <w:bCs w:val="0"/>
                      <w:color w:val="auto"/>
                      <w:spacing w:val="0"/>
                      <w:w w:val="100"/>
                      <w:sz w:val="21"/>
                      <w:szCs w:val="21"/>
                      <w:vertAlign w:val="superscript"/>
                      <w:lang w:val="en-US" w:eastAsia="zh-CN"/>
                    </w:rPr>
                    <w:t>3</w:t>
                  </w:r>
                  <w:r>
                    <w:rPr>
                      <w:rFonts w:hint="default" w:ascii="Times New Roman" w:hAnsi="Times New Roman" w:eastAsia="宋体" w:cs="Times New Roman"/>
                      <w:b w:val="0"/>
                      <w:bCs w:val="0"/>
                      <w:color w:val="auto"/>
                      <w:spacing w:val="0"/>
                      <w:w w:val="100"/>
                      <w:sz w:val="21"/>
                      <w:szCs w:val="21"/>
                      <w:lang w:eastAsia="zh-CN"/>
                    </w:rPr>
                    <w:t>）</w:t>
                  </w:r>
                </w:p>
              </w:tc>
              <w:tc>
                <w:tcPr>
                  <w:tcW w:w="453" w:type="pct"/>
                  <w:tcBorders>
                    <w:tl2br w:val="nil"/>
                    <w:tr2bl w:val="nil"/>
                  </w:tcBorders>
                  <w:noWrap w:val="0"/>
                  <w:vAlign w:val="center"/>
                </w:tcPr>
                <w:p w14:paraId="75DC71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排放速率（kg/h）</w:t>
                  </w:r>
                </w:p>
              </w:tc>
              <w:tc>
                <w:tcPr>
                  <w:tcW w:w="555" w:type="pct"/>
                  <w:tcBorders>
                    <w:tl2br w:val="nil"/>
                    <w:tr2bl w:val="nil"/>
                  </w:tcBorders>
                  <w:noWrap w:val="0"/>
                  <w:vAlign w:val="center"/>
                </w:tcPr>
                <w:p w14:paraId="07E018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排放</w:t>
                  </w:r>
                </w:p>
                <w:p w14:paraId="5ECA54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形式</w:t>
                  </w:r>
                </w:p>
              </w:tc>
            </w:tr>
            <w:tr w14:paraId="545A7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04" w:type="pct"/>
                  <w:vMerge w:val="restart"/>
                  <w:tcBorders>
                    <w:tl2br w:val="nil"/>
                    <w:tr2bl w:val="nil"/>
                  </w:tcBorders>
                  <w:noWrap w:val="0"/>
                  <w:vAlign w:val="center"/>
                </w:tcPr>
                <w:p w14:paraId="47CAC3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污水及污泥处理</w:t>
                  </w:r>
                </w:p>
              </w:tc>
              <w:tc>
                <w:tcPr>
                  <w:tcW w:w="374" w:type="pct"/>
                  <w:tcBorders>
                    <w:tl2br w:val="nil"/>
                    <w:tr2bl w:val="nil"/>
                  </w:tcBorders>
                  <w:noWrap w:val="0"/>
                  <w:vAlign w:val="center"/>
                </w:tcPr>
                <w:p w14:paraId="43E07C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40" w:type="dxa"/>
                  <w:tcBorders>
                    <w:tl2br w:val="nil"/>
                    <w:tr2bl w:val="nil"/>
                  </w:tcBorders>
                  <w:noWrap w:val="0"/>
                  <w:vAlign w:val="center"/>
                </w:tcPr>
                <w:p w14:paraId="3D0602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0.969 </w:t>
                  </w:r>
                </w:p>
              </w:tc>
              <w:tc>
                <w:tcPr>
                  <w:tcW w:w="927" w:type="dxa"/>
                  <w:tcBorders>
                    <w:tl2br w:val="nil"/>
                    <w:tr2bl w:val="nil"/>
                  </w:tcBorders>
                  <w:noWrap w:val="0"/>
                  <w:vAlign w:val="center"/>
                </w:tcPr>
                <w:p w14:paraId="6C3DA8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11.06</w:t>
                  </w:r>
                </w:p>
              </w:tc>
              <w:tc>
                <w:tcPr>
                  <w:tcW w:w="942" w:type="pct"/>
                  <w:vMerge w:val="restart"/>
                  <w:tcBorders>
                    <w:tl2br w:val="nil"/>
                    <w:tr2bl w:val="nil"/>
                  </w:tcBorders>
                  <w:noWrap w:val="0"/>
                  <w:vAlign w:val="center"/>
                </w:tcPr>
                <w:p w14:paraId="00E2F6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除臭工艺（生物滤池）处理后（收集率为95%，除臭效率为95%）</w:t>
                  </w:r>
                </w:p>
              </w:tc>
              <w:tc>
                <w:tcPr>
                  <w:tcW w:w="437" w:type="pct"/>
                  <w:vMerge w:val="restart"/>
                  <w:tcBorders>
                    <w:tl2br w:val="nil"/>
                    <w:tr2bl w:val="nil"/>
                  </w:tcBorders>
                  <w:noWrap w:val="0"/>
                  <w:vAlign w:val="center"/>
                </w:tcPr>
                <w:p w14:paraId="5FC0CE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是</w:t>
                  </w:r>
                </w:p>
              </w:tc>
              <w:tc>
                <w:tcPr>
                  <w:tcW w:w="524" w:type="pct"/>
                  <w:tcBorders>
                    <w:tl2br w:val="nil"/>
                    <w:tr2bl w:val="nil"/>
                  </w:tcBorders>
                  <w:noWrap w:val="0"/>
                  <w:vAlign w:val="center"/>
                </w:tcPr>
                <w:p w14:paraId="5240F2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0.048</w:t>
                  </w:r>
                </w:p>
              </w:tc>
              <w:tc>
                <w:tcPr>
                  <w:tcW w:w="386" w:type="pct"/>
                  <w:tcBorders>
                    <w:tl2br w:val="nil"/>
                    <w:tr2bl w:val="nil"/>
                  </w:tcBorders>
                  <w:noWrap w:val="0"/>
                  <w:vAlign w:val="center"/>
                </w:tcPr>
                <w:p w14:paraId="22A4B6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0.553</w:t>
                  </w:r>
                </w:p>
              </w:tc>
              <w:tc>
                <w:tcPr>
                  <w:tcW w:w="453" w:type="pct"/>
                  <w:tcBorders>
                    <w:tl2br w:val="nil"/>
                    <w:tr2bl w:val="nil"/>
                  </w:tcBorders>
                  <w:noWrap w:val="0"/>
                  <w:vAlign w:val="center"/>
                </w:tcPr>
                <w:p w14:paraId="54C6FB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0.006</w:t>
                  </w:r>
                </w:p>
              </w:tc>
              <w:tc>
                <w:tcPr>
                  <w:tcW w:w="555" w:type="pct"/>
                  <w:vMerge w:val="restart"/>
                  <w:tcBorders>
                    <w:tl2br w:val="nil"/>
                    <w:tr2bl w:val="nil"/>
                  </w:tcBorders>
                  <w:noWrap w:val="0"/>
                  <w:vAlign w:val="center"/>
                </w:tcPr>
                <w:p w14:paraId="65D104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有组织（DA001臭气排气筒）</w:t>
                  </w:r>
                </w:p>
              </w:tc>
            </w:tr>
            <w:tr w14:paraId="3C560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4" w:type="pct"/>
                  <w:vMerge w:val="continue"/>
                  <w:tcBorders>
                    <w:tl2br w:val="nil"/>
                    <w:tr2bl w:val="nil"/>
                  </w:tcBorders>
                  <w:noWrap w:val="0"/>
                  <w:vAlign w:val="center"/>
                </w:tcPr>
                <w:p w14:paraId="7C7CCB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p>
              </w:tc>
              <w:tc>
                <w:tcPr>
                  <w:tcW w:w="374" w:type="pct"/>
                  <w:tcBorders>
                    <w:tl2br w:val="nil"/>
                    <w:tr2bl w:val="nil"/>
                  </w:tcBorders>
                  <w:noWrap w:val="0"/>
                  <w:vAlign w:val="center"/>
                </w:tcPr>
                <w:p w14:paraId="377F58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40" w:type="dxa"/>
                  <w:tcBorders>
                    <w:tl2br w:val="nil"/>
                    <w:tr2bl w:val="nil"/>
                  </w:tcBorders>
                  <w:noWrap w:val="0"/>
                  <w:vAlign w:val="center"/>
                </w:tcPr>
                <w:p w14:paraId="26B3D1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0.409 </w:t>
                  </w:r>
                </w:p>
              </w:tc>
              <w:tc>
                <w:tcPr>
                  <w:tcW w:w="927" w:type="dxa"/>
                  <w:tcBorders>
                    <w:tl2br w:val="nil"/>
                    <w:tr2bl w:val="nil"/>
                  </w:tcBorders>
                  <w:noWrap w:val="0"/>
                  <w:vAlign w:val="center"/>
                </w:tcPr>
                <w:p w14:paraId="3E4DE8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4.66</w:t>
                  </w:r>
                </w:p>
              </w:tc>
              <w:tc>
                <w:tcPr>
                  <w:tcW w:w="942" w:type="pct"/>
                  <w:vMerge w:val="continue"/>
                  <w:tcBorders>
                    <w:tl2br w:val="nil"/>
                    <w:tr2bl w:val="nil"/>
                  </w:tcBorders>
                  <w:noWrap w:val="0"/>
                  <w:vAlign w:val="center"/>
                </w:tcPr>
                <w:p w14:paraId="10C196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p>
              </w:tc>
              <w:tc>
                <w:tcPr>
                  <w:tcW w:w="437" w:type="pct"/>
                  <w:vMerge w:val="continue"/>
                  <w:tcBorders>
                    <w:tl2br w:val="nil"/>
                    <w:tr2bl w:val="nil"/>
                  </w:tcBorders>
                  <w:noWrap w:val="0"/>
                  <w:vAlign w:val="center"/>
                </w:tcPr>
                <w:p w14:paraId="58426F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p>
              </w:tc>
              <w:tc>
                <w:tcPr>
                  <w:tcW w:w="524" w:type="pct"/>
                  <w:tcBorders>
                    <w:tl2br w:val="nil"/>
                    <w:tr2bl w:val="nil"/>
                  </w:tcBorders>
                  <w:noWrap w:val="0"/>
                  <w:vAlign w:val="center"/>
                </w:tcPr>
                <w:p w14:paraId="0FA23E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386" w:type="pct"/>
                  <w:tcBorders>
                    <w:tl2br w:val="nil"/>
                    <w:tr2bl w:val="nil"/>
                  </w:tcBorders>
                  <w:noWrap w:val="0"/>
                  <w:vAlign w:val="center"/>
                </w:tcPr>
                <w:p w14:paraId="180F40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0.233</w:t>
                  </w:r>
                </w:p>
              </w:tc>
              <w:tc>
                <w:tcPr>
                  <w:tcW w:w="453" w:type="pct"/>
                  <w:tcBorders>
                    <w:tl2br w:val="nil"/>
                    <w:tr2bl w:val="nil"/>
                  </w:tcBorders>
                  <w:noWrap w:val="0"/>
                  <w:vAlign w:val="center"/>
                </w:tcPr>
                <w:p w14:paraId="64A3A9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0.002</w:t>
                  </w:r>
                </w:p>
              </w:tc>
              <w:tc>
                <w:tcPr>
                  <w:tcW w:w="555" w:type="pct"/>
                  <w:vMerge w:val="continue"/>
                  <w:tcBorders>
                    <w:tl2br w:val="nil"/>
                    <w:tr2bl w:val="nil"/>
                  </w:tcBorders>
                  <w:noWrap w:val="0"/>
                  <w:vAlign w:val="center"/>
                </w:tcPr>
                <w:p w14:paraId="2C6D72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p>
              </w:tc>
            </w:tr>
            <w:tr w14:paraId="67423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404" w:type="pct"/>
                  <w:vMerge w:val="continue"/>
                  <w:tcBorders>
                    <w:tl2br w:val="nil"/>
                    <w:tr2bl w:val="nil"/>
                  </w:tcBorders>
                  <w:noWrap w:val="0"/>
                  <w:vAlign w:val="center"/>
                </w:tcPr>
                <w:p w14:paraId="4014D9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p>
              </w:tc>
              <w:tc>
                <w:tcPr>
                  <w:tcW w:w="374" w:type="pct"/>
                  <w:tcBorders>
                    <w:tl2br w:val="nil"/>
                    <w:tr2bl w:val="nil"/>
                  </w:tcBorders>
                  <w:noWrap w:val="0"/>
                  <w:vAlign w:val="center"/>
                </w:tcPr>
                <w:p w14:paraId="42C096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40" w:type="dxa"/>
                  <w:tcBorders>
                    <w:tl2br w:val="nil"/>
                    <w:tr2bl w:val="nil"/>
                  </w:tcBorders>
                  <w:noWrap w:val="0"/>
                  <w:vAlign w:val="center"/>
                </w:tcPr>
                <w:p w14:paraId="36E868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0.051 </w:t>
                  </w:r>
                </w:p>
              </w:tc>
              <w:tc>
                <w:tcPr>
                  <w:tcW w:w="927" w:type="dxa"/>
                  <w:tcBorders>
                    <w:tl2br w:val="nil"/>
                    <w:tr2bl w:val="nil"/>
                  </w:tcBorders>
                  <w:noWrap w:val="0"/>
                  <w:vAlign w:val="center"/>
                </w:tcPr>
                <w:p w14:paraId="42D456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42" w:type="pct"/>
                  <w:vMerge w:val="restart"/>
                  <w:tcBorders>
                    <w:tl2br w:val="nil"/>
                    <w:tr2bl w:val="nil"/>
                  </w:tcBorders>
                  <w:noWrap w:val="0"/>
                  <w:vAlign w:val="center"/>
                </w:tcPr>
                <w:p w14:paraId="4772BC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喷洒除臭剂</w:t>
                  </w:r>
                </w:p>
              </w:tc>
              <w:tc>
                <w:tcPr>
                  <w:tcW w:w="437" w:type="pct"/>
                  <w:vMerge w:val="restart"/>
                  <w:tcBorders>
                    <w:tl2br w:val="nil"/>
                    <w:tr2bl w:val="nil"/>
                  </w:tcBorders>
                  <w:noWrap w:val="0"/>
                  <w:vAlign w:val="center"/>
                </w:tcPr>
                <w:p w14:paraId="2EFC1B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w:t>
                  </w:r>
                </w:p>
              </w:tc>
              <w:tc>
                <w:tcPr>
                  <w:tcW w:w="948" w:type="dxa"/>
                  <w:tcBorders>
                    <w:tl2br w:val="nil"/>
                    <w:tr2bl w:val="nil"/>
                  </w:tcBorders>
                  <w:noWrap w:val="0"/>
                  <w:vAlign w:val="center"/>
                </w:tcPr>
                <w:p w14:paraId="17312B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0.051 </w:t>
                  </w:r>
                </w:p>
              </w:tc>
              <w:tc>
                <w:tcPr>
                  <w:tcW w:w="386" w:type="pct"/>
                  <w:tcBorders>
                    <w:tl2br w:val="nil"/>
                    <w:tr2bl w:val="nil"/>
                  </w:tcBorders>
                  <w:noWrap w:val="0"/>
                  <w:vAlign w:val="center"/>
                </w:tcPr>
                <w:p w14:paraId="08F26ED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453" w:type="pct"/>
                  <w:tcBorders>
                    <w:tl2br w:val="nil"/>
                    <w:tr2bl w:val="nil"/>
                  </w:tcBorders>
                  <w:noWrap w:val="0"/>
                  <w:vAlign w:val="center"/>
                </w:tcPr>
                <w:p w14:paraId="6349C7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0.006</w:t>
                  </w:r>
                </w:p>
              </w:tc>
              <w:tc>
                <w:tcPr>
                  <w:tcW w:w="555" w:type="pct"/>
                  <w:vMerge w:val="restart"/>
                  <w:tcBorders>
                    <w:tl2br w:val="nil"/>
                    <w:tr2bl w:val="nil"/>
                  </w:tcBorders>
                  <w:noWrap w:val="0"/>
                  <w:vAlign w:val="center"/>
                </w:tcPr>
                <w:p w14:paraId="1DB083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无组织排放</w:t>
                  </w:r>
                </w:p>
              </w:tc>
            </w:tr>
            <w:tr w14:paraId="38039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4" w:type="pct"/>
                  <w:vMerge w:val="continue"/>
                  <w:tcBorders>
                    <w:tl2br w:val="nil"/>
                    <w:tr2bl w:val="nil"/>
                  </w:tcBorders>
                  <w:noWrap w:val="0"/>
                  <w:vAlign w:val="center"/>
                </w:tcPr>
                <w:p w14:paraId="25D60E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p>
              </w:tc>
              <w:tc>
                <w:tcPr>
                  <w:tcW w:w="374" w:type="pct"/>
                  <w:tcBorders>
                    <w:tl2br w:val="nil"/>
                    <w:tr2bl w:val="nil"/>
                  </w:tcBorders>
                  <w:noWrap w:val="0"/>
                  <w:vAlign w:val="center"/>
                </w:tcPr>
                <w:p w14:paraId="0CA108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40" w:type="dxa"/>
                  <w:tcBorders>
                    <w:tl2br w:val="nil"/>
                    <w:tr2bl w:val="nil"/>
                  </w:tcBorders>
                  <w:noWrap w:val="0"/>
                  <w:vAlign w:val="center"/>
                </w:tcPr>
                <w:p w14:paraId="3E6346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0.022 </w:t>
                  </w:r>
                </w:p>
              </w:tc>
              <w:tc>
                <w:tcPr>
                  <w:tcW w:w="927" w:type="dxa"/>
                  <w:tcBorders>
                    <w:tl2br w:val="nil"/>
                    <w:tr2bl w:val="nil"/>
                  </w:tcBorders>
                  <w:noWrap w:val="0"/>
                  <w:vAlign w:val="center"/>
                </w:tcPr>
                <w:p w14:paraId="1B6329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42" w:type="pct"/>
                  <w:vMerge w:val="continue"/>
                  <w:tcBorders>
                    <w:tl2br w:val="nil"/>
                    <w:tr2bl w:val="nil"/>
                  </w:tcBorders>
                  <w:noWrap w:val="0"/>
                  <w:vAlign w:val="center"/>
                </w:tcPr>
                <w:p w14:paraId="4EE6A9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p>
              </w:tc>
              <w:tc>
                <w:tcPr>
                  <w:tcW w:w="437" w:type="pct"/>
                  <w:vMerge w:val="continue"/>
                  <w:tcBorders>
                    <w:tl2br w:val="nil"/>
                    <w:tr2bl w:val="nil"/>
                  </w:tcBorders>
                  <w:noWrap w:val="0"/>
                  <w:vAlign w:val="center"/>
                </w:tcPr>
                <w:p w14:paraId="0A8F45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p>
              </w:tc>
              <w:tc>
                <w:tcPr>
                  <w:tcW w:w="948" w:type="dxa"/>
                  <w:tcBorders>
                    <w:tl2br w:val="nil"/>
                    <w:tr2bl w:val="nil"/>
                  </w:tcBorders>
                  <w:noWrap w:val="0"/>
                  <w:vAlign w:val="center"/>
                </w:tcPr>
                <w:p w14:paraId="2F3D2C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0.022 </w:t>
                  </w:r>
                </w:p>
              </w:tc>
              <w:tc>
                <w:tcPr>
                  <w:tcW w:w="386" w:type="pct"/>
                  <w:tcBorders>
                    <w:tl2br w:val="nil"/>
                    <w:tr2bl w:val="nil"/>
                  </w:tcBorders>
                  <w:noWrap w:val="0"/>
                  <w:vAlign w:val="center"/>
                </w:tcPr>
                <w:p w14:paraId="2492CE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453" w:type="pct"/>
                  <w:tcBorders>
                    <w:tl2br w:val="nil"/>
                    <w:tr2bl w:val="nil"/>
                  </w:tcBorders>
                  <w:noWrap w:val="0"/>
                  <w:vAlign w:val="center"/>
                </w:tcPr>
                <w:p w14:paraId="51ED77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0.002</w:t>
                  </w:r>
                </w:p>
              </w:tc>
              <w:tc>
                <w:tcPr>
                  <w:tcW w:w="555" w:type="pct"/>
                  <w:vMerge w:val="continue"/>
                  <w:tcBorders>
                    <w:tl2br w:val="nil"/>
                    <w:tr2bl w:val="nil"/>
                  </w:tcBorders>
                  <w:noWrap w:val="0"/>
                  <w:vAlign w:val="center"/>
                </w:tcPr>
                <w:p w14:paraId="011658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p>
              </w:tc>
            </w:tr>
            <w:tr w14:paraId="196A3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4" w:type="pct"/>
                  <w:vMerge w:val="restart"/>
                  <w:tcBorders>
                    <w:tl2br w:val="nil"/>
                    <w:tr2bl w:val="nil"/>
                  </w:tcBorders>
                  <w:noWrap w:val="0"/>
                  <w:vAlign w:val="center"/>
                </w:tcPr>
                <w:p w14:paraId="01F02F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合计</w:t>
                  </w:r>
                </w:p>
              </w:tc>
              <w:tc>
                <w:tcPr>
                  <w:tcW w:w="374" w:type="pct"/>
                  <w:tcBorders>
                    <w:tl2br w:val="nil"/>
                    <w:tr2bl w:val="nil"/>
                  </w:tcBorders>
                  <w:noWrap w:val="0"/>
                  <w:vAlign w:val="center"/>
                </w:tcPr>
                <w:p w14:paraId="2E447BB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40" w:type="dxa"/>
                  <w:tcBorders>
                    <w:tl2br w:val="nil"/>
                    <w:tr2bl w:val="nil"/>
                  </w:tcBorders>
                  <w:noWrap w:val="0"/>
                  <w:vAlign w:val="center"/>
                </w:tcPr>
                <w:p w14:paraId="66B3A79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1.02 </w:t>
                  </w:r>
                </w:p>
              </w:tc>
              <w:tc>
                <w:tcPr>
                  <w:tcW w:w="927" w:type="dxa"/>
                  <w:tcBorders>
                    <w:tl2br w:val="nil"/>
                    <w:tr2bl w:val="nil"/>
                  </w:tcBorders>
                  <w:noWrap w:val="0"/>
                  <w:vAlign w:val="center"/>
                </w:tcPr>
                <w:p w14:paraId="32DAD9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0"/>
                      <w:w w:val="100"/>
                      <w:sz w:val="21"/>
                      <w:szCs w:val="21"/>
                      <w:lang w:val="en-US" w:eastAsia="zh-CN"/>
                    </w:rPr>
                  </w:pPr>
                </w:p>
              </w:tc>
              <w:tc>
                <w:tcPr>
                  <w:tcW w:w="942" w:type="pct"/>
                  <w:tcBorders>
                    <w:tl2br w:val="nil"/>
                    <w:tr2bl w:val="nil"/>
                  </w:tcBorders>
                  <w:noWrap w:val="0"/>
                  <w:vAlign w:val="center"/>
                </w:tcPr>
                <w:p w14:paraId="17FF7D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w:t>
                  </w:r>
                </w:p>
              </w:tc>
              <w:tc>
                <w:tcPr>
                  <w:tcW w:w="437" w:type="pct"/>
                  <w:tcBorders>
                    <w:tl2br w:val="nil"/>
                    <w:tr2bl w:val="nil"/>
                  </w:tcBorders>
                  <w:noWrap w:val="0"/>
                  <w:vAlign w:val="center"/>
                </w:tcPr>
                <w:p w14:paraId="129B4A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w:t>
                  </w:r>
                </w:p>
              </w:tc>
              <w:tc>
                <w:tcPr>
                  <w:tcW w:w="948" w:type="dxa"/>
                  <w:tcBorders>
                    <w:tl2br w:val="nil"/>
                    <w:tr2bl w:val="nil"/>
                  </w:tcBorders>
                  <w:noWrap w:val="0"/>
                  <w:vAlign w:val="center"/>
                </w:tcPr>
                <w:p w14:paraId="797CF2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0.099 </w:t>
                  </w:r>
                </w:p>
              </w:tc>
              <w:tc>
                <w:tcPr>
                  <w:tcW w:w="386" w:type="pct"/>
                  <w:tcBorders>
                    <w:tl2br w:val="nil"/>
                    <w:tr2bl w:val="nil"/>
                  </w:tcBorders>
                  <w:noWrap w:val="0"/>
                  <w:vAlign w:val="center"/>
                </w:tcPr>
                <w:p w14:paraId="75F2FF5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453" w:type="pct"/>
                  <w:tcBorders>
                    <w:tl2br w:val="nil"/>
                    <w:tr2bl w:val="nil"/>
                  </w:tcBorders>
                  <w:noWrap w:val="0"/>
                  <w:vAlign w:val="center"/>
                </w:tcPr>
                <w:p w14:paraId="52F609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0.011</w:t>
                  </w:r>
                </w:p>
              </w:tc>
              <w:tc>
                <w:tcPr>
                  <w:tcW w:w="555" w:type="pct"/>
                  <w:tcBorders>
                    <w:tl2br w:val="nil"/>
                    <w:tr2bl w:val="nil"/>
                  </w:tcBorders>
                  <w:noWrap w:val="0"/>
                  <w:vAlign w:val="center"/>
                </w:tcPr>
                <w:p w14:paraId="4AFC3C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w:t>
                  </w:r>
                </w:p>
              </w:tc>
            </w:tr>
            <w:tr w14:paraId="345B2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4" w:type="pct"/>
                  <w:vMerge w:val="continue"/>
                </w:tcPr>
                <w:p w14:paraId="210F4C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p>
              </w:tc>
              <w:tc>
                <w:tcPr>
                  <w:tcW w:w="0" w:type="auto"/>
                  <w:vAlign w:val="center"/>
                </w:tcPr>
                <w:p w14:paraId="60C86B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40" w:type="dxa"/>
                  <w:vAlign w:val="center"/>
                </w:tcPr>
                <w:p w14:paraId="7F1927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0.43 </w:t>
                  </w:r>
                </w:p>
              </w:tc>
              <w:tc>
                <w:tcPr>
                  <w:tcW w:w="927" w:type="dxa"/>
                  <w:vAlign w:val="top"/>
                </w:tcPr>
                <w:p w14:paraId="4CDC728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0"/>
                      <w:w w:val="100"/>
                      <w:sz w:val="21"/>
                      <w:szCs w:val="21"/>
                      <w:lang w:val="en-US" w:eastAsia="zh-CN"/>
                    </w:rPr>
                  </w:pPr>
                </w:p>
              </w:tc>
              <w:tc>
                <w:tcPr>
                  <w:tcW w:w="942" w:type="pct"/>
                  <w:vAlign w:val="center"/>
                </w:tcPr>
                <w:p w14:paraId="023838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w:t>
                  </w:r>
                </w:p>
              </w:tc>
              <w:tc>
                <w:tcPr>
                  <w:tcW w:w="437" w:type="pct"/>
                  <w:vAlign w:val="center"/>
                </w:tcPr>
                <w:p w14:paraId="28F718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w:t>
                  </w:r>
                </w:p>
              </w:tc>
              <w:tc>
                <w:tcPr>
                  <w:tcW w:w="948" w:type="dxa"/>
                  <w:vAlign w:val="top"/>
                </w:tcPr>
                <w:p w14:paraId="48E623D3">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0.042 </w:t>
                  </w:r>
                </w:p>
              </w:tc>
              <w:tc>
                <w:tcPr>
                  <w:tcW w:w="386" w:type="pct"/>
                  <w:vAlign w:val="top"/>
                </w:tcPr>
                <w:p w14:paraId="1EF687D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453" w:type="pct"/>
                  <w:vAlign w:val="center"/>
                </w:tcPr>
                <w:p w14:paraId="12246E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0.005</w:t>
                  </w:r>
                </w:p>
              </w:tc>
              <w:tc>
                <w:tcPr>
                  <w:tcW w:w="555" w:type="pct"/>
                  <w:vAlign w:val="center"/>
                </w:tcPr>
                <w:p w14:paraId="66E51E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w:t>
                  </w:r>
                </w:p>
              </w:tc>
            </w:tr>
          </w:tbl>
          <w:p w14:paraId="1FC71C3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rPr>
              <w:t>表</w:t>
            </w:r>
            <w:r>
              <w:rPr>
                <w:rFonts w:hint="eastAsia" w:ascii="Times New Roman" w:hAnsi="Times New Roman" w:eastAsia="宋体" w:cs="Times New Roman"/>
                <w:color w:val="auto"/>
                <w:spacing w:val="0"/>
                <w:w w:val="100"/>
                <w:sz w:val="21"/>
                <w:szCs w:val="21"/>
                <w:lang w:val="en-US" w:eastAsia="zh-CN"/>
              </w:rPr>
              <w:t>4-4</w:t>
            </w:r>
            <w:r>
              <w:rPr>
                <w:rFonts w:hint="default" w:ascii="Times New Roman" w:hAnsi="Times New Roman" w:eastAsia="宋体" w:cs="Times New Roman"/>
                <w:color w:val="auto"/>
                <w:spacing w:val="0"/>
                <w:w w:val="100"/>
                <w:sz w:val="21"/>
                <w:szCs w:val="21"/>
                <w:lang w:val="en-US" w:eastAsia="zh-CN"/>
              </w:rPr>
              <w:t xml:space="preserve">   </w:t>
            </w:r>
            <w:r>
              <w:rPr>
                <w:rFonts w:hint="default" w:ascii="Times New Roman" w:hAnsi="Times New Roman" w:eastAsia="宋体" w:cs="Times New Roman"/>
                <w:color w:val="auto"/>
                <w:spacing w:val="0"/>
                <w:w w:val="100"/>
                <w:sz w:val="21"/>
                <w:szCs w:val="21"/>
              </w:rPr>
              <w:t>本项目排放口基本情况</w:t>
            </w:r>
            <w:r>
              <w:rPr>
                <w:rFonts w:hint="default" w:ascii="Times New Roman" w:hAnsi="Times New Roman" w:eastAsia="宋体" w:cs="Times New Roman"/>
                <w:color w:val="auto"/>
                <w:spacing w:val="0"/>
                <w:w w:val="100"/>
                <w:sz w:val="21"/>
                <w:szCs w:val="21"/>
                <w:lang w:eastAsia="zh-CN"/>
              </w:rPr>
              <w:t>表</w:t>
            </w:r>
          </w:p>
          <w:tbl>
            <w:tblPr>
              <w:tblStyle w:val="21"/>
              <w:tblW w:w="8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868"/>
              <w:gridCol w:w="1406"/>
              <w:gridCol w:w="1331"/>
              <w:gridCol w:w="1310"/>
              <w:gridCol w:w="840"/>
              <w:gridCol w:w="764"/>
              <w:gridCol w:w="686"/>
              <w:gridCol w:w="929"/>
            </w:tblGrid>
            <w:tr w14:paraId="40910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468" w:type="pct"/>
                  <w:vMerge w:val="restart"/>
                  <w:noWrap w:val="0"/>
                  <w:vAlign w:val="center"/>
                </w:tcPr>
                <w:p w14:paraId="464DD159">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GB"/>
                    </w:rPr>
                  </w:pPr>
                  <w:r>
                    <w:rPr>
                      <w:rFonts w:hint="default" w:ascii="Times New Roman" w:hAnsi="Times New Roman" w:eastAsia="宋体" w:cs="Times New Roman"/>
                      <w:b w:val="0"/>
                      <w:bCs/>
                      <w:color w:val="auto"/>
                      <w:spacing w:val="0"/>
                      <w:w w:val="100"/>
                      <w:sz w:val="21"/>
                      <w:szCs w:val="21"/>
                      <w:lang w:val="en-GB"/>
                    </w:rPr>
                    <w:t>编号</w:t>
                  </w:r>
                </w:p>
              </w:tc>
              <w:tc>
                <w:tcPr>
                  <w:tcW w:w="483" w:type="pct"/>
                  <w:vMerge w:val="restart"/>
                  <w:noWrap w:val="0"/>
                  <w:vAlign w:val="center"/>
                </w:tcPr>
                <w:p w14:paraId="4052FAE9">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r>
                    <w:rPr>
                      <w:rFonts w:hint="default" w:ascii="Times New Roman" w:hAnsi="Times New Roman" w:eastAsia="宋体" w:cs="Times New Roman"/>
                      <w:b w:val="0"/>
                      <w:bCs/>
                      <w:color w:val="auto"/>
                      <w:spacing w:val="0"/>
                      <w:w w:val="100"/>
                      <w:sz w:val="21"/>
                      <w:szCs w:val="21"/>
                      <w:lang w:val="en-GB"/>
                    </w:rPr>
                    <w:t>名称</w:t>
                  </w:r>
                </w:p>
              </w:tc>
              <w:tc>
                <w:tcPr>
                  <w:tcW w:w="1524" w:type="pct"/>
                  <w:gridSpan w:val="2"/>
                  <w:noWrap w:val="0"/>
                  <w:vAlign w:val="center"/>
                </w:tcPr>
                <w:p w14:paraId="5731E7B2">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r>
                    <w:rPr>
                      <w:rFonts w:hint="default" w:ascii="Times New Roman" w:hAnsi="Times New Roman" w:eastAsia="宋体" w:cs="Times New Roman"/>
                      <w:b w:val="0"/>
                      <w:bCs/>
                      <w:color w:val="auto"/>
                      <w:spacing w:val="0"/>
                      <w:w w:val="100"/>
                      <w:sz w:val="21"/>
                      <w:szCs w:val="21"/>
                    </w:rPr>
                    <w:t>排气筒底部中心坐标（°）</w:t>
                  </w:r>
                </w:p>
              </w:tc>
              <w:tc>
                <w:tcPr>
                  <w:tcW w:w="729" w:type="pct"/>
                  <w:vMerge w:val="restart"/>
                  <w:noWrap w:val="0"/>
                  <w:vAlign w:val="center"/>
                </w:tcPr>
                <w:p w14:paraId="5FC783FA">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r>
                    <w:rPr>
                      <w:rFonts w:hint="default" w:ascii="Times New Roman" w:hAnsi="Times New Roman" w:eastAsia="宋体" w:cs="Times New Roman"/>
                      <w:b w:val="0"/>
                      <w:bCs/>
                      <w:color w:val="auto"/>
                      <w:spacing w:val="0"/>
                      <w:w w:val="100"/>
                      <w:sz w:val="21"/>
                      <w:szCs w:val="21"/>
                    </w:rPr>
                    <w:t>排气筒底部海拔高度/m</w:t>
                  </w:r>
                </w:p>
              </w:tc>
              <w:tc>
                <w:tcPr>
                  <w:tcW w:w="468" w:type="pct"/>
                  <w:vMerge w:val="restart"/>
                  <w:noWrap w:val="0"/>
                  <w:vAlign w:val="center"/>
                </w:tcPr>
                <w:p w14:paraId="022C46FC">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lang w:val="en-GB"/>
                    </w:rPr>
                    <w:t>排气筒高度</w:t>
                  </w:r>
                  <w:r>
                    <w:rPr>
                      <w:rFonts w:hint="default" w:ascii="Times New Roman" w:hAnsi="Times New Roman" w:eastAsia="宋体" w:cs="Times New Roman"/>
                      <w:b w:val="0"/>
                      <w:bCs/>
                      <w:color w:val="auto"/>
                      <w:spacing w:val="0"/>
                      <w:w w:val="100"/>
                      <w:sz w:val="21"/>
                      <w:szCs w:val="21"/>
                    </w:rPr>
                    <w:t>/m</w:t>
                  </w:r>
                </w:p>
              </w:tc>
              <w:tc>
                <w:tcPr>
                  <w:tcW w:w="425" w:type="pct"/>
                  <w:vMerge w:val="restart"/>
                  <w:noWrap w:val="0"/>
                  <w:vAlign w:val="center"/>
                </w:tcPr>
                <w:p w14:paraId="4A136DF1">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r>
                    <w:rPr>
                      <w:rFonts w:hint="default" w:ascii="Times New Roman" w:hAnsi="Times New Roman" w:eastAsia="宋体" w:cs="Times New Roman"/>
                      <w:b w:val="0"/>
                      <w:bCs/>
                      <w:color w:val="auto"/>
                      <w:spacing w:val="0"/>
                      <w:w w:val="100"/>
                      <w:sz w:val="21"/>
                      <w:szCs w:val="21"/>
                      <w:lang w:val="en-GB"/>
                    </w:rPr>
                    <w:t>排气筒出口内</w:t>
                  </w:r>
                </w:p>
                <w:p w14:paraId="02813B46">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r>
                    <w:rPr>
                      <w:rFonts w:hint="default" w:ascii="Times New Roman" w:hAnsi="Times New Roman" w:eastAsia="宋体" w:cs="Times New Roman"/>
                      <w:b w:val="0"/>
                      <w:bCs/>
                      <w:color w:val="auto"/>
                      <w:spacing w:val="0"/>
                      <w:w w:val="100"/>
                      <w:sz w:val="21"/>
                      <w:szCs w:val="21"/>
                      <w:lang w:val="en-GB"/>
                    </w:rPr>
                    <w:t>径/m</w:t>
                  </w:r>
                </w:p>
              </w:tc>
              <w:tc>
                <w:tcPr>
                  <w:tcW w:w="382" w:type="pct"/>
                  <w:vMerge w:val="restart"/>
                  <w:noWrap w:val="0"/>
                  <w:vAlign w:val="center"/>
                </w:tcPr>
                <w:p w14:paraId="7E292523">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r>
                    <w:rPr>
                      <w:rFonts w:hint="default" w:ascii="Times New Roman" w:hAnsi="Times New Roman" w:eastAsia="宋体" w:cs="Times New Roman"/>
                      <w:b w:val="0"/>
                      <w:bCs/>
                      <w:color w:val="auto"/>
                      <w:spacing w:val="0"/>
                      <w:w w:val="100"/>
                      <w:sz w:val="21"/>
                      <w:szCs w:val="21"/>
                      <w:lang w:val="en-GB"/>
                    </w:rPr>
                    <w:t>烟气</w:t>
                  </w:r>
                </w:p>
                <w:p w14:paraId="651F065E">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r>
                    <w:rPr>
                      <w:rFonts w:hint="default" w:ascii="Times New Roman" w:hAnsi="Times New Roman" w:eastAsia="宋体" w:cs="Times New Roman"/>
                      <w:b w:val="0"/>
                      <w:bCs/>
                      <w:color w:val="auto"/>
                      <w:spacing w:val="0"/>
                      <w:w w:val="100"/>
                      <w:sz w:val="21"/>
                      <w:szCs w:val="21"/>
                      <w:lang w:val="en-GB"/>
                    </w:rPr>
                    <w:t>温度/℃</w:t>
                  </w:r>
                </w:p>
              </w:tc>
              <w:tc>
                <w:tcPr>
                  <w:tcW w:w="517" w:type="pct"/>
                  <w:vMerge w:val="restart"/>
                  <w:noWrap w:val="0"/>
                  <w:vAlign w:val="center"/>
                </w:tcPr>
                <w:p w14:paraId="7413AEEF">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r>
                    <w:rPr>
                      <w:rFonts w:hint="default" w:ascii="Times New Roman" w:hAnsi="Times New Roman" w:eastAsia="宋体" w:cs="Times New Roman"/>
                      <w:b w:val="0"/>
                      <w:bCs/>
                      <w:color w:val="auto"/>
                      <w:spacing w:val="0"/>
                      <w:w w:val="100"/>
                      <w:sz w:val="21"/>
                      <w:szCs w:val="21"/>
                      <w:lang w:val="en-GB"/>
                    </w:rPr>
                    <w:t>类型</w:t>
                  </w:r>
                </w:p>
              </w:tc>
            </w:tr>
            <w:tr w14:paraId="17FE3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468" w:type="pct"/>
                  <w:vMerge w:val="continue"/>
                  <w:noWrap w:val="0"/>
                  <w:vAlign w:val="center"/>
                </w:tcPr>
                <w:p w14:paraId="69E277BC">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483" w:type="pct"/>
                  <w:vMerge w:val="continue"/>
                  <w:noWrap w:val="0"/>
                  <w:vAlign w:val="center"/>
                </w:tcPr>
                <w:p w14:paraId="4F104A45">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rPr>
                  </w:pPr>
                </w:p>
              </w:tc>
              <w:tc>
                <w:tcPr>
                  <w:tcW w:w="783" w:type="pct"/>
                  <w:noWrap w:val="0"/>
                  <w:vAlign w:val="center"/>
                </w:tcPr>
                <w:p w14:paraId="5FB081D2">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X</w:t>
                  </w:r>
                </w:p>
              </w:tc>
              <w:tc>
                <w:tcPr>
                  <w:tcW w:w="741" w:type="pct"/>
                  <w:noWrap w:val="0"/>
                  <w:vAlign w:val="center"/>
                </w:tcPr>
                <w:p w14:paraId="62271B31">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Y</w:t>
                  </w:r>
                </w:p>
              </w:tc>
              <w:tc>
                <w:tcPr>
                  <w:tcW w:w="729" w:type="pct"/>
                  <w:vMerge w:val="continue"/>
                  <w:noWrap w:val="0"/>
                  <w:vAlign w:val="center"/>
                </w:tcPr>
                <w:p w14:paraId="552B61AC">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p>
              </w:tc>
              <w:tc>
                <w:tcPr>
                  <w:tcW w:w="468" w:type="pct"/>
                  <w:vMerge w:val="continue"/>
                  <w:noWrap w:val="0"/>
                  <w:vAlign w:val="center"/>
                </w:tcPr>
                <w:p w14:paraId="797799A6">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p>
              </w:tc>
              <w:tc>
                <w:tcPr>
                  <w:tcW w:w="425" w:type="pct"/>
                  <w:vMerge w:val="continue"/>
                  <w:noWrap w:val="0"/>
                  <w:vAlign w:val="center"/>
                </w:tcPr>
                <w:p w14:paraId="7E20CB8E">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p>
              </w:tc>
              <w:tc>
                <w:tcPr>
                  <w:tcW w:w="382" w:type="pct"/>
                  <w:vMerge w:val="continue"/>
                  <w:noWrap w:val="0"/>
                  <w:vAlign w:val="center"/>
                </w:tcPr>
                <w:p w14:paraId="222F3652">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p>
              </w:tc>
              <w:tc>
                <w:tcPr>
                  <w:tcW w:w="517" w:type="pct"/>
                  <w:vMerge w:val="continue"/>
                  <w:noWrap w:val="0"/>
                  <w:vAlign w:val="center"/>
                </w:tcPr>
                <w:p w14:paraId="6731E075">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pacing w:val="0"/>
                      <w:w w:val="100"/>
                      <w:sz w:val="21"/>
                      <w:szCs w:val="21"/>
                      <w:lang w:val="en-GB"/>
                    </w:rPr>
                  </w:pPr>
                </w:p>
              </w:tc>
            </w:tr>
            <w:tr w14:paraId="150A7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468" w:type="pct"/>
                  <w:noWrap w:val="0"/>
                  <w:vAlign w:val="center"/>
                </w:tcPr>
                <w:p w14:paraId="7BAD6FC2">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DA001</w:t>
                  </w:r>
                </w:p>
              </w:tc>
              <w:tc>
                <w:tcPr>
                  <w:tcW w:w="483" w:type="pct"/>
                  <w:noWrap w:val="0"/>
                  <w:vAlign w:val="center"/>
                </w:tcPr>
                <w:p w14:paraId="0BCFC198">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排气筒</w:t>
                  </w:r>
                </w:p>
              </w:tc>
              <w:tc>
                <w:tcPr>
                  <w:tcW w:w="783" w:type="pct"/>
                  <w:noWrap w:val="0"/>
                  <w:vAlign w:val="center"/>
                </w:tcPr>
                <w:p w14:paraId="1978E2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106.912536442</w:t>
                  </w:r>
                </w:p>
              </w:tc>
              <w:tc>
                <w:tcPr>
                  <w:tcW w:w="741" w:type="pct"/>
                  <w:noWrap w:val="0"/>
                  <w:vAlign w:val="center"/>
                </w:tcPr>
                <w:p w14:paraId="283D70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US"/>
                    </w:rPr>
                  </w:pPr>
                  <w:r>
                    <w:rPr>
                      <w:rFonts w:hint="default" w:ascii="Times New Roman" w:hAnsi="Times New Roman" w:eastAsia="宋体" w:cs="Times New Roman"/>
                      <w:b w:val="0"/>
                      <w:bCs/>
                      <w:color w:val="auto"/>
                      <w:spacing w:val="0"/>
                      <w:w w:val="100"/>
                      <w:sz w:val="21"/>
                      <w:szCs w:val="21"/>
                      <w:lang w:val="en-US" w:eastAsia="zh-CN"/>
                    </w:rPr>
                    <w:t>34.855394667</w:t>
                  </w:r>
                </w:p>
              </w:tc>
              <w:tc>
                <w:tcPr>
                  <w:tcW w:w="729" w:type="pct"/>
                  <w:noWrap w:val="0"/>
                  <w:vAlign w:val="center"/>
                </w:tcPr>
                <w:p w14:paraId="0D0B43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US" w:eastAsia="zh-CN"/>
                    </w:rPr>
                  </w:pPr>
                  <w:r>
                    <w:rPr>
                      <w:rFonts w:hint="eastAsia" w:ascii="Times New Roman" w:hAnsi="Times New Roman" w:eastAsia="宋体" w:cs="Times New Roman"/>
                      <w:b w:val="0"/>
                      <w:bCs/>
                      <w:color w:val="auto"/>
                      <w:spacing w:val="0"/>
                      <w:w w:val="100"/>
                      <w:sz w:val="21"/>
                      <w:szCs w:val="21"/>
                      <w:lang w:val="en-US" w:eastAsia="zh-CN"/>
                    </w:rPr>
                    <w:t>862</w:t>
                  </w:r>
                </w:p>
              </w:tc>
              <w:tc>
                <w:tcPr>
                  <w:tcW w:w="468" w:type="pct"/>
                  <w:noWrap w:val="0"/>
                  <w:vAlign w:val="center"/>
                </w:tcPr>
                <w:p w14:paraId="09C3B7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GB"/>
                    </w:rPr>
                  </w:pPr>
                  <w:r>
                    <w:rPr>
                      <w:rFonts w:hint="default" w:ascii="Times New Roman" w:hAnsi="Times New Roman" w:eastAsia="宋体" w:cs="Times New Roman"/>
                      <w:b w:val="0"/>
                      <w:bCs/>
                      <w:color w:val="auto"/>
                      <w:spacing w:val="0"/>
                      <w:w w:val="100"/>
                      <w:sz w:val="21"/>
                      <w:szCs w:val="21"/>
                      <w:lang w:val="en-US" w:eastAsia="zh-CN"/>
                    </w:rPr>
                    <w:t>15</w:t>
                  </w:r>
                  <w:r>
                    <w:rPr>
                      <w:rFonts w:hint="default" w:ascii="Times New Roman" w:hAnsi="Times New Roman" w:eastAsia="宋体" w:cs="Times New Roman"/>
                      <w:b w:val="0"/>
                      <w:bCs/>
                      <w:color w:val="auto"/>
                      <w:spacing w:val="0"/>
                      <w:w w:val="100"/>
                      <w:sz w:val="21"/>
                      <w:szCs w:val="21"/>
                    </w:rPr>
                    <w:t>.0</w:t>
                  </w:r>
                </w:p>
              </w:tc>
              <w:tc>
                <w:tcPr>
                  <w:tcW w:w="425" w:type="pct"/>
                  <w:noWrap w:val="0"/>
                  <w:vAlign w:val="center"/>
                </w:tcPr>
                <w:p w14:paraId="1DA214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rPr>
                    <w:t>0.</w:t>
                  </w:r>
                  <w:r>
                    <w:rPr>
                      <w:rFonts w:hint="default" w:ascii="Times New Roman" w:hAnsi="Times New Roman" w:eastAsia="宋体" w:cs="Times New Roman"/>
                      <w:b w:val="0"/>
                      <w:bCs/>
                      <w:color w:val="auto"/>
                      <w:spacing w:val="0"/>
                      <w:w w:val="100"/>
                      <w:sz w:val="21"/>
                      <w:szCs w:val="21"/>
                      <w:lang w:val="en-US" w:eastAsia="zh-CN"/>
                    </w:rPr>
                    <w:t>6</w:t>
                  </w:r>
                </w:p>
              </w:tc>
              <w:tc>
                <w:tcPr>
                  <w:tcW w:w="382" w:type="pct"/>
                  <w:noWrap w:val="0"/>
                  <w:vAlign w:val="center"/>
                </w:tcPr>
                <w:p w14:paraId="2EDD98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25</w:t>
                  </w:r>
                </w:p>
              </w:tc>
              <w:tc>
                <w:tcPr>
                  <w:tcW w:w="517" w:type="pct"/>
                  <w:noWrap w:val="0"/>
                  <w:vAlign w:val="center"/>
                </w:tcPr>
                <w:p w14:paraId="6661956C">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GB" w:eastAsia="zh-CN"/>
                    </w:rPr>
                  </w:pPr>
                  <w:r>
                    <w:rPr>
                      <w:rFonts w:hint="default" w:ascii="Times New Roman" w:hAnsi="Times New Roman" w:cs="Times New Roman"/>
                      <w:b w:val="0"/>
                      <w:bCs/>
                      <w:color w:val="auto"/>
                      <w:spacing w:val="0"/>
                      <w:w w:val="100"/>
                      <w:sz w:val="21"/>
                      <w:szCs w:val="21"/>
                      <w:lang w:val="en-GB" w:eastAsia="zh-CN"/>
                    </w:rPr>
                    <w:t>一般排放口</w:t>
                  </w:r>
                </w:p>
              </w:tc>
            </w:tr>
          </w:tbl>
          <w:p w14:paraId="56A8D608">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position w:val="0"/>
                <w:sz w:val="24"/>
                <w:szCs w:val="24"/>
              </w:rPr>
              <w:t>（</w:t>
            </w:r>
            <w:r>
              <w:rPr>
                <w:rFonts w:hint="default" w:ascii="Times New Roman" w:hAnsi="Times New Roman" w:eastAsia="Times New Roman" w:cs="Times New Roman"/>
                <w:color w:val="auto"/>
                <w:spacing w:val="0"/>
                <w:w w:val="100"/>
                <w:position w:val="0"/>
                <w:sz w:val="24"/>
                <w:szCs w:val="24"/>
              </w:rPr>
              <w:t>1</w:t>
            </w:r>
            <w:r>
              <w:rPr>
                <w:rFonts w:hint="default" w:ascii="Times New Roman" w:hAnsi="Times New Roman" w:cs="Times New Roman"/>
                <w:color w:val="auto"/>
                <w:spacing w:val="0"/>
                <w:w w:val="100"/>
                <w:position w:val="0"/>
                <w:sz w:val="24"/>
                <w:szCs w:val="24"/>
              </w:rPr>
              <w:t>）氨气、硫化氢</w:t>
            </w:r>
          </w:p>
          <w:p w14:paraId="42F5A7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cs="Times New Roman"/>
                <w:color w:val="auto"/>
                <w:spacing w:val="0"/>
                <w:w w:val="100"/>
                <w:position w:val="0"/>
                <w:sz w:val="24"/>
                <w:szCs w:val="24"/>
              </w:rPr>
              <w:t>由于对污水处理厂运行过程中产生和排放的臭气物质的量很难做到准确</w:t>
            </w:r>
            <w:r>
              <w:rPr>
                <w:rFonts w:hint="eastAsia" w:ascii="Times New Roman" w:hAnsi="Times New Roman" w:cs="Times New Roman"/>
                <w:color w:val="auto"/>
                <w:spacing w:val="0"/>
                <w:w w:val="100"/>
                <w:position w:val="0"/>
                <w:sz w:val="24"/>
                <w:szCs w:val="24"/>
                <w:lang w:eastAsia="zh-CN"/>
              </w:rPr>
              <w:t>地</w:t>
            </w:r>
            <w:r>
              <w:rPr>
                <w:rFonts w:hint="default" w:ascii="Times New Roman" w:hAnsi="Times New Roman" w:cs="Times New Roman"/>
                <w:color w:val="auto"/>
                <w:spacing w:val="0"/>
                <w:w w:val="100"/>
                <w:position w:val="0"/>
                <w:sz w:val="24"/>
                <w:szCs w:val="24"/>
              </w:rPr>
              <w:t>估算，对周围环境空气质量的影响也难以采用定量化的模式来进行预测计算。我国许多污水处理厂运行期间对污水处理单元所产生的臭气进行监测，监测结果表明污水处理厂恶臭源主要来自格栅间、调节池、生化处理单元、污泥脱水处理区等。</w:t>
            </w:r>
            <w:r>
              <w:rPr>
                <w:rFonts w:hint="default" w:ascii="Times New Roman" w:hAnsi="Times New Roman" w:cs="Times New Roman"/>
                <w:color w:val="auto"/>
                <w:spacing w:val="0"/>
                <w:w w:val="100"/>
                <w:sz w:val="24"/>
                <w:szCs w:val="24"/>
              </w:rPr>
              <w:t>恶臭气体的成分主要是氨（NH</w:t>
            </w:r>
            <w:r>
              <w:rPr>
                <w:rFonts w:hint="default" w:ascii="Times New Roman" w:hAnsi="Times New Roman" w:cs="Times New Roman"/>
                <w:color w:val="auto"/>
                <w:spacing w:val="0"/>
                <w:w w:val="100"/>
                <w:sz w:val="24"/>
                <w:szCs w:val="24"/>
                <w:vertAlign w:val="subscript"/>
              </w:rPr>
              <w:t>3</w:t>
            </w:r>
            <w:r>
              <w:rPr>
                <w:rFonts w:hint="default" w:ascii="Times New Roman" w:hAnsi="Times New Roman" w:cs="Times New Roman"/>
                <w:color w:val="auto"/>
                <w:spacing w:val="0"/>
                <w:w w:val="100"/>
                <w:sz w:val="24"/>
                <w:szCs w:val="24"/>
              </w:rPr>
              <w:t>）和硫化氢（H</w:t>
            </w:r>
            <w:r>
              <w:rPr>
                <w:rFonts w:hint="default" w:ascii="Times New Roman" w:hAnsi="Times New Roman" w:cs="Times New Roman"/>
                <w:color w:val="auto"/>
                <w:spacing w:val="0"/>
                <w:w w:val="100"/>
                <w:sz w:val="24"/>
                <w:szCs w:val="24"/>
                <w:vertAlign w:val="subscript"/>
              </w:rPr>
              <w:t>2</w:t>
            </w:r>
            <w:r>
              <w:rPr>
                <w:rFonts w:hint="default" w:ascii="Times New Roman" w:hAnsi="Times New Roman" w:cs="Times New Roman"/>
                <w:color w:val="auto"/>
                <w:spacing w:val="0"/>
                <w:w w:val="100"/>
                <w:sz w:val="24"/>
                <w:szCs w:val="24"/>
              </w:rPr>
              <w:t>S），此外还有甲硫醇等物质。</w:t>
            </w:r>
            <w:r>
              <w:rPr>
                <w:rFonts w:hint="default" w:ascii="Times New Roman" w:hAnsi="Times New Roman" w:eastAsia="宋体" w:cs="Times New Roman"/>
                <w:color w:val="auto"/>
                <w:spacing w:val="0"/>
                <w:w w:val="100"/>
                <w:sz w:val="24"/>
                <w:szCs w:val="24"/>
                <w:lang w:eastAsia="zh-CN"/>
              </w:rPr>
              <w:t>污水处理厂的恶臭排放量与污水成分、处理工艺、污水规模、污泥处理方式等有较大关系。</w:t>
            </w:r>
          </w:p>
          <w:p w14:paraId="62927C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根据《城镇污水处理厂臭气处理技术规程》（CJJ／T243-2016）表3.2.2，本项目臭气污染物浓度具体见下表。</w:t>
            </w:r>
          </w:p>
          <w:p w14:paraId="09719014">
            <w:pPr>
              <w:keepNext w:val="0"/>
              <w:keepLines w:val="0"/>
              <w:suppressLineNumbers w:val="0"/>
              <w:spacing w:before="0" w:beforeAutospacing="0" w:after="0" w:afterAutospacing="0"/>
              <w:ind w:left="0" w:right="0" w:firstLine="420" w:firstLineChars="200"/>
              <w:jc w:val="center"/>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val="0"/>
                <w:bCs w:val="0"/>
                <w:color w:val="auto"/>
                <w:spacing w:val="0"/>
                <w:w w:val="100"/>
                <w:sz w:val="21"/>
                <w:szCs w:val="21"/>
              </w:rPr>
              <w:t>表</w:t>
            </w:r>
            <w:r>
              <w:rPr>
                <w:rFonts w:hint="eastAsia" w:ascii="Times New Roman" w:hAnsi="Times New Roman" w:eastAsia="宋体" w:cs="Times New Roman"/>
                <w:b w:val="0"/>
                <w:bCs w:val="0"/>
                <w:color w:val="auto"/>
                <w:spacing w:val="0"/>
                <w:w w:val="100"/>
                <w:sz w:val="21"/>
                <w:szCs w:val="21"/>
                <w:lang w:val="en-US" w:eastAsia="zh-CN"/>
              </w:rPr>
              <w:t>4-5</w:t>
            </w:r>
            <w:r>
              <w:rPr>
                <w:rFonts w:hint="default" w:ascii="Times New Roman" w:hAnsi="Times New Roman" w:eastAsia="宋体" w:cs="Times New Roman"/>
                <w:b w:val="0"/>
                <w:bCs w:val="0"/>
                <w:color w:val="auto"/>
                <w:spacing w:val="0"/>
                <w:w w:val="100"/>
                <w:sz w:val="21"/>
                <w:szCs w:val="21"/>
              </w:rPr>
              <w:t xml:space="preserve">  污水处理设施各构筑物废气排放估算</w:t>
            </w:r>
          </w:p>
          <w:tbl>
            <w:tblPr>
              <w:tblStyle w:val="21"/>
              <w:tblpPr w:leftFromText="180" w:rightFromText="180" w:vertAnchor="text" w:tblpXSpec="center" w:tblpY="1"/>
              <w:tblOverlap w:val="never"/>
              <w:tblW w:w="8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2"/>
              <w:gridCol w:w="1701"/>
              <w:gridCol w:w="1434"/>
              <w:gridCol w:w="2591"/>
            </w:tblGrid>
            <w:tr w14:paraId="5458D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1811" w:type="pct"/>
                  <w:noWrap w:val="0"/>
                  <w:vAlign w:val="center"/>
                </w:tcPr>
                <w:p w14:paraId="78ED3380">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处理区域</w:t>
                  </w:r>
                </w:p>
              </w:tc>
              <w:tc>
                <w:tcPr>
                  <w:tcW w:w="947" w:type="pct"/>
                  <w:noWrap w:val="0"/>
                  <w:vAlign w:val="center"/>
                </w:tcPr>
                <w:p w14:paraId="49F538C5">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rPr>
                    <w:t>硫化氢</w:t>
                  </w:r>
                  <w:r>
                    <w:rPr>
                      <w:rFonts w:hint="default" w:ascii="Times New Roman" w:hAnsi="Times New Roman"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mg/m</w:t>
                  </w:r>
                  <w:r>
                    <w:rPr>
                      <w:rFonts w:hint="default" w:ascii="Times New Roman" w:hAnsi="Times New Roman" w:cs="Times New Roman"/>
                      <w:color w:val="auto"/>
                      <w:spacing w:val="0"/>
                      <w:w w:val="100"/>
                      <w:sz w:val="21"/>
                      <w:szCs w:val="21"/>
                      <w:vertAlign w:val="superscript"/>
                    </w:rPr>
                    <w:t>3</w:t>
                  </w:r>
                  <w:r>
                    <w:rPr>
                      <w:rFonts w:hint="default" w:ascii="Times New Roman" w:hAnsi="Times New Roman" w:cs="Times New Roman"/>
                      <w:color w:val="auto"/>
                      <w:spacing w:val="0"/>
                      <w:w w:val="100"/>
                      <w:sz w:val="21"/>
                      <w:szCs w:val="21"/>
                      <w:lang w:eastAsia="zh-CN"/>
                    </w:rPr>
                    <w:t>）</w:t>
                  </w:r>
                </w:p>
              </w:tc>
              <w:tc>
                <w:tcPr>
                  <w:tcW w:w="798" w:type="pct"/>
                  <w:noWrap w:val="0"/>
                  <w:vAlign w:val="center"/>
                </w:tcPr>
                <w:p w14:paraId="38DFD7E1">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cs="Times New Roman"/>
                      <w:color w:val="auto"/>
                      <w:spacing w:val="0"/>
                      <w:w w:val="100"/>
                      <w:sz w:val="21"/>
                      <w:szCs w:val="21"/>
                    </w:rPr>
                    <w:t>氨</w:t>
                  </w:r>
                  <w:r>
                    <w:rPr>
                      <w:rFonts w:hint="default" w:ascii="Times New Roman" w:hAnsi="Times New Roman"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mg/m</w:t>
                  </w:r>
                  <w:r>
                    <w:rPr>
                      <w:rFonts w:hint="default" w:ascii="Times New Roman" w:hAnsi="Times New Roman" w:cs="Times New Roman"/>
                      <w:color w:val="auto"/>
                      <w:spacing w:val="0"/>
                      <w:w w:val="100"/>
                      <w:sz w:val="21"/>
                      <w:szCs w:val="21"/>
                      <w:vertAlign w:val="superscript"/>
                    </w:rPr>
                    <w:t>3</w:t>
                  </w:r>
                  <w:r>
                    <w:rPr>
                      <w:rFonts w:hint="default" w:ascii="Times New Roman" w:hAnsi="Times New Roman" w:cs="Times New Roman"/>
                      <w:color w:val="auto"/>
                      <w:spacing w:val="0"/>
                      <w:w w:val="100"/>
                      <w:sz w:val="21"/>
                      <w:szCs w:val="21"/>
                      <w:lang w:eastAsia="zh-CN"/>
                    </w:rPr>
                    <w:t>）</w:t>
                  </w:r>
                </w:p>
              </w:tc>
              <w:tc>
                <w:tcPr>
                  <w:tcW w:w="1442" w:type="pct"/>
                  <w:noWrap w:val="0"/>
                  <w:vAlign w:val="center"/>
                </w:tcPr>
                <w:p w14:paraId="0A8BFF39">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臭气浓度（无量纲）</w:t>
                  </w:r>
                </w:p>
              </w:tc>
            </w:tr>
            <w:tr w14:paraId="5E3F1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1811" w:type="pct"/>
                  <w:noWrap w:val="0"/>
                  <w:vAlign w:val="center"/>
                </w:tcPr>
                <w:p w14:paraId="338B39C5">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污水处理区域和污水处理区域</w:t>
                  </w:r>
                </w:p>
              </w:tc>
              <w:tc>
                <w:tcPr>
                  <w:tcW w:w="947" w:type="pct"/>
                  <w:noWrap w:val="0"/>
                  <w:vAlign w:val="center"/>
                </w:tcPr>
                <w:p w14:paraId="0A006AC4">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cs="Times New Roman"/>
                      <w:color w:val="auto"/>
                      <w:spacing w:val="0"/>
                      <w:w w:val="100"/>
                      <w:sz w:val="21"/>
                      <w:szCs w:val="21"/>
                      <w:lang w:eastAsia="zh-TW"/>
                    </w:rPr>
                  </w:pPr>
                  <w:r>
                    <w:rPr>
                      <w:rFonts w:hint="default" w:ascii="Times New Roman" w:hAnsi="Times New Roman" w:cs="Times New Roman"/>
                      <w:color w:val="auto"/>
                      <w:spacing w:val="0"/>
                      <w:w w:val="100"/>
                      <w:sz w:val="21"/>
                      <w:szCs w:val="21"/>
                      <w:lang w:val="zh-TW" w:eastAsia="zh-TW"/>
                    </w:rPr>
                    <w:t>1</w:t>
                  </w:r>
                  <w:r>
                    <w:rPr>
                      <w:rFonts w:hint="eastAsia" w:ascii="Times New Roman" w:hAnsi="Times New Roman" w:cs="Times New Roman"/>
                      <w:color w:val="auto"/>
                      <w:spacing w:val="0"/>
                      <w:w w:val="100"/>
                      <w:sz w:val="21"/>
                      <w:szCs w:val="21"/>
                      <w:lang w:val="zh-TW" w:eastAsia="zh-CN"/>
                    </w:rPr>
                    <w:t>~</w:t>
                  </w:r>
                  <w:r>
                    <w:rPr>
                      <w:rFonts w:hint="default" w:ascii="Times New Roman" w:hAnsi="Times New Roman" w:cs="Times New Roman"/>
                      <w:color w:val="auto"/>
                      <w:spacing w:val="0"/>
                      <w:w w:val="100"/>
                      <w:sz w:val="21"/>
                      <w:szCs w:val="21"/>
                      <w:lang w:val="zh-TW" w:eastAsia="zh-TW"/>
                    </w:rPr>
                    <w:t>10</w:t>
                  </w:r>
                </w:p>
              </w:tc>
              <w:tc>
                <w:tcPr>
                  <w:tcW w:w="798" w:type="pct"/>
                  <w:noWrap w:val="0"/>
                  <w:vAlign w:val="center"/>
                </w:tcPr>
                <w:p w14:paraId="2CBBEF6A">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0.5</w:t>
                  </w:r>
                  <w:r>
                    <w:rPr>
                      <w:rFonts w:hint="eastAsia" w:ascii="Times New Roman" w:hAnsi="Times New Roman" w:cs="Times New Roman"/>
                      <w:color w:val="auto"/>
                      <w:spacing w:val="0"/>
                      <w:w w:val="100"/>
                      <w:sz w:val="21"/>
                      <w:szCs w:val="21"/>
                      <w:lang w:eastAsia="zh-CN"/>
                    </w:rPr>
                    <w:t>~</w:t>
                  </w:r>
                  <w:r>
                    <w:rPr>
                      <w:rFonts w:hint="default" w:ascii="Times New Roman" w:hAnsi="Times New Roman" w:cs="Times New Roman"/>
                      <w:color w:val="auto"/>
                      <w:spacing w:val="0"/>
                      <w:w w:val="100"/>
                      <w:sz w:val="21"/>
                      <w:szCs w:val="21"/>
                      <w:lang w:val="zh-TW" w:eastAsia="zh-TW"/>
                    </w:rPr>
                    <w:t>5.0</w:t>
                  </w:r>
                </w:p>
              </w:tc>
              <w:tc>
                <w:tcPr>
                  <w:tcW w:w="1442" w:type="pct"/>
                  <w:noWrap w:val="0"/>
                  <w:vAlign w:val="center"/>
                </w:tcPr>
                <w:p w14:paraId="13CB34FD">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1000</w:t>
                  </w:r>
                  <w:r>
                    <w:rPr>
                      <w:rFonts w:hint="eastAsia" w:ascii="Times New Roman" w:hAnsi="Times New Roman" w:cs="Times New Roman"/>
                      <w:color w:val="auto"/>
                      <w:spacing w:val="0"/>
                      <w:w w:val="100"/>
                      <w:sz w:val="21"/>
                      <w:szCs w:val="21"/>
                      <w:lang w:eastAsia="zh-CN"/>
                    </w:rPr>
                    <w:t>~</w:t>
                  </w:r>
                  <w:r>
                    <w:rPr>
                      <w:rFonts w:hint="default" w:ascii="Times New Roman" w:hAnsi="Times New Roman" w:cs="Times New Roman"/>
                      <w:color w:val="auto"/>
                      <w:spacing w:val="0"/>
                      <w:w w:val="100"/>
                      <w:sz w:val="21"/>
                      <w:szCs w:val="21"/>
                      <w:lang w:val="zh-TW" w:eastAsia="zh-TW"/>
                    </w:rPr>
                    <w:t>5000</w:t>
                  </w:r>
                </w:p>
              </w:tc>
            </w:tr>
            <w:tr w14:paraId="74BC3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1811" w:type="pct"/>
                  <w:noWrap w:val="0"/>
                  <w:vAlign w:val="center"/>
                </w:tcPr>
                <w:p w14:paraId="215A0550">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污泥处理区域</w:t>
                  </w:r>
                </w:p>
              </w:tc>
              <w:tc>
                <w:tcPr>
                  <w:tcW w:w="947" w:type="pct"/>
                  <w:noWrap w:val="0"/>
                  <w:vAlign w:val="center"/>
                </w:tcPr>
                <w:p w14:paraId="656055F0">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lang w:val="zh-TW" w:eastAsia="zh-TW"/>
                    </w:rPr>
                    <w:t>5</w:t>
                  </w:r>
                  <w:r>
                    <w:rPr>
                      <w:rFonts w:hint="eastAsia" w:ascii="Times New Roman" w:hAnsi="Times New Roman" w:cs="Times New Roman"/>
                      <w:color w:val="auto"/>
                      <w:spacing w:val="0"/>
                      <w:w w:val="100"/>
                      <w:sz w:val="21"/>
                      <w:szCs w:val="21"/>
                      <w:lang w:val="zh-TW" w:eastAsia="zh-CN"/>
                    </w:rPr>
                    <w:t>~</w:t>
                  </w:r>
                  <w:r>
                    <w:rPr>
                      <w:rFonts w:hint="default" w:ascii="Times New Roman" w:hAnsi="Times New Roman" w:cs="Times New Roman"/>
                      <w:color w:val="auto"/>
                      <w:spacing w:val="0"/>
                      <w:w w:val="100"/>
                      <w:sz w:val="21"/>
                      <w:szCs w:val="21"/>
                      <w:lang w:val="zh-TW" w:eastAsia="zh-TW"/>
                    </w:rPr>
                    <w:t>30</w:t>
                  </w:r>
                </w:p>
              </w:tc>
              <w:tc>
                <w:tcPr>
                  <w:tcW w:w="798" w:type="pct"/>
                  <w:noWrap w:val="0"/>
                  <w:vAlign w:val="center"/>
                </w:tcPr>
                <w:p w14:paraId="497A2F4E">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lang w:val="zh-TW" w:eastAsia="zh-TW"/>
                    </w:rPr>
                    <w:t>1</w:t>
                  </w:r>
                  <w:r>
                    <w:rPr>
                      <w:rFonts w:hint="eastAsia" w:ascii="Times New Roman" w:hAnsi="Times New Roman" w:cs="Times New Roman"/>
                      <w:color w:val="auto"/>
                      <w:spacing w:val="0"/>
                      <w:w w:val="100"/>
                      <w:sz w:val="21"/>
                      <w:szCs w:val="21"/>
                      <w:lang w:val="zh-TW" w:eastAsia="zh-CN"/>
                    </w:rPr>
                    <w:t>~</w:t>
                  </w:r>
                  <w:r>
                    <w:rPr>
                      <w:rFonts w:hint="default" w:ascii="Times New Roman" w:hAnsi="Times New Roman" w:cs="Times New Roman"/>
                      <w:color w:val="auto"/>
                      <w:spacing w:val="0"/>
                      <w:w w:val="100"/>
                      <w:sz w:val="21"/>
                      <w:szCs w:val="21"/>
                      <w:lang w:val="zh-TW" w:eastAsia="zh-TW"/>
                    </w:rPr>
                    <w:t>10</w:t>
                  </w:r>
                </w:p>
              </w:tc>
              <w:tc>
                <w:tcPr>
                  <w:tcW w:w="1442" w:type="pct"/>
                  <w:noWrap w:val="0"/>
                  <w:vAlign w:val="center"/>
                </w:tcPr>
                <w:p w14:paraId="1DCC88EB">
                  <w:pPr>
                    <w:pStyle w:val="4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5000</w:t>
                  </w:r>
                  <w:r>
                    <w:rPr>
                      <w:rFonts w:hint="eastAsia" w:ascii="Times New Roman" w:hAnsi="Times New Roman" w:cs="Times New Roman"/>
                      <w:color w:val="auto"/>
                      <w:spacing w:val="0"/>
                      <w:w w:val="100"/>
                      <w:sz w:val="21"/>
                      <w:szCs w:val="21"/>
                      <w:lang w:eastAsia="zh-CN"/>
                    </w:rPr>
                    <w:t>~</w:t>
                  </w:r>
                  <w:r>
                    <w:rPr>
                      <w:rFonts w:hint="default" w:ascii="Times New Roman" w:hAnsi="Times New Roman" w:cs="Times New Roman"/>
                      <w:color w:val="auto"/>
                      <w:spacing w:val="0"/>
                      <w:w w:val="100"/>
                      <w:sz w:val="21"/>
                      <w:szCs w:val="21"/>
                      <w:lang w:val="zh-TW" w:eastAsia="zh-TW"/>
                    </w:rPr>
                    <w:t>10000</w:t>
                  </w:r>
                </w:p>
              </w:tc>
            </w:tr>
          </w:tbl>
          <w:p w14:paraId="0250A7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szCs w:val="24"/>
                <w:vertAlign w:val="baseline"/>
                <w:lang w:val="en-US" w:eastAsia="zh-CN"/>
              </w:rPr>
            </w:pPr>
            <w:r>
              <w:rPr>
                <w:rFonts w:hint="default" w:ascii="Times New Roman" w:hAnsi="Times New Roman" w:eastAsia="宋体" w:cs="Times New Roman"/>
                <w:color w:val="auto"/>
                <w:spacing w:val="0"/>
                <w:w w:val="100"/>
                <w:sz w:val="24"/>
                <w:szCs w:val="24"/>
                <w:lang w:eastAsia="zh-CN"/>
              </w:rPr>
              <w:t>根据以上排放估算表，本项目取最大值，即</w:t>
            </w:r>
            <w:r>
              <w:rPr>
                <w:rFonts w:hint="default" w:ascii="Times New Roman" w:hAnsi="Times New Roman" w:cs="Times New Roman"/>
                <w:color w:val="auto"/>
                <w:spacing w:val="0"/>
                <w:w w:val="100"/>
                <w:sz w:val="24"/>
                <w:szCs w:val="24"/>
              </w:rPr>
              <w:t>污水处理区域和污水处理区域NH</w:t>
            </w:r>
            <w:r>
              <w:rPr>
                <w:rFonts w:hint="default" w:ascii="Times New Roman" w:hAnsi="Times New Roman" w:cs="Times New Roman"/>
                <w:color w:val="auto"/>
                <w:spacing w:val="0"/>
                <w:w w:val="100"/>
                <w:sz w:val="24"/>
                <w:szCs w:val="24"/>
                <w:vertAlign w:val="subscript"/>
              </w:rPr>
              <w:t>3</w:t>
            </w:r>
            <w:r>
              <w:rPr>
                <w:rFonts w:hint="default" w:ascii="Times New Roman" w:hAnsi="Times New Roman" w:cs="Times New Roman"/>
                <w:color w:val="auto"/>
                <w:spacing w:val="0"/>
                <w:w w:val="100"/>
                <w:sz w:val="24"/>
                <w:szCs w:val="24"/>
                <w:lang w:val="en-US" w:eastAsia="zh-CN"/>
              </w:rPr>
              <w:t>5</w:t>
            </w:r>
            <w:r>
              <w:rPr>
                <w:rFonts w:hint="default" w:ascii="Times New Roman" w:hAnsi="Times New Roman" w:cs="Times New Roman"/>
                <w:color w:val="auto"/>
                <w:spacing w:val="0"/>
                <w:w w:val="100"/>
                <w:sz w:val="24"/>
                <w:szCs w:val="24"/>
              </w:rPr>
              <w:t>mg/m</w:t>
            </w:r>
            <w:r>
              <w:rPr>
                <w:rFonts w:hint="default" w:ascii="Times New Roman" w:hAnsi="Times New Roman" w:cs="Times New Roman"/>
                <w:color w:val="auto"/>
                <w:spacing w:val="0"/>
                <w:w w:val="100"/>
                <w:sz w:val="24"/>
                <w:szCs w:val="24"/>
                <w:vertAlign w:val="superscript"/>
              </w:rPr>
              <w:t>3</w:t>
            </w:r>
            <w:r>
              <w:rPr>
                <w:rFonts w:hint="default" w:ascii="Times New Roman" w:hAnsi="Times New Roman" w:cs="Times New Roman"/>
                <w:color w:val="auto"/>
                <w:spacing w:val="0"/>
                <w:w w:val="100"/>
                <w:sz w:val="24"/>
                <w:szCs w:val="24"/>
              </w:rPr>
              <w:t>和H</w:t>
            </w:r>
            <w:r>
              <w:rPr>
                <w:rFonts w:hint="default" w:ascii="Times New Roman" w:hAnsi="Times New Roman" w:cs="Times New Roman"/>
                <w:color w:val="auto"/>
                <w:spacing w:val="0"/>
                <w:w w:val="100"/>
                <w:sz w:val="24"/>
                <w:szCs w:val="24"/>
                <w:vertAlign w:val="subscript"/>
              </w:rPr>
              <w:t>2</w:t>
            </w:r>
            <w:r>
              <w:rPr>
                <w:rFonts w:hint="default" w:ascii="Times New Roman" w:hAnsi="Times New Roman" w:cs="Times New Roman"/>
                <w:color w:val="auto"/>
                <w:spacing w:val="0"/>
                <w:w w:val="100"/>
                <w:sz w:val="24"/>
                <w:szCs w:val="24"/>
              </w:rPr>
              <w:t>S</w:t>
            </w:r>
            <w:r>
              <w:rPr>
                <w:rFonts w:hint="default" w:ascii="Times New Roman" w:hAnsi="Times New Roman" w:cs="Times New Roman"/>
                <w:color w:val="auto"/>
                <w:spacing w:val="0"/>
                <w:w w:val="100"/>
                <w:sz w:val="24"/>
                <w:szCs w:val="24"/>
                <w:lang w:val="en-US" w:eastAsia="zh-CN"/>
              </w:rPr>
              <w:t>10</w:t>
            </w:r>
            <w:r>
              <w:rPr>
                <w:rFonts w:hint="default" w:ascii="Times New Roman" w:hAnsi="Times New Roman" w:cs="Times New Roman"/>
                <w:color w:val="auto"/>
                <w:spacing w:val="0"/>
                <w:w w:val="100"/>
                <w:sz w:val="24"/>
                <w:szCs w:val="24"/>
              </w:rPr>
              <w:t>mg/m</w:t>
            </w:r>
            <w:r>
              <w:rPr>
                <w:rFonts w:hint="default" w:ascii="Times New Roman" w:hAnsi="Times New Roman" w:cs="Times New Roman"/>
                <w:color w:val="auto"/>
                <w:spacing w:val="0"/>
                <w:w w:val="100"/>
                <w:sz w:val="24"/>
                <w:szCs w:val="24"/>
                <w:vertAlign w:val="superscript"/>
              </w:rPr>
              <w:t>3</w:t>
            </w:r>
            <w:r>
              <w:rPr>
                <w:rFonts w:hint="default" w:ascii="Times New Roman" w:hAnsi="Times New Roman" w:cs="Times New Roman"/>
                <w:color w:val="auto"/>
                <w:spacing w:val="0"/>
                <w:w w:val="100"/>
                <w:sz w:val="24"/>
                <w:szCs w:val="24"/>
                <w:vertAlign w:val="baseline"/>
                <w:lang w:eastAsia="zh-CN"/>
              </w:rPr>
              <w:t>，</w:t>
            </w:r>
            <w:r>
              <w:rPr>
                <w:rFonts w:hint="default" w:ascii="Times New Roman" w:hAnsi="Times New Roman" w:cs="Times New Roman"/>
                <w:color w:val="auto"/>
                <w:spacing w:val="0"/>
                <w:w w:val="100"/>
                <w:sz w:val="24"/>
                <w:szCs w:val="24"/>
              </w:rPr>
              <w:t>污泥处理区域NH</w:t>
            </w:r>
            <w:r>
              <w:rPr>
                <w:rFonts w:hint="default" w:ascii="Times New Roman" w:hAnsi="Times New Roman" w:cs="Times New Roman"/>
                <w:color w:val="auto"/>
                <w:spacing w:val="0"/>
                <w:w w:val="100"/>
                <w:sz w:val="24"/>
                <w:szCs w:val="24"/>
                <w:vertAlign w:val="subscript"/>
              </w:rPr>
              <w:t>3</w:t>
            </w:r>
            <w:r>
              <w:rPr>
                <w:rFonts w:hint="default" w:ascii="Times New Roman" w:hAnsi="Times New Roman" w:cs="Times New Roman"/>
                <w:color w:val="auto"/>
                <w:spacing w:val="0"/>
                <w:w w:val="100"/>
                <w:sz w:val="24"/>
                <w:szCs w:val="24"/>
                <w:lang w:val="en-US" w:eastAsia="zh-CN"/>
              </w:rPr>
              <w:t>10</w:t>
            </w:r>
            <w:r>
              <w:rPr>
                <w:rFonts w:hint="default" w:ascii="Times New Roman" w:hAnsi="Times New Roman" w:cs="Times New Roman"/>
                <w:color w:val="auto"/>
                <w:spacing w:val="0"/>
                <w:w w:val="100"/>
                <w:sz w:val="24"/>
                <w:szCs w:val="24"/>
              </w:rPr>
              <w:t>mg/m</w:t>
            </w:r>
            <w:r>
              <w:rPr>
                <w:rFonts w:hint="default" w:ascii="Times New Roman" w:hAnsi="Times New Roman" w:cs="Times New Roman"/>
                <w:color w:val="auto"/>
                <w:spacing w:val="0"/>
                <w:w w:val="100"/>
                <w:sz w:val="24"/>
                <w:szCs w:val="24"/>
                <w:vertAlign w:val="superscript"/>
              </w:rPr>
              <w:t>3</w:t>
            </w:r>
            <w:r>
              <w:rPr>
                <w:rFonts w:hint="default" w:ascii="Times New Roman" w:hAnsi="Times New Roman" w:cs="Times New Roman"/>
                <w:color w:val="auto"/>
                <w:spacing w:val="0"/>
                <w:w w:val="100"/>
                <w:sz w:val="24"/>
                <w:szCs w:val="24"/>
              </w:rPr>
              <w:t>和H</w:t>
            </w:r>
            <w:r>
              <w:rPr>
                <w:rFonts w:hint="default" w:ascii="Times New Roman" w:hAnsi="Times New Roman" w:cs="Times New Roman"/>
                <w:color w:val="auto"/>
                <w:spacing w:val="0"/>
                <w:w w:val="100"/>
                <w:sz w:val="24"/>
                <w:szCs w:val="24"/>
                <w:vertAlign w:val="subscript"/>
              </w:rPr>
              <w:t>2</w:t>
            </w:r>
            <w:r>
              <w:rPr>
                <w:rFonts w:hint="default" w:ascii="Times New Roman" w:hAnsi="Times New Roman" w:cs="Times New Roman"/>
                <w:color w:val="auto"/>
                <w:spacing w:val="0"/>
                <w:w w:val="100"/>
                <w:sz w:val="24"/>
                <w:szCs w:val="24"/>
              </w:rPr>
              <w:t>S</w:t>
            </w:r>
            <w:r>
              <w:rPr>
                <w:rFonts w:hint="default" w:ascii="Times New Roman" w:hAnsi="Times New Roman" w:cs="Times New Roman"/>
                <w:color w:val="auto"/>
                <w:spacing w:val="0"/>
                <w:w w:val="100"/>
                <w:sz w:val="24"/>
                <w:szCs w:val="24"/>
                <w:lang w:val="en-US" w:eastAsia="zh-CN"/>
              </w:rPr>
              <w:t>30</w:t>
            </w:r>
            <w:r>
              <w:rPr>
                <w:rFonts w:hint="default" w:ascii="Times New Roman" w:hAnsi="Times New Roman" w:cs="Times New Roman"/>
                <w:color w:val="auto"/>
                <w:spacing w:val="0"/>
                <w:w w:val="100"/>
                <w:sz w:val="24"/>
                <w:szCs w:val="24"/>
              </w:rPr>
              <w:t>mg/m</w:t>
            </w:r>
            <w:r>
              <w:rPr>
                <w:rFonts w:hint="default" w:ascii="Times New Roman" w:hAnsi="Times New Roman" w:cs="Times New Roman"/>
                <w:color w:val="auto"/>
                <w:spacing w:val="0"/>
                <w:w w:val="100"/>
                <w:sz w:val="24"/>
                <w:szCs w:val="24"/>
                <w:vertAlign w:val="superscript"/>
              </w:rPr>
              <w:t>3</w:t>
            </w:r>
            <w:r>
              <w:rPr>
                <w:rFonts w:hint="default" w:ascii="Times New Roman" w:hAnsi="Times New Roman" w:cs="Times New Roman"/>
                <w:color w:val="auto"/>
                <w:spacing w:val="0"/>
                <w:w w:val="100"/>
                <w:sz w:val="24"/>
                <w:szCs w:val="24"/>
                <w:vertAlign w:val="baseline"/>
                <w:lang w:val="en-US" w:eastAsia="zh-CN"/>
              </w:rPr>
              <w:t>。</w:t>
            </w:r>
          </w:p>
          <w:p w14:paraId="5D6CB76C">
            <w:pPr>
              <w:pStyle w:val="20"/>
              <w:keepNext w:val="0"/>
              <w:keepLines w:val="0"/>
              <w:suppressLineNumbers w:val="0"/>
              <w:spacing w:before="0" w:beforeAutospacing="0" w:afterAutospacing="0"/>
              <w:ind w:left="0" w:leftChars="0" w:right="0" w:firstLine="0" w:firstLineChars="0"/>
              <w:jc w:val="center"/>
              <w:rPr>
                <w:rFonts w:hint="default" w:ascii="Times New Roman" w:hAnsi="Times New Roman" w:eastAsia="宋体" w:cs="Times New Roman"/>
                <w:b w:val="0"/>
                <w:bCs w:val="0"/>
                <w:color w:val="auto"/>
                <w:spacing w:val="0"/>
                <w:w w:val="100"/>
                <w:lang w:val="en-US" w:eastAsia="zh-CN"/>
              </w:rPr>
            </w:pPr>
            <w:r>
              <w:rPr>
                <w:rFonts w:hint="default" w:ascii="Times New Roman" w:hAnsi="Times New Roman" w:eastAsia="宋体" w:cs="Times New Roman"/>
                <w:b w:val="0"/>
                <w:bCs w:val="0"/>
                <w:color w:val="auto"/>
                <w:spacing w:val="0"/>
                <w:w w:val="100"/>
                <w:sz w:val="21"/>
                <w:szCs w:val="21"/>
              </w:rPr>
              <w:t>表</w:t>
            </w:r>
            <w:r>
              <w:rPr>
                <w:rFonts w:hint="eastAsia" w:hAnsi="Times New Roman" w:eastAsia="宋体" w:cs="Times New Roman"/>
                <w:b w:val="0"/>
                <w:bCs w:val="0"/>
                <w:color w:val="auto"/>
                <w:spacing w:val="0"/>
                <w:w w:val="100"/>
                <w:sz w:val="21"/>
                <w:szCs w:val="21"/>
                <w:lang w:val="en-US" w:eastAsia="zh-CN"/>
              </w:rPr>
              <w:t>4-6</w:t>
            </w:r>
            <w:r>
              <w:rPr>
                <w:rFonts w:hint="default" w:ascii="Times New Roman" w:hAnsi="Times New Roman" w:eastAsia="宋体" w:cs="Times New Roman"/>
                <w:b w:val="0"/>
                <w:bCs w:val="0"/>
                <w:color w:val="auto"/>
                <w:spacing w:val="0"/>
                <w:w w:val="100"/>
                <w:sz w:val="21"/>
                <w:szCs w:val="21"/>
                <w:lang w:val="en-US" w:eastAsia="zh-CN"/>
              </w:rPr>
              <w:t xml:space="preserve"> </w:t>
            </w:r>
            <w:r>
              <w:rPr>
                <w:rFonts w:hint="default" w:ascii="Times New Roman" w:hAnsi="Times New Roman" w:eastAsia="宋体" w:cs="Times New Roman"/>
                <w:b w:val="0"/>
                <w:bCs w:val="0"/>
                <w:color w:val="auto"/>
                <w:spacing w:val="0"/>
                <w:w w:val="100"/>
                <w:sz w:val="21"/>
                <w:szCs w:val="21"/>
              </w:rPr>
              <w:t xml:space="preserve"> </w:t>
            </w:r>
            <w:r>
              <w:rPr>
                <w:rFonts w:hint="default" w:ascii="Times New Roman" w:hAnsi="Times New Roman" w:eastAsia="宋体" w:cs="Times New Roman"/>
                <w:b w:val="0"/>
                <w:bCs w:val="0"/>
                <w:color w:val="auto"/>
                <w:spacing w:val="0"/>
                <w:w w:val="100"/>
                <w:sz w:val="21"/>
                <w:szCs w:val="21"/>
                <w:lang w:eastAsia="zh-CN"/>
              </w:rPr>
              <w:t>拟建项目臭气风量计算表</w:t>
            </w:r>
          </w:p>
          <w:tbl>
            <w:tblPr>
              <w:tblStyle w:val="21"/>
              <w:tblW w:w="89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25"/>
              <w:gridCol w:w="739"/>
              <w:gridCol w:w="1539"/>
              <w:gridCol w:w="1033"/>
              <w:gridCol w:w="1105"/>
              <w:gridCol w:w="676"/>
              <w:gridCol w:w="878"/>
              <w:gridCol w:w="985"/>
              <w:gridCol w:w="1316"/>
            </w:tblGrid>
            <w:tr w14:paraId="1A60C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13" w:hRule="atLeast"/>
              </w:trPr>
              <w:tc>
                <w:tcPr>
                  <w:tcW w:w="725" w:type="dxa"/>
                  <w:shd w:val="clear" w:color="auto" w:fill="auto"/>
                  <w:vAlign w:val="center"/>
                </w:tcPr>
                <w:p w14:paraId="01AFEF5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区域</w:t>
                  </w:r>
                </w:p>
              </w:tc>
              <w:tc>
                <w:tcPr>
                  <w:tcW w:w="739" w:type="dxa"/>
                  <w:shd w:val="clear" w:color="auto" w:fill="auto"/>
                  <w:vAlign w:val="center"/>
                </w:tcPr>
                <w:p w14:paraId="6F064D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1539" w:type="dxa"/>
                  <w:shd w:val="clear" w:color="auto" w:fill="auto"/>
                  <w:vAlign w:val="center"/>
                </w:tcPr>
                <w:p w14:paraId="0918FC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1033" w:type="dxa"/>
                  <w:shd w:val="clear" w:color="auto" w:fill="auto"/>
                  <w:vAlign w:val="center"/>
                </w:tcPr>
                <w:p w14:paraId="0D1982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建筑面积</w:t>
                  </w:r>
                  <w:r>
                    <w:rPr>
                      <w:rStyle w:val="67"/>
                      <w:rFonts w:hint="default" w:ascii="Times New Roman" w:hAnsi="Times New Roman" w:eastAsia="宋体" w:cs="Times New Roman"/>
                      <w:sz w:val="21"/>
                      <w:szCs w:val="21"/>
                      <w:lang w:val="en-US" w:eastAsia="zh-CN" w:bidi="ar"/>
                    </w:rPr>
                    <w:t>m</w:t>
                  </w:r>
                  <w:r>
                    <w:rPr>
                      <w:rStyle w:val="73"/>
                      <w:rFonts w:hint="default" w:ascii="Times New Roman" w:hAnsi="Times New Roman" w:eastAsia="宋体" w:cs="Times New Roman"/>
                      <w:sz w:val="21"/>
                      <w:szCs w:val="21"/>
                      <w:vertAlign w:val="superscript"/>
                      <w:lang w:val="en-US" w:eastAsia="zh-CN" w:bidi="ar"/>
                    </w:rPr>
                    <w:t>2</w:t>
                  </w:r>
                </w:p>
              </w:tc>
              <w:tc>
                <w:tcPr>
                  <w:tcW w:w="1105" w:type="dxa"/>
                  <w:shd w:val="clear" w:color="auto" w:fill="auto"/>
                  <w:vAlign w:val="center"/>
                </w:tcPr>
                <w:p w14:paraId="576944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液面离池盖高度</w:t>
                  </w:r>
                  <w:r>
                    <w:rPr>
                      <w:rStyle w:val="67"/>
                      <w:rFonts w:hint="default" w:ascii="Times New Roman" w:hAnsi="Times New Roman" w:eastAsia="宋体" w:cs="Times New Roman"/>
                      <w:sz w:val="21"/>
                      <w:szCs w:val="21"/>
                      <w:lang w:val="en-US" w:eastAsia="zh-CN" w:bidi="ar"/>
                    </w:rPr>
                    <w:t>/m</w:t>
                  </w:r>
                </w:p>
              </w:tc>
              <w:tc>
                <w:tcPr>
                  <w:tcW w:w="676" w:type="dxa"/>
                  <w:shd w:val="clear" w:color="auto" w:fill="auto"/>
                  <w:vAlign w:val="center"/>
                </w:tcPr>
                <w:p w14:paraId="7E994C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数量</w:t>
                  </w:r>
                  <w:r>
                    <w:rPr>
                      <w:rStyle w:val="67"/>
                      <w:rFonts w:hint="default" w:ascii="Times New Roman" w:hAnsi="Times New Roman" w:eastAsia="宋体" w:cs="Times New Roman"/>
                      <w:sz w:val="21"/>
                      <w:szCs w:val="21"/>
                      <w:lang w:val="en-US" w:eastAsia="zh-CN" w:bidi="ar"/>
                    </w:rPr>
                    <w:t>/</w:t>
                  </w:r>
                  <w:r>
                    <w:rPr>
                      <w:rStyle w:val="66"/>
                      <w:rFonts w:hint="default" w:ascii="Times New Roman" w:hAnsi="Times New Roman" w:eastAsia="宋体" w:cs="Times New Roman"/>
                      <w:sz w:val="21"/>
                      <w:szCs w:val="21"/>
                      <w:lang w:val="en-US" w:eastAsia="zh-CN" w:bidi="ar"/>
                    </w:rPr>
                    <w:t>个</w:t>
                  </w:r>
                </w:p>
              </w:tc>
              <w:tc>
                <w:tcPr>
                  <w:tcW w:w="878" w:type="dxa"/>
                  <w:shd w:val="clear" w:color="auto" w:fill="auto"/>
                  <w:vAlign w:val="center"/>
                </w:tcPr>
                <w:p w14:paraId="662882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空间体积m</w:t>
                  </w:r>
                  <w:r>
                    <w:rPr>
                      <w:rStyle w:val="73"/>
                      <w:rFonts w:hint="default" w:ascii="Times New Roman" w:hAnsi="Times New Roman" w:eastAsia="宋体" w:cs="Times New Roman"/>
                      <w:sz w:val="21"/>
                      <w:szCs w:val="21"/>
                      <w:vertAlign w:val="superscript"/>
                      <w:lang w:val="en-US" w:eastAsia="zh-CN" w:bidi="ar"/>
                    </w:rPr>
                    <w:t>3</w:t>
                  </w:r>
                </w:p>
              </w:tc>
              <w:tc>
                <w:tcPr>
                  <w:tcW w:w="985" w:type="dxa"/>
                  <w:shd w:val="clear" w:color="auto" w:fill="auto"/>
                  <w:vAlign w:val="center"/>
                </w:tcPr>
                <w:p w14:paraId="14BDCD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空间换气次数</w:t>
                  </w:r>
                </w:p>
              </w:tc>
              <w:tc>
                <w:tcPr>
                  <w:tcW w:w="1316" w:type="dxa"/>
                  <w:shd w:val="clear" w:color="auto" w:fill="auto"/>
                  <w:vAlign w:val="center"/>
                </w:tcPr>
                <w:p w14:paraId="1D94DE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计算风量</w:t>
                  </w:r>
                  <w:r>
                    <w:rPr>
                      <w:rStyle w:val="67"/>
                      <w:rFonts w:hint="default" w:ascii="Times New Roman" w:hAnsi="Times New Roman" w:eastAsia="宋体" w:cs="Times New Roman"/>
                      <w:sz w:val="21"/>
                      <w:szCs w:val="21"/>
                      <w:lang w:val="en-US" w:eastAsia="zh-CN" w:bidi="ar"/>
                    </w:rPr>
                    <w:t>m</w:t>
                  </w:r>
                  <w:r>
                    <w:rPr>
                      <w:rStyle w:val="73"/>
                      <w:rFonts w:hint="default" w:ascii="Times New Roman" w:hAnsi="Times New Roman" w:eastAsia="宋体" w:cs="Times New Roman"/>
                      <w:sz w:val="21"/>
                      <w:szCs w:val="21"/>
                      <w:vertAlign w:val="superscript"/>
                      <w:lang w:val="en-US" w:eastAsia="zh-CN" w:bidi="ar"/>
                    </w:rPr>
                    <w:t>3</w:t>
                  </w:r>
                  <w:r>
                    <w:rPr>
                      <w:rStyle w:val="67"/>
                      <w:rFonts w:hint="default" w:ascii="Times New Roman" w:hAnsi="Times New Roman" w:eastAsia="宋体" w:cs="Times New Roman"/>
                      <w:sz w:val="21"/>
                      <w:szCs w:val="21"/>
                      <w:lang w:val="en-US" w:eastAsia="zh-CN" w:bidi="ar"/>
                    </w:rPr>
                    <w:t>/h</w:t>
                  </w:r>
                </w:p>
              </w:tc>
            </w:tr>
            <w:tr w14:paraId="1667C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 w:hRule="atLeast"/>
              </w:trPr>
              <w:tc>
                <w:tcPr>
                  <w:tcW w:w="725" w:type="dxa"/>
                  <w:vMerge w:val="restart"/>
                  <w:shd w:val="clear" w:color="auto" w:fill="auto"/>
                  <w:vAlign w:val="center"/>
                </w:tcPr>
                <w:p w14:paraId="7A54CC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Style w:val="66"/>
                      <w:rFonts w:hint="default" w:ascii="Times New Roman" w:hAnsi="Times New Roman" w:eastAsia="宋体" w:cs="Times New Roman"/>
                      <w:sz w:val="21"/>
                      <w:szCs w:val="21"/>
                      <w:lang w:val="en-US" w:eastAsia="zh-CN" w:bidi="ar"/>
                    </w:rPr>
                    <w:t>除臭系统</w:t>
                  </w:r>
                </w:p>
              </w:tc>
              <w:tc>
                <w:tcPr>
                  <w:tcW w:w="739" w:type="dxa"/>
                  <w:shd w:val="clear" w:color="auto" w:fill="auto"/>
                  <w:vAlign w:val="center"/>
                </w:tcPr>
                <w:p w14:paraId="1BC15B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539" w:type="dxa"/>
                  <w:shd w:val="clear" w:color="auto" w:fill="auto"/>
                  <w:vAlign w:val="center"/>
                </w:tcPr>
                <w:p w14:paraId="2830FC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沉砂池</w:t>
                  </w:r>
                </w:p>
              </w:tc>
              <w:tc>
                <w:tcPr>
                  <w:tcW w:w="1033" w:type="dxa"/>
                  <w:shd w:val="clear" w:color="auto" w:fill="auto"/>
                  <w:vAlign w:val="center"/>
                </w:tcPr>
                <w:p w14:paraId="054A70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11.25</w:t>
                  </w:r>
                </w:p>
              </w:tc>
              <w:tc>
                <w:tcPr>
                  <w:tcW w:w="1105" w:type="dxa"/>
                  <w:shd w:val="clear" w:color="auto" w:fill="auto"/>
                  <w:vAlign w:val="center"/>
                </w:tcPr>
                <w:p w14:paraId="5ACEA1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676" w:type="dxa"/>
                  <w:shd w:val="clear" w:color="auto" w:fill="auto"/>
                  <w:vAlign w:val="center"/>
                </w:tcPr>
                <w:p w14:paraId="4992EE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78" w:type="dxa"/>
                  <w:shd w:val="clear" w:color="auto" w:fill="auto"/>
                  <w:vAlign w:val="center"/>
                </w:tcPr>
                <w:p w14:paraId="36404B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22.5</w:t>
                  </w:r>
                </w:p>
              </w:tc>
              <w:tc>
                <w:tcPr>
                  <w:tcW w:w="985" w:type="dxa"/>
                  <w:shd w:val="clear" w:color="auto" w:fill="auto"/>
                  <w:vAlign w:val="center"/>
                </w:tcPr>
                <w:p w14:paraId="2D5752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16" w:type="dxa"/>
                  <w:shd w:val="clear" w:color="auto" w:fill="auto"/>
                  <w:vAlign w:val="center"/>
                </w:tcPr>
                <w:p w14:paraId="62341B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67.5</w:t>
                  </w:r>
                </w:p>
              </w:tc>
            </w:tr>
            <w:tr w14:paraId="45338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 w:hRule="atLeast"/>
              </w:trPr>
              <w:tc>
                <w:tcPr>
                  <w:tcW w:w="725" w:type="dxa"/>
                  <w:vMerge w:val="continue"/>
                  <w:shd w:val="clear" w:color="auto" w:fill="auto"/>
                  <w:vAlign w:val="center"/>
                </w:tcPr>
                <w:p w14:paraId="3EF94C0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739" w:type="dxa"/>
                  <w:shd w:val="clear" w:color="auto" w:fill="auto"/>
                  <w:vAlign w:val="center"/>
                </w:tcPr>
                <w:p w14:paraId="150D38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539" w:type="dxa"/>
                  <w:shd w:val="clear" w:color="auto" w:fill="auto"/>
                  <w:vAlign w:val="center"/>
                </w:tcPr>
                <w:p w14:paraId="68E3A4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调节池</w:t>
                  </w:r>
                </w:p>
              </w:tc>
              <w:tc>
                <w:tcPr>
                  <w:tcW w:w="1033" w:type="dxa"/>
                  <w:shd w:val="clear" w:color="auto" w:fill="auto"/>
                  <w:vAlign w:val="center"/>
                </w:tcPr>
                <w:p w14:paraId="2CDD94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150</w:t>
                  </w:r>
                </w:p>
              </w:tc>
              <w:tc>
                <w:tcPr>
                  <w:tcW w:w="1105" w:type="dxa"/>
                  <w:shd w:val="clear" w:color="auto" w:fill="auto"/>
                  <w:vAlign w:val="center"/>
                </w:tcPr>
                <w:p w14:paraId="0433F0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676" w:type="dxa"/>
                  <w:shd w:val="clear" w:color="auto" w:fill="auto"/>
                  <w:vAlign w:val="center"/>
                </w:tcPr>
                <w:p w14:paraId="33A026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78" w:type="dxa"/>
                  <w:shd w:val="clear" w:color="auto" w:fill="auto"/>
                  <w:vAlign w:val="center"/>
                </w:tcPr>
                <w:p w14:paraId="4ED402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985" w:type="dxa"/>
                  <w:shd w:val="clear" w:color="auto" w:fill="auto"/>
                  <w:vAlign w:val="center"/>
                </w:tcPr>
                <w:p w14:paraId="096F898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16" w:type="dxa"/>
                  <w:shd w:val="clear" w:color="auto" w:fill="auto"/>
                  <w:vAlign w:val="center"/>
                </w:tcPr>
                <w:p w14:paraId="5FFF49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w:t>
                  </w:r>
                </w:p>
              </w:tc>
            </w:tr>
            <w:tr w14:paraId="101D4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 w:hRule="atLeast"/>
              </w:trPr>
              <w:tc>
                <w:tcPr>
                  <w:tcW w:w="725" w:type="dxa"/>
                  <w:vMerge w:val="continue"/>
                  <w:shd w:val="clear" w:color="auto" w:fill="auto"/>
                  <w:vAlign w:val="center"/>
                </w:tcPr>
                <w:p w14:paraId="293C2B4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739" w:type="dxa"/>
                  <w:shd w:val="clear" w:color="auto" w:fill="auto"/>
                  <w:vAlign w:val="center"/>
                </w:tcPr>
                <w:p w14:paraId="00F034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539" w:type="dxa"/>
                  <w:shd w:val="clear" w:color="auto" w:fill="auto"/>
                  <w:vAlign w:val="center"/>
                </w:tcPr>
                <w:p w14:paraId="24B751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厌氧反应池</w:t>
                  </w:r>
                </w:p>
              </w:tc>
              <w:tc>
                <w:tcPr>
                  <w:tcW w:w="1033" w:type="dxa"/>
                  <w:shd w:val="clear" w:color="auto" w:fill="auto"/>
                  <w:vAlign w:val="center"/>
                </w:tcPr>
                <w:p w14:paraId="11CC80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w:t>
                  </w:r>
                </w:p>
              </w:tc>
              <w:tc>
                <w:tcPr>
                  <w:tcW w:w="1105" w:type="dxa"/>
                  <w:shd w:val="clear" w:color="auto" w:fill="auto"/>
                  <w:vAlign w:val="center"/>
                </w:tcPr>
                <w:p w14:paraId="7223C8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676" w:type="dxa"/>
                  <w:shd w:val="clear" w:color="auto" w:fill="auto"/>
                  <w:vAlign w:val="center"/>
                </w:tcPr>
                <w:p w14:paraId="44D144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78" w:type="dxa"/>
                  <w:shd w:val="clear" w:color="auto" w:fill="auto"/>
                  <w:vAlign w:val="center"/>
                </w:tcPr>
                <w:p w14:paraId="705DC7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78</w:t>
                  </w:r>
                </w:p>
              </w:tc>
              <w:tc>
                <w:tcPr>
                  <w:tcW w:w="985" w:type="dxa"/>
                  <w:shd w:val="clear" w:color="auto" w:fill="auto"/>
                  <w:vAlign w:val="center"/>
                </w:tcPr>
                <w:p w14:paraId="1B5AD5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16" w:type="dxa"/>
                  <w:shd w:val="clear" w:color="auto" w:fill="auto"/>
                  <w:vAlign w:val="center"/>
                </w:tcPr>
                <w:p w14:paraId="6EAF0A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234</w:t>
                  </w:r>
                </w:p>
              </w:tc>
            </w:tr>
            <w:tr w14:paraId="12297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 w:hRule="atLeast"/>
              </w:trPr>
              <w:tc>
                <w:tcPr>
                  <w:tcW w:w="725" w:type="dxa"/>
                  <w:vMerge w:val="continue"/>
                  <w:shd w:val="clear" w:color="auto" w:fill="auto"/>
                  <w:vAlign w:val="center"/>
                </w:tcPr>
                <w:p w14:paraId="6D60C83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739" w:type="dxa"/>
                  <w:shd w:val="clear" w:color="auto" w:fill="auto"/>
                  <w:vAlign w:val="center"/>
                </w:tcPr>
                <w:p w14:paraId="10B02E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539" w:type="dxa"/>
                  <w:shd w:val="clear" w:color="auto" w:fill="auto"/>
                  <w:vAlign w:val="center"/>
                </w:tcPr>
                <w:p w14:paraId="3279E9F1">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缺氧反应池</w:t>
                  </w:r>
                </w:p>
              </w:tc>
              <w:tc>
                <w:tcPr>
                  <w:tcW w:w="1033" w:type="dxa"/>
                  <w:shd w:val="clear" w:color="auto" w:fill="auto"/>
                  <w:vAlign w:val="center"/>
                </w:tcPr>
                <w:p w14:paraId="038D7D28">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100.75</w:t>
                  </w:r>
                </w:p>
              </w:tc>
              <w:tc>
                <w:tcPr>
                  <w:tcW w:w="1105" w:type="dxa"/>
                  <w:shd w:val="clear" w:color="auto" w:fill="auto"/>
                  <w:vAlign w:val="center"/>
                </w:tcPr>
                <w:p w14:paraId="46BA5C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676" w:type="dxa"/>
                  <w:shd w:val="clear" w:color="auto" w:fill="auto"/>
                  <w:vAlign w:val="center"/>
                </w:tcPr>
                <w:p w14:paraId="063008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78" w:type="dxa"/>
                  <w:shd w:val="clear" w:color="auto" w:fill="auto"/>
                  <w:vAlign w:val="center"/>
                </w:tcPr>
                <w:p w14:paraId="1D6AC8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201.5</w:t>
                  </w:r>
                </w:p>
              </w:tc>
              <w:tc>
                <w:tcPr>
                  <w:tcW w:w="985" w:type="dxa"/>
                  <w:shd w:val="clear" w:color="auto" w:fill="auto"/>
                  <w:vAlign w:val="center"/>
                </w:tcPr>
                <w:p w14:paraId="17DA0B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16" w:type="dxa"/>
                  <w:shd w:val="clear" w:color="auto" w:fill="auto"/>
                  <w:vAlign w:val="center"/>
                </w:tcPr>
                <w:p w14:paraId="41269B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604.5</w:t>
                  </w:r>
                </w:p>
              </w:tc>
            </w:tr>
            <w:tr w14:paraId="7DC9E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 w:hRule="atLeast"/>
              </w:trPr>
              <w:tc>
                <w:tcPr>
                  <w:tcW w:w="725" w:type="dxa"/>
                  <w:vMerge w:val="continue"/>
                  <w:shd w:val="clear" w:color="auto" w:fill="auto"/>
                  <w:vAlign w:val="center"/>
                </w:tcPr>
                <w:p w14:paraId="1E18F78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739" w:type="dxa"/>
                  <w:shd w:val="clear" w:color="auto" w:fill="auto"/>
                  <w:vAlign w:val="center"/>
                </w:tcPr>
                <w:p w14:paraId="1D34A1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539" w:type="dxa"/>
                  <w:shd w:val="clear" w:color="auto" w:fill="auto"/>
                  <w:vAlign w:val="center"/>
                </w:tcPr>
                <w:p w14:paraId="5306119A">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好氧反应池</w:t>
                  </w:r>
                </w:p>
              </w:tc>
              <w:tc>
                <w:tcPr>
                  <w:tcW w:w="1033" w:type="dxa"/>
                  <w:shd w:val="clear" w:color="auto" w:fill="auto"/>
                  <w:vAlign w:val="center"/>
                </w:tcPr>
                <w:p w14:paraId="4DBE8781">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195</w:t>
                  </w:r>
                </w:p>
              </w:tc>
              <w:tc>
                <w:tcPr>
                  <w:tcW w:w="1105" w:type="dxa"/>
                  <w:shd w:val="clear" w:color="auto" w:fill="auto"/>
                  <w:vAlign w:val="center"/>
                </w:tcPr>
                <w:p w14:paraId="026B4F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676" w:type="dxa"/>
                  <w:shd w:val="clear" w:color="auto" w:fill="auto"/>
                  <w:vAlign w:val="center"/>
                </w:tcPr>
                <w:p w14:paraId="1C4F74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78" w:type="dxa"/>
                  <w:shd w:val="clear" w:color="auto" w:fill="auto"/>
                  <w:vAlign w:val="center"/>
                </w:tcPr>
                <w:p w14:paraId="438A418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390</w:t>
                  </w:r>
                </w:p>
              </w:tc>
              <w:tc>
                <w:tcPr>
                  <w:tcW w:w="985" w:type="dxa"/>
                  <w:shd w:val="clear" w:color="auto" w:fill="auto"/>
                  <w:vAlign w:val="center"/>
                </w:tcPr>
                <w:p w14:paraId="66091A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16" w:type="dxa"/>
                  <w:shd w:val="clear" w:color="auto" w:fill="auto"/>
                  <w:vAlign w:val="center"/>
                </w:tcPr>
                <w:p w14:paraId="021B29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1170</w:t>
                  </w:r>
                </w:p>
              </w:tc>
            </w:tr>
            <w:tr w14:paraId="715CC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 w:hRule="atLeast"/>
              </w:trPr>
              <w:tc>
                <w:tcPr>
                  <w:tcW w:w="725" w:type="dxa"/>
                  <w:vMerge w:val="continue"/>
                  <w:shd w:val="clear" w:color="auto" w:fill="auto"/>
                  <w:vAlign w:val="center"/>
                </w:tcPr>
                <w:p w14:paraId="74C07A8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739" w:type="dxa"/>
                  <w:shd w:val="clear" w:color="auto" w:fill="auto"/>
                  <w:vAlign w:val="center"/>
                </w:tcPr>
                <w:p w14:paraId="2FFB2D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539" w:type="dxa"/>
                  <w:shd w:val="clear" w:color="auto" w:fill="auto"/>
                  <w:vAlign w:val="center"/>
                </w:tcPr>
                <w:p w14:paraId="6C290C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MBR膜池</w:t>
                  </w:r>
                </w:p>
              </w:tc>
              <w:tc>
                <w:tcPr>
                  <w:tcW w:w="1033" w:type="dxa"/>
                  <w:shd w:val="clear" w:color="auto" w:fill="auto"/>
                  <w:vAlign w:val="center"/>
                </w:tcPr>
                <w:p w14:paraId="27DCD4D4">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110.25</w:t>
                  </w:r>
                </w:p>
              </w:tc>
              <w:tc>
                <w:tcPr>
                  <w:tcW w:w="1105" w:type="dxa"/>
                  <w:shd w:val="clear" w:color="auto" w:fill="auto"/>
                  <w:vAlign w:val="center"/>
                </w:tcPr>
                <w:p w14:paraId="01D09C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676" w:type="dxa"/>
                  <w:shd w:val="clear" w:color="auto" w:fill="auto"/>
                  <w:vAlign w:val="center"/>
                </w:tcPr>
                <w:p w14:paraId="3FECC8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78" w:type="dxa"/>
                  <w:shd w:val="clear" w:color="auto" w:fill="auto"/>
                  <w:vAlign w:val="center"/>
                </w:tcPr>
                <w:p w14:paraId="773053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220.5</w:t>
                  </w:r>
                </w:p>
              </w:tc>
              <w:tc>
                <w:tcPr>
                  <w:tcW w:w="985" w:type="dxa"/>
                  <w:shd w:val="clear" w:color="auto" w:fill="auto"/>
                  <w:vAlign w:val="center"/>
                </w:tcPr>
                <w:p w14:paraId="3D0746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16" w:type="dxa"/>
                  <w:shd w:val="clear" w:color="auto" w:fill="auto"/>
                  <w:vAlign w:val="center"/>
                </w:tcPr>
                <w:p w14:paraId="329C94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661.5</w:t>
                  </w:r>
                </w:p>
              </w:tc>
            </w:tr>
            <w:tr w14:paraId="488D7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 w:hRule="atLeast"/>
              </w:trPr>
              <w:tc>
                <w:tcPr>
                  <w:tcW w:w="725" w:type="dxa"/>
                  <w:vMerge w:val="continue"/>
                  <w:shd w:val="clear" w:color="auto" w:fill="auto"/>
                  <w:vAlign w:val="center"/>
                </w:tcPr>
                <w:p w14:paraId="4CCC69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739" w:type="dxa"/>
                  <w:shd w:val="clear" w:color="auto" w:fill="auto"/>
                  <w:vAlign w:val="center"/>
                </w:tcPr>
                <w:p w14:paraId="1FAC20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539" w:type="dxa"/>
                  <w:shd w:val="clear" w:color="auto" w:fill="auto"/>
                  <w:vAlign w:val="center"/>
                </w:tcPr>
                <w:p w14:paraId="517D4B2C">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污泥消化池</w:t>
                  </w:r>
                </w:p>
              </w:tc>
              <w:tc>
                <w:tcPr>
                  <w:tcW w:w="1033" w:type="dxa"/>
                  <w:shd w:val="clear" w:color="auto" w:fill="auto"/>
                  <w:vAlign w:val="center"/>
                </w:tcPr>
                <w:p w14:paraId="7E0AFDDD">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56.25</w:t>
                  </w:r>
                </w:p>
              </w:tc>
              <w:tc>
                <w:tcPr>
                  <w:tcW w:w="1105" w:type="dxa"/>
                  <w:shd w:val="clear" w:color="auto" w:fill="auto"/>
                  <w:vAlign w:val="center"/>
                </w:tcPr>
                <w:p w14:paraId="3B7872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676" w:type="dxa"/>
                  <w:shd w:val="clear" w:color="auto" w:fill="auto"/>
                  <w:vAlign w:val="center"/>
                </w:tcPr>
                <w:p w14:paraId="308204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78" w:type="dxa"/>
                  <w:shd w:val="clear" w:color="auto" w:fill="auto"/>
                  <w:vAlign w:val="center"/>
                </w:tcPr>
                <w:p w14:paraId="64F785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112.5</w:t>
                  </w:r>
                </w:p>
              </w:tc>
              <w:tc>
                <w:tcPr>
                  <w:tcW w:w="985" w:type="dxa"/>
                  <w:shd w:val="clear" w:color="auto" w:fill="auto"/>
                  <w:vAlign w:val="center"/>
                </w:tcPr>
                <w:p w14:paraId="344B0E5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16" w:type="dxa"/>
                  <w:shd w:val="clear" w:color="auto" w:fill="auto"/>
                  <w:vAlign w:val="center"/>
                </w:tcPr>
                <w:p w14:paraId="06B132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337.5</w:t>
                  </w:r>
                </w:p>
              </w:tc>
            </w:tr>
            <w:tr w14:paraId="37E47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 w:hRule="atLeast"/>
              </w:trPr>
              <w:tc>
                <w:tcPr>
                  <w:tcW w:w="725" w:type="dxa"/>
                  <w:vMerge w:val="continue"/>
                  <w:shd w:val="clear" w:color="auto" w:fill="auto"/>
                  <w:vAlign w:val="center"/>
                </w:tcPr>
                <w:p w14:paraId="2F3B720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739" w:type="dxa"/>
                  <w:shd w:val="clear" w:color="auto" w:fill="auto"/>
                  <w:vAlign w:val="center"/>
                </w:tcPr>
                <w:p w14:paraId="64017E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539" w:type="dxa"/>
                  <w:shd w:val="clear" w:color="auto" w:fill="auto"/>
                  <w:vAlign w:val="center"/>
                </w:tcPr>
                <w:p w14:paraId="2D762B73">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污泥浓缩池</w:t>
                  </w:r>
                </w:p>
              </w:tc>
              <w:tc>
                <w:tcPr>
                  <w:tcW w:w="1033" w:type="dxa"/>
                  <w:shd w:val="clear" w:color="auto" w:fill="auto"/>
                  <w:vAlign w:val="center"/>
                </w:tcPr>
                <w:p w14:paraId="5D97B7E4">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113.04</w:t>
                  </w:r>
                </w:p>
              </w:tc>
              <w:tc>
                <w:tcPr>
                  <w:tcW w:w="1105" w:type="dxa"/>
                  <w:shd w:val="clear" w:color="auto" w:fill="auto"/>
                  <w:vAlign w:val="center"/>
                </w:tcPr>
                <w:p w14:paraId="532686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676" w:type="dxa"/>
                  <w:shd w:val="clear" w:color="auto" w:fill="auto"/>
                  <w:vAlign w:val="center"/>
                </w:tcPr>
                <w:p w14:paraId="378FE1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78" w:type="dxa"/>
                  <w:shd w:val="clear" w:color="auto" w:fill="auto"/>
                  <w:vAlign w:val="center"/>
                </w:tcPr>
                <w:p w14:paraId="15B546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226.08</w:t>
                  </w:r>
                </w:p>
              </w:tc>
              <w:tc>
                <w:tcPr>
                  <w:tcW w:w="985" w:type="dxa"/>
                  <w:shd w:val="clear" w:color="auto" w:fill="auto"/>
                  <w:vAlign w:val="center"/>
                </w:tcPr>
                <w:p w14:paraId="475623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16" w:type="dxa"/>
                  <w:shd w:val="clear" w:color="auto" w:fill="auto"/>
                  <w:vAlign w:val="center"/>
                </w:tcPr>
                <w:p w14:paraId="53C25D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678.24</w:t>
                  </w:r>
                </w:p>
              </w:tc>
            </w:tr>
            <w:tr w14:paraId="67598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 w:hRule="atLeast"/>
              </w:trPr>
              <w:tc>
                <w:tcPr>
                  <w:tcW w:w="725" w:type="dxa"/>
                  <w:vMerge w:val="continue"/>
                  <w:shd w:val="clear" w:color="auto" w:fill="auto"/>
                  <w:vAlign w:val="center"/>
                </w:tcPr>
                <w:p w14:paraId="6C306CD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739" w:type="dxa"/>
                  <w:shd w:val="clear" w:color="auto" w:fill="auto"/>
                  <w:vAlign w:val="center"/>
                </w:tcPr>
                <w:p w14:paraId="52C38B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539" w:type="dxa"/>
                  <w:shd w:val="clear" w:color="auto" w:fill="auto"/>
                  <w:vAlign w:val="center"/>
                </w:tcPr>
                <w:p w14:paraId="7FE6F23A">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污泥脱水机房</w:t>
                  </w:r>
                </w:p>
              </w:tc>
              <w:tc>
                <w:tcPr>
                  <w:tcW w:w="1033" w:type="dxa"/>
                  <w:shd w:val="clear" w:color="auto" w:fill="auto"/>
                  <w:vAlign w:val="center"/>
                </w:tcPr>
                <w:p w14:paraId="688220FC">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144</w:t>
                  </w:r>
                </w:p>
              </w:tc>
              <w:tc>
                <w:tcPr>
                  <w:tcW w:w="1105" w:type="dxa"/>
                  <w:shd w:val="clear" w:color="auto" w:fill="auto"/>
                  <w:vAlign w:val="center"/>
                </w:tcPr>
                <w:p w14:paraId="061284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676" w:type="dxa"/>
                  <w:shd w:val="clear" w:color="auto" w:fill="auto"/>
                  <w:vAlign w:val="center"/>
                </w:tcPr>
                <w:p w14:paraId="116AF6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78" w:type="dxa"/>
                  <w:shd w:val="clear" w:color="auto" w:fill="auto"/>
                  <w:vAlign w:val="center"/>
                </w:tcPr>
                <w:p w14:paraId="4CB456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288</w:t>
                  </w:r>
                </w:p>
              </w:tc>
              <w:tc>
                <w:tcPr>
                  <w:tcW w:w="985" w:type="dxa"/>
                  <w:shd w:val="clear" w:color="auto" w:fill="auto"/>
                  <w:vAlign w:val="center"/>
                </w:tcPr>
                <w:p w14:paraId="27D0D5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16" w:type="dxa"/>
                  <w:shd w:val="clear" w:color="auto" w:fill="auto"/>
                  <w:vAlign w:val="center"/>
                </w:tcPr>
                <w:p w14:paraId="6D8CF2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864</w:t>
                  </w:r>
                </w:p>
              </w:tc>
            </w:tr>
            <w:tr w14:paraId="2C81E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 w:hRule="atLeast"/>
              </w:trPr>
              <w:tc>
                <w:tcPr>
                  <w:tcW w:w="725" w:type="dxa"/>
                  <w:vMerge w:val="continue"/>
                  <w:shd w:val="clear" w:color="auto" w:fill="auto"/>
                  <w:vAlign w:val="center"/>
                </w:tcPr>
                <w:p w14:paraId="702C7F3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6955" w:type="dxa"/>
                  <w:gridSpan w:val="7"/>
                  <w:shd w:val="clear" w:color="auto" w:fill="auto"/>
                  <w:vAlign w:val="center"/>
                </w:tcPr>
                <w:p w14:paraId="2A0D01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合计</w:t>
                  </w:r>
                </w:p>
              </w:tc>
              <w:tc>
                <w:tcPr>
                  <w:tcW w:w="1316" w:type="dxa"/>
                  <w:shd w:val="clear" w:color="auto" w:fill="auto"/>
                  <w:vAlign w:val="center"/>
                </w:tcPr>
                <w:p w14:paraId="5BEEA1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kern w:val="0"/>
                      <w:sz w:val="21"/>
                      <w:szCs w:val="21"/>
                      <w:u w:val="none"/>
                      <w:lang w:val="en-US" w:eastAsia="zh-CN" w:bidi="ar"/>
                    </w:rPr>
                    <w:t>5517.24</w:t>
                  </w:r>
                </w:p>
              </w:tc>
            </w:tr>
            <w:tr w14:paraId="68854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3" w:hRule="atLeast"/>
              </w:trPr>
              <w:tc>
                <w:tcPr>
                  <w:tcW w:w="725" w:type="dxa"/>
                  <w:vMerge w:val="continue"/>
                  <w:shd w:val="clear" w:color="auto" w:fill="auto"/>
                  <w:vAlign w:val="center"/>
                </w:tcPr>
                <w:p w14:paraId="5CF9AA3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6955" w:type="dxa"/>
                  <w:gridSpan w:val="7"/>
                  <w:shd w:val="clear" w:color="auto" w:fill="auto"/>
                  <w:vAlign w:val="center"/>
                </w:tcPr>
                <w:p w14:paraId="45CF13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预留气量合计</w:t>
                  </w:r>
                </w:p>
              </w:tc>
              <w:tc>
                <w:tcPr>
                  <w:tcW w:w="1316" w:type="dxa"/>
                  <w:shd w:val="clear" w:color="auto" w:fill="auto"/>
                  <w:vAlign w:val="center"/>
                </w:tcPr>
                <w:p w14:paraId="112041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kern w:val="0"/>
                      <w:sz w:val="21"/>
                      <w:szCs w:val="21"/>
                      <w:u w:val="none"/>
                      <w:lang w:val="en-US" w:eastAsia="zh-CN" w:bidi="ar"/>
                    </w:rPr>
                    <w:t>10000</w:t>
                  </w:r>
                </w:p>
              </w:tc>
            </w:tr>
          </w:tbl>
          <w:p w14:paraId="103A1A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rPr>
            </w:pPr>
            <w:r>
              <w:rPr>
                <w:rFonts w:hint="default" w:ascii="Times New Roman" w:hAnsi="Times New Roman" w:eastAsia="宋体" w:cs="Times New Roman"/>
                <w:color w:val="auto"/>
                <w:spacing w:val="0"/>
                <w:w w:val="100"/>
                <w:sz w:val="24"/>
                <w:szCs w:val="24"/>
                <w:lang w:val="en-US" w:eastAsia="zh-CN"/>
              </w:rPr>
              <w:t>采用上述措施后，拟建项目恶臭污染</w:t>
            </w:r>
            <w:r>
              <w:rPr>
                <w:rFonts w:hint="default" w:ascii="Times New Roman" w:hAnsi="Times New Roman" w:eastAsia="宋体" w:cs="Times New Roman"/>
                <w:color w:val="auto"/>
                <w:spacing w:val="0"/>
                <w:w w:val="100"/>
                <w:kern w:val="0"/>
                <w:sz w:val="24"/>
                <w:szCs w:val="24"/>
                <w:lang w:val="en-US" w:eastAsia="zh-CN" w:bidi="ar"/>
              </w:rPr>
              <w:t>物排放量见表</w:t>
            </w:r>
            <w:r>
              <w:rPr>
                <w:rFonts w:hint="eastAsia" w:ascii="Times New Roman" w:hAnsi="Times New Roman" w:eastAsia="宋体" w:cs="Times New Roman"/>
                <w:color w:val="auto"/>
                <w:spacing w:val="0"/>
                <w:w w:val="100"/>
                <w:kern w:val="0"/>
                <w:sz w:val="24"/>
                <w:szCs w:val="24"/>
                <w:lang w:val="en-US" w:eastAsia="zh-CN" w:bidi="ar"/>
              </w:rPr>
              <w:t>4-7</w:t>
            </w:r>
            <w:r>
              <w:rPr>
                <w:rFonts w:hint="default" w:ascii="Times New Roman" w:hAnsi="Times New Roman" w:eastAsia="宋体" w:cs="Times New Roman"/>
                <w:color w:val="auto"/>
                <w:spacing w:val="0"/>
                <w:w w:val="100"/>
                <w:kern w:val="0"/>
                <w:sz w:val="24"/>
                <w:szCs w:val="24"/>
                <w:lang w:val="en-US" w:eastAsia="zh-CN" w:bidi="ar"/>
              </w:rPr>
              <w:t>。</w:t>
            </w:r>
          </w:p>
          <w:p w14:paraId="17E72CA8">
            <w:pPr>
              <w:keepNext w:val="0"/>
              <w:keepLines w:val="0"/>
              <w:suppressLineNumbers w:val="0"/>
              <w:spacing w:before="0" w:beforeAutospacing="0" w:after="0" w:afterAutospacing="0"/>
              <w:ind w:left="0" w:right="0" w:firstLine="420" w:firstLineChars="200"/>
              <w:jc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表</w:t>
            </w:r>
            <w:r>
              <w:rPr>
                <w:rFonts w:hint="eastAsia" w:ascii="Times New Roman" w:hAnsi="Times New Roman" w:eastAsia="宋体" w:cs="Times New Roman"/>
                <w:b w:val="0"/>
                <w:bCs w:val="0"/>
                <w:color w:val="auto"/>
                <w:spacing w:val="0"/>
                <w:w w:val="100"/>
                <w:sz w:val="21"/>
                <w:szCs w:val="21"/>
                <w:lang w:val="en-US" w:eastAsia="zh-CN"/>
              </w:rPr>
              <w:t>4-7</w:t>
            </w:r>
            <w:r>
              <w:rPr>
                <w:rFonts w:hint="default" w:ascii="Times New Roman" w:hAnsi="Times New Roman" w:eastAsia="宋体" w:cs="Times New Roman"/>
                <w:b w:val="0"/>
                <w:bCs w:val="0"/>
                <w:color w:val="auto"/>
                <w:spacing w:val="0"/>
                <w:w w:val="100"/>
                <w:sz w:val="21"/>
                <w:szCs w:val="21"/>
                <w:lang w:val="en-US" w:eastAsia="zh-CN"/>
              </w:rPr>
              <w:t xml:space="preserve"> </w:t>
            </w:r>
            <w:r>
              <w:rPr>
                <w:rFonts w:hint="default" w:ascii="Times New Roman" w:hAnsi="Times New Roman" w:eastAsia="宋体" w:cs="Times New Roman"/>
                <w:b w:val="0"/>
                <w:bCs w:val="0"/>
                <w:color w:val="auto"/>
                <w:spacing w:val="0"/>
                <w:w w:val="100"/>
                <w:sz w:val="21"/>
                <w:szCs w:val="21"/>
              </w:rPr>
              <w:t xml:space="preserve">  恶臭产</w:t>
            </w:r>
            <w:r>
              <w:rPr>
                <w:rFonts w:hint="default" w:ascii="Times New Roman" w:hAnsi="Times New Roman" w:eastAsia="宋体" w:cs="Times New Roman"/>
                <w:b w:val="0"/>
                <w:bCs w:val="0"/>
                <w:color w:val="auto"/>
                <w:spacing w:val="0"/>
                <w:w w:val="100"/>
                <w:sz w:val="21"/>
                <w:szCs w:val="21"/>
                <w:lang w:eastAsia="zh-CN"/>
              </w:rPr>
              <w:t>排情况</w:t>
            </w:r>
            <w:r>
              <w:rPr>
                <w:rFonts w:hint="default" w:ascii="Times New Roman" w:hAnsi="Times New Roman" w:eastAsia="宋体" w:cs="Times New Roman"/>
                <w:b w:val="0"/>
                <w:bCs w:val="0"/>
                <w:color w:val="auto"/>
                <w:spacing w:val="0"/>
                <w:w w:val="100"/>
                <w:sz w:val="21"/>
                <w:szCs w:val="21"/>
              </w:rPr>
              <w:t>统计</w:t>
            </w:r>
          </w:p>
          <w:tbl>
            <w:tblPr>
              <w:tblStyle w:val="21"/>
              <w:tblW w:w="4999"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86"/>
              <w:gridCol w:w="1442"/>
              <w:gridCol w:w="1418"/>
              <w:gridCol w:w="1342"/>
              <w:gridCol w:w="1514"/>
              <w:gridCol w:w="1336"/>
            </w:tblGrid>
            <w:tr w14:paraId="0F3D4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9" w:hRule="atLeast"/>
              </w:trPr>
              <w:tc>
                <w:tcPr>
                  <w:tcW w:w="1055" w:type="pct"/>
                  <w:vMerge w:val="restart"/>
                  <w:shd w:val="clear" w:color="auto" w:fill="auto"/>
                  <w:vAlign w:val="center"/>
                </w:tcPr>
                <w:p w14:paraId="433C81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806" w:type="pct"/>
                  <w:vMerge w:val="restart"/>
                  <w:shd w:val="clear" w:color="auto" w:fill="auto"/>
                  <w:vAlign w:val="center"/>
                </w:tcPr>
                <w:p w14:paraId="4B2F60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cs="Times New Roman"/>
                      <w:color w:val="auto"/>
                      <w:spacing w:val="0"/>
                      <w:w w:val="100"/>
                      <w:sz w:val="21"/>
                      <w:szCs w:val="21"/>
                      <w:lang w:eastAsia="zh-CN"/>
                    </w:rPr>
                    <w:t>风量（</w:t>
                  </w:r>
                  <w:r>
                    <w:rPr>
                      <w:rFonts w:hint="default" w:ascii="Times New Roman" w:hAnsi="Times New Roman" w:cs="Times New Roman"/>
                      <w:color w:val="auto"/>
                      <w:spacing w:val="0"/>
                      <w:w w:val="100"/>
                      <w:sz w:val="21"/>
                      <w:szCs w:val="21"/>
                      <w:lang w:val="en-US" w:eastAsia="zh-CN"/>
                    </w:rPr>
                    <w:t>m</w:t>
                  </w:r>
                  <w:r>
                    <w:rPr>
                      <w:rFonts w:hint="default" w:ascii="Times New Roman" w:hAnsi="Times New Roman" w:cs="Times New Roman"/>
                      <w:color w:val="auto"/>
                      <w:spacing w:val="0"/>
                      <w:w w:val="100"/>
                      <w:sz w:val="21"/>
                      <w:szCs w:val="21"/>
                      <w:vertAlign w:val="superscript"/>
                      <w:lang w:val="en-US" w:eastAsia="zh-CN"/>
                    </w:rPr>
                    <w:t>3</w:t>
                  </w:r>
                  <w:r>
                    <w:rPr>
                      <w:rFonts w:hint="default" w:ascii="Times New Roman" w:hAnsi="Times New Roman" w:cs="Times New Roman"/>
                      <w:color w:val="auto"/>
                      <w:spacing w:val="0"/>
                      <w:w w:val="100"/>
                      <w:sz w:val="21"/>
                      <w:szCs w:val="21"/>
                      <w:lang w:val="en-US" w:eastAsia="zh-CN"/>
                    </w:rPr>
                    <w:t>/h</w:t>
                  </w:r>
                  <w:r>
                    <w:rPr>
                      <w:rFonts w:hint="default" w:ascii="Times New Roman" w:hAnsi="Times New Roman" w:cs="Times New Roman"/>
                      <w:color w:val="auto"/>
                      <w:spacing w:val="0"/>
                      <w:w w:val="100"/>
                      <w:sz w:val="21"/>
                      <w:szCs w:val="21"/>
                      <w:lang w:eastAsia="zh-CN"/>
                    </w:rPr>
                    <w:t>）</w:t>
                  </w:r>
                </w:p>
              </w:tc>
              <w:tc>
                <w:tcPr>
                  <w:tcW w:w="793" w:type="pct"/>
                  <w:vMerge w:val="restart"/>
                  <w:shd w:val="clear" w:color="auto" w:fill="auto"/>
                  <w:vAlign w:val="center"/>
                </w:tcPr>
                <w:p w14:paraId="6702D97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污染物</w:t>
                  </w:r>
                </w:p>
              </w:tc>
              <w:tc>
                <w:tcPr>
                  <w:tcW w:w="2345" w:type="pct"/>
                  <w:gridSpan w:val="3"/>
                  <w:shd w:val="clear" w:color="auto" w:fill="auto"/>
                  <w:vAlign w:val="center"/>
                </w:tcPr>
                <w:p w14:paraId="2F9411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产生情况</w:t>
                  </w:r>
                </w:p>
              </w:tc>
            </w:tr>
            <w:tr w14:paraId="50999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4" w:hRule="atLeast"/>
              </w:trPr>
              <w:tc>
                <w:tcPr>
                  <w:tcW w:w="1055" w:type="pct"/>
                  <w:vMerge w:val="continue"/>
                  <w:shd w:val="clear" w:color="auto" w:fill="auto"/>
                  <w:vAlign w:val="center"/>
                </w:tcPr>
                <w:p w14:paraId="3D8DA4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806" w:type="pct"/>
                  <w:vMerge w:val="continue"/>
                  <w:shd w:val="clear" w:color="auto" w:fill="auto"/>
                  <w:vAlign w:val="center"/>
                </w:tcPr>
                <w:p w14:paraId="73056F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793" w:type="pct"/>
                  <w:vMerge w:val="continue"/>
                  <w:shd w:val="clear" w:color="auto" w:fill="auto"/>
                  <w:vAlign w:val="center"/>
                </w:tcPr>
                <w:p w14:paraId="1DBF95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750" w:type="pct"/>
                  <w:shd w:val="clear" w:color="auto" w:fill="auto"/>
                  <w:vAlign w:val="center"/>
                </w:tcPr>
                <w:p w14:paraId="4B996C5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产生浓度</w:t>
                  </w:r>
                  <w:r>
                    <w:rPr>
                      <w:rFonts w:hint="default" w:ascii="Times New Roman" w:hAnsi="Times New Roman"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mg/m</w:t>
                  </w:r>
                  <w:r>
                    <w:rPr>
                      <w:rFonts w:hint="default" w:ascii="Times New Roman" w:hAnsi="Times New Roman" w:cs="Times New Roman"/>
                      <w:color w:val="auto"/>
                      <w:spacing w:val="0"/>
                      <w:w w:val="100"/>
                      <w:sz w:val="21"/>
                      <w:szCs w:val="21"/>
                      <w:vertAlign w:val="superscript"/>
                    </w:rPr>
                    <w:t>3</w:t>
                  </w:r>
                  <w:r>
                    <w:rPr>
                      <w:rFonts w:hint="default" w:ascii="Times New Roman" w:hAnsi="Times New Roman" w:cs="Times New Roman"/>
                      <w:color w:val="auto"/>
                      <w:spacing w:val="0"/>
                      <w:w w:val="100"/>
                      <w:sz w:val="21"/>
                      <w:szCs w:val="21"/>
                      <w:lang w:eastAsia="zh-CN"/>
                    </w:rPr>
                    <w:t>）</w:t>
                  </w:r>
                </w:p>
              </w:tc>
              <w:tc>
                <w:tcPr>
                  <w:tcW w:w="846" w:type="pct"/>
                  <w:shd w:val="clear" w:color="auto" w:fill="auto"/>
                  <w:vAlign w:val="center"/>
                </w:tcPr>
                <w:p w14:paraId="2BBFA5D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lang w:val="en-US" w:eastAsia="zh-CN"/>
                    </w:rPr>
                    <w:t>产生速率kg/h</w:t>
                  </w:r>
                </w:p>
              </w:tc>
              <w:tc>
                <w:tcPr>
                  <w:tcW w:w="747" w:type="pct"/>
                  <w:shd w:val="clear" w:color="auto" w:fill="auto"/>
                  <w:vAlign w:val="center"/>
                </w:tcPr>
                <w:p w14:paraId="7D414D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产生量</w:t>
                  </w:r>
                  <w:r>
                    <w:rPr>
                      <w:rFonts w:hint="default" w:ascii="Times New Roman" w:hAnsi="Times New Roman" w:cs="Times New Roman"/>
                      <w:color w:val="auto"/>
                      <w:spacing w:val="0"/>
                      <w:w w:val="100"/>
                      <w:sz w:val="21"/>
                      <w:szCs w:val="21"/>
                      <w:lang w:eastAsia="zh-CN"/>
                    </w:rPr>
                    <w:t>（</w:t>
                  </w:r>
                  <w:r>
                    <w:rPr>
                      <w:rFonts w:hint="default" w:ascii="Times New Roman" w:hAnsi="Times New Roman" w:cs="Times New Roman"/>
                      <w:color w:val="auto"/>
                      <w:spacing w:val="0"/>
                      <w:w w:val="100"/>
                      <w:sz w:val="21"/>
                      <w:szCs w:val="21"/>
                      <w:lang w:val="en-US" w:eastAsia="zh-CN"/>
                    </w:rPr>
                    <w:t>t/a</w:t>
                  </w:r>
                  <w:r>
                    <w:rPr>
                      <w:rFonts w:hint="default" w:ascii="Times New Roman" w:hAnsi="Times New Roman" w:cs="Times New Roman"/>
                      <w:color w:val="auto"/>
                      <w:spacing w:val="0"/>
                      <w:w w:val="100"/>
                      <w:sz w:val="21"/>
                      <w:szCs w:val="21"/>
                      <w:lang w:eastAsia="zh-CN"/>
                    </w:rPr>
                    <w:t>）</w:t>
                  </w:r>
                </w:p>
              </w:tc>
            </w:tr>
            <w:tr w14:paraId="1DFC5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0" w:hRule="atLeast"/>
              </w:trPr>
              <w:tc>
                <w:tcPr>
                  <w:tcW w:w="1055" w:type="pct"/>
                  <w:vMerge w:val="restart"/>
                  <w:shd w:val="clear" w:color="auto" w:fill="auto"/>
                  <w:vAlign w:val="center"/>
                </w:tcPr>
                <w:p w14:paraId="47D11E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沉砂池</w:t>
                  </w:r>
                </w:p>
              </w:tc>
              <w:tc>
                <w:tcPr>
                  <w:tcW w:w="806" w:type="pct"/>
                  <w:vMerge w:val="restart"/>
                  <w:shd w:val="clear" w:color="auto" w:fill="auto"/>
                  <w:vAlign w:val="center"/>
                </w:tcPr>
                <w:p w14:paraId="0F65A4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67.5</w:t>
                  </w:r>
                </w:p>
              </w:tc>
              <w:tc>
                <w:tcPr>
                  <w:tcW w:w="793" w:type="pct"/>
                  <w:shd w:val="clear" w:color="auto" w:fill="auto"/>
                  <w:vAlign w:val="center"/>
                </w:tcPr>
                <w:p w14:paraId="036F2A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50" w:type="pct"/>
                  <w:shd w:val="clear" w:color="auto" w:fill="auto"/>
                  <w:vAlign w:val="center"/>
                </w:tcPr>
                <w:p w14:paraId="197AAF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lang w:val="en-US" w:eastAsia="zh-CN"/>
                    </w:rPr>
                    <w:t>10</w:t>
                  </w:r>
                </w:p>
              </w:tc>
              <w:tc>
                <w:tcPr>
                  <w:tcW w:w="846" w:type="pct"/>
                  <w:shd w:val="clear" w:color="auto" w:fill="auto"/>
                  <w:vAlign w:val="center"/>
                </w:tcPr>
                <w:p w14:paraId="2A9B98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0.0007</w:t>
                  </w:r>
                </w:p>
              </w:tc>
              <w:tc>
                <w:tcPr>
                  <w:tcW w:w="747" w:type="pct"/>
                  <w:shd w:val="clear" w:color="auto" w:fill="auto"/>
                  <w:vAlign w:val="center"/>
                </w:tcPr>
                <w:p w14:paraId="4F7356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0.059</w:t>
                  </w:r>
                </w:p>
              </w:tc>
            </w:tr>
            <w:tr w14:paraId="0C8F6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continue"/>
                  <w:shd w:val="clear" w:color="auto" w:fill="auto"/>
                  <w:vAlign w:val="center"/>
                </w:tcPr>
                <w:p w14:paraId="576909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806" w:type="pct"/>
                  <w:vMerge w:val="continue"/>
                  <w:shd w:val="clear" w:color="auto" w:fill="auto"/>
                  <w:vAlign w:val="center"/>
                </w:tcPr>
                <w:p w14:paraId="418828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793" w:type="pct"/>
                  <w:shd w:val="clear" w:color="auto" w:fill="auto"/>
                  <w:vAlign w:val="center"/>
                </w:tcPr>
                <w:p w14:paraId="34807E9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50" w:type="pct"/>
                  <w:shd w:val="clear" w:color="auto" w:fill="auto"/>
                  <w:vAlign w:val="center"/>
                </w:tcPr>
                <w:p w14:paraId="0F92EB7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pacing w:val="0"/>
                      <w:w w:val="100"/>
                      <w:kern w:val="2"/>
                      <w:sz w:val="21"/>
                      <w:szCs w:val="21"/>
                      <w:lang w:val="en-US" w:eastAsia="zh-CN" w:bidi="ar-SA"/>
                    </w:rPr>
                  </w:pPr>
                  <w:r>
                    <w:rPr>
                      <w:rFonts w:hint="default" w:ascii="Times New Roman" w:hAnsi="Times New Roman" w:cs="Times New Roman"/>
                      <w:color w:val="auto"/>
                      <w:spacing w:val="0"/>
                      <w:w w:val="100"/>
                      <w:sz w:val="21"/>
                      <w:szCs w:val="21"/>
                      <w:lang w:val="en-US" w:eastAsia="zh-CN"/>
                    </w:rPr>
                    <w:t>5</w:t>
                  </w:r>
                </w:p>
              </w:tc>
              <w:tc>
                <w:tcPr>
                  <w:tcW w:w="846" w:type="pct"/>
                  <w:shd w:val="clear" w:color="auto" w:fill="auto"/>
                  <w:vAlign w:val="center"/>
                </w:tcPr>
                <w:p w14:paraId="741A54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0.0003</w:t>
                  </w:r>
                </w:p>
              </w:tc>
              <w:tc>
                <w:tcPr>
                  <w:tcW w:w="747" w:type="pct"/>
                  <w:shd w:val="clear" w:color="auto" w:fill="auto"/>
                  <w:vAlign w:val="center"/>
                </w:tcPr>
                <w:p w14:paraId="665C21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0.030</w:t>
                  </w:r>
                </w:p>
              </w:tc>
            </w:tr>
            <w:tr w14:paraId="253AD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restart"/>
                  <w:shd w:val="clear" w:color="auto" w:fill="auto"/>
                  <w:vAlign w:val="center"/>
                </w:tcPr>
                <w:p w14:paraId="318C12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调节池</w:t>
                  </w:r>
                </w:p>
              </w:tc>
              <w:tc>
                <w:tcPr>
                  <w:tcW w:w="806" w:type="pct"/>
                  <w:vMerge w:val="restart"/>
                  <w:shd w:val="clear" w:color="auto" w:fill="auto"/>
                  <w:vAlign w:val="center"/>
                </w:tcPr>
                <w:p w14:paraId="164BFA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w:t>
                  </w:r>
                </w:p>
              </w:tc>
              <w:tc>
                <w:tcPr>
                  <w:tcW w:w="793" w:type="pct"/>
                  <w:shd w:val="clear" w:color="auto" w:fill="auto"/>
                  <w:vAlign w:val="center"/>
                </w:tcPr>
                <w:p w14:paraId="50830C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50" w:type="pct"/>
                  <w:shd w:val="clear" w:color="auto" w:fill="auto"/>
                  <w:vAlign w:val="center"/>
                </w:tcPr>
                <w:p w14:paraId="53F7BA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10</w:t>
                  </w:r>
                </w:p>
              </w:tc>
              <w:tc>
                <w:tcPr>
                  <w:tcW w:w="846" w:type="pct"/>
                  <w:shd w:val="clear" w:color="auto" w:fill="auto"/>
                  <w:vAlign w:val="center"/>
                </w:tcPr>
                <w:p w14:paraId="43E143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0.0090</w:t>
                  </w:r>
                </w:p>
              </w:tc>
              <w:tc>
                <w:tcPr>
                  <w:tcW w:w="747" w:type="pct"/>
                  <w:shd w:val="clear" w:color="auto" w:fill="auto"/>
                  <w:vAlign w:val="center"/>
                </w:tcPr>
                <w:p w14:paraId="3D6F80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0.788</w:t>
                  </w:r>
                </w:p>
              </w:tc>
            </w:tr>
            <w:tr w14:paraId="15041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continue"/>
                  <w:shd w:val="clear" w:color="auto" w:fill="auto"/>
                  <w:vAlign w:val="center"/>
                </w:tcPr>
                <w:p w14:paraId="1B6B6D7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806" w:type="pct"/>
                  <w:vMerge w:val="continue"/>
                  <w:shd w:val="clear" w:color="auto" w:fill="auto"/>
                  <w:vAlign w:val="center"/>
                </w:tcPr>
                <w:p w14:paraId="1881CF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793" w:type="pct"/>
                  <w:shd w:val="clear" w:color="auto" w:fill="auto"/>
                  <w:vAlign w:val="center"/>
                </w:tcPr>
                <w:p w14:paraId="74ADBA8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50" w:type="pct"/>
                  <w:shd w:val="clear" w:color="auto" w:fill="auto"/>
                  <w:vAlign w:val="center"/>
                </w:tcPr>
                <w:p w14:paraId="61689C9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5</w:t>
                  </w:r>
                </w:p>
              </w:tc>
              <w:tc>
                <w:tcPr>
                  <w:tcW w:w="846" w:type="pct"/>
                  <w:shd w:val="clear" w:color="auto" w:fill="auto"/>
                  <w:vAlign w:val="center"/>
                </w:tcPr>
                <w:p w14:paraId="721B98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0.0045</w:t>
                  </w:r>
                </w:p>
              </w:tc>
              <w:tc>
                <w:tcPr>
                  <w:tcW w:w="747" w:type="pct"/>
                  <w:shd w:val="clear" w:color="auto" w:fill="auto"/>
                  <w:vAlign w:val="center"/>
                </w:tcPr>
                <w:p w14:paraId="198370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0.394</w:t>
                  </w:r>
                </w:p>
              </w:tc>
            </w:tr>
            <w:tr w14:paraId="0882D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restart"/>
                  <w:shd w:val="clear" w:color="auto" w:fill="auto"/>
                  <w:vAlign w:val="center"/>
                </w:tcPr>
                <w:p w14:paraId="3A2A83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厌氧反应池</w:t>
                  </w:r>
                </w:p>
              </w:tc>
              <w:tc>
                <w:tcPr>
                  <w:tcW w:w="806" w:type="pct"/>
                  <w:vMerge w:val="restart"/>
                  <w:shd w:val="clear" w:color="auto" w:fill="auto"/>
                  <w:vAlign w:val="center"/>
                </w:tcPr>
                <w:p w14:paraId="520E00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234</w:t>
                  </w:r>
                </w:p>
              </w:tc>
              <w:tc>
                <w:tcPr>
                  <w:tcW w:w="793" w:type="pct"/>
                  <w:shd w:val="clear" w:color="auto" w:fill="auto"/>
                  <w:vAlign w:val="center"/>
                </w:tcPr>
                <w:p w14:paraId="7EECF8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50" w:type="pct"/>
                  <w:shd w:val="clear" w:color="auto" w:fill="auto"/>
                  <w:vAlign w:val="center"/>
                </w:tcPr>
                <w:p w14:paraId="437A02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10</w:t>
                  </w:r>
                </w:p>
              </w:tc>
              <w:tc>
                <w:tcPr>
                  <w:tcW w:w="846" w:type="pct"/>
                  <w:shd w:val="clear" w:color="auto" w:fill="auto"/>
                  <w:vAlign w:val="center"/>
                </w:tcPr>
                <w:p w14:paraId="7B6C4A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0.0023</w:t>
                  </w:r>
                </w:p>
              </w:tc>
              <w:tc>
                <w:tcPr>
                  <w:tcW w:w="747" w:type="pct"/>
                  <w:shd w:val="clear" w:color="auto" w:fill="auto"/>
                  <w:vAlign w:val="center"/>
                </w:tcPr>
                <w:p w14:paraId="55BD76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0.205</w:t>
                  </w:r>
                </w:p>
              </w:tc>
            </w:tr>
            <w:tr w14:paraId="73F86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0" w:hRule="atLeast"/>
              </w:trPr>
              <w:tc>
                <w:tcPr>
                  <w:tcW w:w="1055" w:type="pct"/>
                  <w:vMerge w:val="continue"/>
                  <w:shd w:val="clear" w:color="auto" w:fill="auto"/>
                  <w:vAlign w:val="center"/>
                </w:tcPr>
                <w:p w14:paraId="2D0FEF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806" w:type="pct"/>
                  <w:vMerge w:val="continue"/>
                  <w:shd w:val="clear" w:color="auto" w:fill="auto"/>
                  <w:vAlign w:val="center"/>
                </w:tcPr>
                <w:p w14:paraId="74878F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793" w:type="pct"/>
                  <w:shd w:val="clear" w:color="auto" w:fill="auto"/>
                  <w:vAlign w:val="center"/>
                </w:tcPr>
                <w:p w14:paraId="10E431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50" w:type="pct"/>
                  <w:shd w:val="clear" w:color="auto" w:fill="auto"/>
                  <w:vAlign w:val="center"/>
                </w:tcPr>
                <w:p w14:paraId="2E4CBD3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5</w:t>
                  </w:r>
                </w:p>
              </w:tc>
              <w:tc>
                <w:tcPr>
                  <w:tcW w:w="846" w:type="pct"/>
                  <w:shd w:val="clear" w:color="auto" w:fill="auto"/>
                  <w:vAlign w:val="center"/>
                </w:tcPr>
                <w:p w14:paraId="239F25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0.0012</w:t>
                  </w:r>
                </w:p>
              </w:tc>
              <w:tc>
                <w:tcPr>
                  <w:tcW w:w="747" w:type="pct"/>
                  <w:shd w:val="clear" w:color="auto" w:fill="auto"/>
                  <w:vAlign w:val="center"/>
                </w:tcPr>
                <w:p w14:paraId="622368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0.102</w:t>
                  </w:r>
                </w:p>
              </w:tc>
            </w:tr>
            <w:tr w14:paraId="61A1A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restart"/>
                  <w:shd w:val="clear" w:color="auto" w:fill="auto"/>
                  <w:vAlign w:val="center"/>
                </w:tcPr>
                <w:p w14:paraId="02456EE5">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缺氧反应池</w:t>
                  </w:r>
                </w:p>
              </w:tc>
              <w:tc>
                <w:tcPr>
                  <w:tcW w:w="806" w:type="pct"/>
                  <w:vMerge w:val="restart"/>
                  <w:shd w:val="clear" w:color="auto" w:fill="auto"/>
                  <w:vAlign w:val="center"/>
                </w:tcPr>
                <w:p w14:paraId="5B24CE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604.5</w:t>
                  </w:r>
                </w:p>
              </w:tc>
              <w:tc>
                <w:tcPr>
                  <w:tcW w:w="793" w:type="pct"/>
                  <w:shd w:val="clear" w:color="auto" w:fill="auto"/>
                  <w:vAlign w:val="center"/>
                </w:tcPr>
                <w:p w14:paraId="503E15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50" w:type="pct"/>
                  <w:shd w:val="clear" w:color="auto" w:fill="auto"/>
                  <w:vAlign w:val="center"/>
                </w:tcPr>
                <w:p w14:paraId="1DC3B47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10</w:t>
                  </w:r>
                </w:p>
              </w:tc>
              <w:tc>
                <w:tcPr>
                  <w:tcW w:w="846" w:type="pct"/>
                  <w:shd w:val="clear" w:color="auto" w:fill="auto"/>
                  <w:vAlign w:val="center"/>
                </w:tcPr>
                <w:p w14:paraId="1F616A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0.0060</w:t>
                  </w:r>
                </w:p>
              </w:tc>
              <w:tc>
                <w:tcPr>
                  <w:tcW w:w="747" w:type="pct"/>
                  <w:shd w:val="clear" w:color="auto" w:fill="auto"/>
                  <w:vAlign w:val="center"/>
                </w:tcPr>
                <w:p w14:paraId="12CEA1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0.530</w:t>
                  </w:r>
                </w:p>
              </w:tc>
            </w:tr>
            <w:tr w14:paraId="7F3E4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continue"/>
                  <w:shd w:val="clear" w:color="auto" w:fill="auto"/>
                  <w:vAlign w:val="center"/>
                </w:tcPr>
                <w:p w14:paraId="29BA1755">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806" w:type="pct"/>
                  <w:vMerge w:val="continue"/>
                  <w:shd w:val="clear" w:color="auto" w:fill="auto"/>
                  <w:vAlign w:val="center"/>
                </w:tcPr>
                <w:p w14:paraId="4EFB30FB">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793" w:type="pct"/>
                  <w:shd w:val="clear" w:color="auto" w:fill="auto"/>
                  <w:vAlign w:val="center"/>
                </w:tcPr>
                <w:p w14:paraId="0DC52A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50" w:type="pct"/>
                  <w:shd w:val="clear" w:color="auto" w:fill="auto"/>
                  <w:vAlign w:val="center"/>
                </w:tcPr>
                <w:p w14:paraId="454C53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5</w:t>
                  </w:r>
                </w:p>
              </w:tc>
              <w:tc>
                <w:tcPr>
                  <w:tcW w:w="846" w:type="pct"/>
                  <w:shd w:val="clear" w:color="auto" w:fill="auto"/>
                  <w:vAlign w:val="center"/>
                </w:tcPr>
                <w:p w14:paraId="7BD01D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0.0030</w:t>
                  </w:r>
                </w:p>
              </w:tc>
              <w:tc>
                <w:tcPr>
                  <w:tcW w:w="747" w:type="pct"/>
                  <w:shd w:val="clear" w:color="auto" w:fill="auto"/>
                  <w:vAlign w:val="center"/>
                </w:tcPr>
                <w:p w14:paraId="4ACF9D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0.265</w:t>
                  </w:r>
                </w:p>
              </w:tc>
            </w:tr>
            <w:tr w14:paraId="63832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restart"/>
                  <w:shd w:val="clear" w:color="auto" w:fill="auto"/>
                  <w:vAlign w:val="center"/>
                </w:tcPr>
                <w:p w14:paraId="4BB5595A">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好氧反应池</w:t>
                  </w:r>
                </w:p>
              </w:tc>
              <w:tc>
                <w:tcPr>
                  <w:tcW w:w="806" w:type="pct"/>
                  <w:vMerge w:val="restart"/>
                  <w:shd w:val="clear" w:color="auto" w:fill="auto"/>
                  <w:vAlign w:val="center"/>
                </w:tcPr>
                <w:p w14:paraId="6FE5BC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1170</w:t>
                  </w:r>
                </w:p>
              </w:tc>
              <w:tc>
                <w:tcPr>
                  <w:tcW w:w="793" w:type="pct"/>
                  <w:shd w:val="clear" w:color="auto" w:fill="auto"/>
                  <w:vAlign w:val="center"/>
                </w:tcPr>
                <w:p w14:paraId="2A9E15D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50" w:type="pct"/>
                  <w:shd w:val="clear" w:color="auto" w:fill="auto"/>
                  <w:vAlign w:val="center"/>
                </w:tcPr>
                <w:p w14:paraId="27E8A4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10</w:t>
                  </w:r>
                </w:p>
              </w:tc>
              <w:tc>
                <w:tcPr>
                  <w:tcW w:w="846" w:type="pct"/>
                  <w:shd w:val="clear" w:color="auto" w:fill="auto"/>
                  <w:vAlign w:val="center"/>
                </w:tcPr>
                <w:p w14:paraId="534F44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0.0117</w:t>
                  </w:r>
                </w:p>
              </w:tc>
              <w:tc>
                <w:tcPr>
                  <w:tcW w:w="747" w:type="pct"/>
                  <w:shd w:val="clear" w:color="auto" w:fill="auto"/>
                  <w:vAlign w:val="center"/>
                </w:tcPr>
                <w:p w14:paraId="435088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1.025</w:t>
                  </w:r>
                </w:p>
              </w:tc>
            </w:tr>
            <w:tr w14:paraId="59945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0" w:hRule="atLeast"/>
              </w:trPr>
              <w:tc>
                <w:tcPr>
                  <w:tcW w:w="1055" w:type="pct"/>
                  <w:vMerge w:val="continue"/>
                  <w:shd w:val="clear" w:color="auto" w:fill="auto"/>
                  <w:vAlign w:val="center"/>
                </w:tcPr>
                <w:p w14:paraId="420D333D">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806" w:type="pct"/>
                  <w:vMerge w:val="continue"/>
                  <w:shd w:val="clear" w:color="auto" w:fill="auto"/>
                  <w:vAlign w:val="center"/>
                </w:tcPr>
                <w:p w14:paraId="63090294">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793" w:type="pct"/>
                  <w:shd w:val="clear" w:color="auto" w:fill="auto"/>
                  <w:vAlign w:val="center"/>
                </w:tcPr>
                <w:p w14:paraId="72DE429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50" w:type="pct"/>
                  <w:shd w:val="clear" w:color="auto" w:fill="auto"/>
                  <w:vAlign w:val="center"/>
                </w:tcPr>
                <w:p w14:paraId="1172218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5</w:t>
                  </w:r>
                </w:p>
              </w:tc>
              <w:tc>
                <w:tcPr>
                  <w:tcW w:w="846" w:type="pct"/>
                  <w:shd w:val="clear" w:color="auto" w:fill="auto"/>
                  <w:vAlign w:val="center"/>
                </w:tcPr>
                <w:p w14:paraId="048285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0.0059</w:t>
                  </w:r>
                </w:p>
              </w:tc>
              <w:tc>
                <w:tcPr>
                  <w:tcW w:w="747" w:type="pct"/>
                  <w:shd w:val="clear" w:color="auto" w:fill="auto"/>
                  <w:vAlign w:val="center"/>
                </w:tcPr>
                <w:p w14:paraId="2244D8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0.512</w:t>
                  </w:r>
                </w:p>
              </w:tc>
            </w:tr>
            <w:tr w14:paraId="3298C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0" w:hRule="atLeast"/>
              </w:trPr>
              <w:tc>
                <w:tcPr>
                  <w:tcW w:w="1055" w:type="pct"/>
                  <w:vMerge w:val="restart"/>
                  <w:shd w:val="clear" w:color="auto" w:fill="auto"/>
                  <w:vAlign w:val="center"/>
                </w:tcPr>
                <w:p w14:paraId="76845DC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MBR膜池</w:t>
                  </w:r>
                </w:p>
              </w:tc>
              <w:tc>
                <w:tcPr>
                  <w:tcW w:w="806" w:type="pct"/>
                  <w:vMerge w:val="restart"/>
                  <w:shd w:val="clear" w:color="auto" w:fill="auto"/>
                  <w:vAlign w:val="center"/>
                </w:tcPr>
                <w:p w14:paraId="7FAD54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661.5</w:t>
                  </w:r>
                </w:p>
              </w:tc>
              <w:tc>
                <w:tcPr>
                  <w:tcW w:w="793" w:type="pct"/>
                  <w:shd w:val="clear" w:color="auto" w:fill="auto"/>
                  <w:vAlign w:val="center"/>
                </w:tcPr>
                <w:p w14:paraId="452063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50" w:type="pct"/>
                  <w:shd w:val="clear" w:color="auto" w:fill="auto"/>
                  <w:vAlign w:val="center"/>
                </w:tcPr>
                <w:p w14:paraId="175703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10</w:t>
                  </w:r>
                </w:p>
              </w:tc>
              <w:tc>
                <w:tcPr>
                  <w:tcW w:w="846" w:type="pct"/>
                  <w:shd w:val="clear" w:color="auto" w:fill="auto"/>
                  <w:vAlign w:val="center"/>
                </w:tcPr>
                <w:p w14:paraId="4DFEF2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0.0066</w:t>
                  </w:r>
                </w:p>
              </w:tc>
              <w:tc>
                <w:tcPr>
                  <w:tcW w:w="747" w:type="pct"/>
                  <w:shd w:val="clear" w:color="auto" w:fill="auto"/>
                  <w:vAlign w:val="center"/>
                </w:tcPr>
                <w:p w14:paraId="26D107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0.579</w:t>
                  </w:r>
                </w:p>
              </w:tc>
            </w:tr>
            <w:tr w14:paraId="1EEF8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continue"/>
                  <w:shd w:val="clear" w:color="auto" w:fill="auto"/>
                  <w:vAlign w:val="center"/>
                </w:tcPr>
                <w:p w14:paraId="29B02E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806" w:type="pct"/>
                  <w:vMerge w:val="continue"/>
                  <w:shd w:val="clear" w:color="auto" w:fill="auto"/>
                  <w:vAlign w:val="center"/>
                </w:tcPr>
                <w:p w14:paraId="15A35046">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793" w:type="pct"/>
                  <w:shd w:val="clear" w:color="auto" w:fill="auto"/>
                  <w:vAlign w:val="center"/>
                </w:tcPr>
                <w:p w14:paraId="052F42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50" w:type="pct"/>
                  <w:shd w:val="clear" w:color="auto" w:fill="auto"/>
                  <w:vAlign w:val="center"/>
                </w:tcPr>
                <w:p w14:paraId="18AD10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5</w:t>
                  </w:r>
                </w:p>
              </w:tc>
              <w:tc>
                <w:tcPr>
                  <w:tcW w:w="846" w:type="pct"/>
                  <w:shd w:val="clear" w:color="auto" w:fill="auto"/>
                  <w:vAlign w:val="center"/>
                </w:tcPr>
                <w:p w14:paraId="5C1BD4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0.0033</w:t>
                  </w:r>
                </w:p>
              </w:tc>
              <w:tc>
                <w:tcPr>
                  <w:tcW w:w="747" w:type="pct"/>
                  <w:shd w:val="clear" w:color="auto" w:fill="auto"/>
                  <w:vAlign w:val="center"/>
                </w:tcPr>
                <w:p w14:paraId="1A5FB5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0.290</w:t>
                  </w:r>
                </w:p>
              </w:tc>
            </w:tr>
            <w:tr w14:paraId="6A1AE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restart"/>
                  <w:shd w:val="clear" w:color="auto" w:fill="auto"/>
                  <w:vAlign w:val="center"/>
                </w:tcPr>
                <w:p w14:paraId="62AC2695">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污泥消化池</w:t>
                  </w:r>
                </w:p>
              </w:tc>
              <w:tc>
                <w:tcPr>
                  <w:tcW w:w="806" w:type="pct"/>
                  <w:vMerge w:val="restart"/>
                  <w:shd w:val="clear" w:color="auto" w:fill="auto"/>
                  <w:vAlign w:val="center"/>
                </w:tcPr>
                <w:p w14:paraId="654962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337.5</w:t>
                  </w:r>
                </w:p>
              </w:tc>
              <w:tc>
                <w:tcPr>
                  <w:tcW w:w="793" w:type="pct"/>
                  <w:shd w:val="clear" w:color="auto" w:fill="auto"/>
                  <w:vAlign w:val="center"/>
                </w:tcPr>
                <w:p w14:paraId="4FCADFA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50" w:type="pct"/>
                  <w:shd w:val="clear" w:color="auto" w:fill="auto"/>
                  <w:vAlign w:val="center"/>
                </w:tcPr>
                <w:p w14:paraId="46DC457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30</w:t>
                  </w:r>
                </w:p>
              </w:tc>
              <w:tc>
                <w:tcPr>
                  <w:tcW w:w="846" w:type="pct"/>
                  <w:shd w:val="clear" w:color="auto" w:fill="auto"/>
                  <w:vAlign w:val="center"/>
                </w:tcPr>
                <w:p w14:paraId="229247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0.0101</w:t>
                  </w:r>
                </w:p>
              </w:tc>
              <w:tc>
                <w:tcPr>
                  <w:tcW w:w="747" w:type="pct"/>
                  <w:shd w:val="clear" w:color="auto" w:fill="auto"/>
                  <w:vAlign w:val="center"/>
                </w:tcPr>
                <w:p w14:paraId="645CA1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0.887</w:t>
                  </w:r>
                </w:p>
              </w:tc>
            </w:tr>
            <w:tr w14:paraId="780FA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continue"/>
                  <w:shd w:val="clear" w:color="auto" w:fill="auto"/>
                  <w:vAlign w:val="center"/>
                </w:tcPr>
                <w:p w14:paraId="731EFDA9">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806" w:type="pct"/>
                  <w:vMerge w:val="continue"/>
                  <w:shd w:val="clear" w:color="auto" w:fill="auto"/>
                  <w:vAlign w:val="center"/>
                </w:tcPr>
                <w:p w14:paraId="43146AD5">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793" w:type="pct"/>
                  <w:shd w:val="clear" w:color="auto" w:fill="auto"/>
                  <w:vAlign w:val="center"/>
                </w:tcPr>
                <w:p w14:paraId="6E24853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50" w:type="pct"/>
                  <w:shd w:val="clear" w:color="auto" w:fill="auto"/>
                  <w:vAlign w:val="center"/>
                </w:tcPr>
                <w:p w14:paraId="4C5C937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10</w:t>
                  </w:r>
                </w:p>
              </w:tc>
              <w:tc>
                <w:tcPr>
                  <w:tcW w:w="846" w:type="pct"/>
                  <w:shd w:val="clear" w:color="auto" w:fill="auto"/>
                  <w:vAlign w:val="center"/>
                </w:tcPr>
                <w:p w14:paraId="40BA5B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0.0034</w:t>
                  </w:r>
                </w:p>
              </w:tc>
              <w:tc>
                <w:tcPr>
                  <w:tcW w:w="747" w:type="pct"/>
                  <w:shd w:val="clear" w:color="auto" w:fill="auto"/>
                  <w:vAlign w:val="center"/>
                </w:tcPr>
                <w:p w14:paraId="0B7584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0.296</w:t>
                  </w:r>
                </w:p>
              </w:tc>
            </w:tr>
            <w:tr w14:paraId="1CB5D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restart"/>
                  <w:shd w:val="clear" w:color="auto" w:fill="auto"/>
                  <w:vAlign w:val="center"/>
                </w:tcPr>
                <w:p w14:paraId="659CA255">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污泥浓缩池</w:t>
                  </w:r>
                </w:p>
              </w:tc>
              <w:tc>
                <w:tcPr>
                  <w:tcW w:w="806" w:type="pct"/>
                  <w:vMerge w:val="restart"/>
                  <w:shd w:val="clear" w:color="auto" w:fill="auto"/>
                  <w:vAlign w:val="center"/>
                </w:tcPr>
                <w:p w14:paraId="6739F9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678.24</w:t>
                  </w:r>
                </w:p>
              </w:tc>
              <w:tc>
                <w:tcPr>
                  <w:tcW w:w="793" w:type="pct"/>
                  <w:shd w:val="clear" w:color="auto" w:fill="auto"/>
                  <w:vAlign w:val="center"/>
                </w:tcPr>
                <w:p w14:paraId="096364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50" w:type="pct"/>
                  <w:shd w:val="clear" w:color="auto" w:fill="auto"/>
                  <w:vAlign w:val="center"/>
                </w:tcPr>
                <w:p w14:paraId="3B215B3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30</w:t>
                  </w:r>
                </w:p>
              </w:tc>
              <w:tc>
                <w:tcPr>
                  <w:tcW w:w="846" w:type="pct"/>
                  <w:shd w:val="clear" w:color="auto" w:fill="auto"/>
                  <w:vAlign w:val="center"/>
                </w:tcPr>
                <w:p w14:paraId="5C1E2C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0.0203</w:t>
                  </w:r>
                </w:p>
              </w:tc>
              <w:tc>
                <w:tcPr>
                  <w:tcW w:w="747" w:type="pct"/>
                  <w:shd w:val="clear" w:color="auto" w:fill="auto"/>
                  <w:vAlign w:val="center"/>
                </w:tcPr>
                <w:p w14:paraId="16D930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1.782</w:t>
                  </w:r>
                </w:p>
              </w:tc>
            </w:tr>
            <w:tr w14:paraId="2F729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continue"/>
                  <w:shd w:val="clear" w:color="auto" w:fill="auto"/>
                  <w:vAlign w:val="center"/>
                </w:tcPr>
                <w:p w14:paraId="04815C1C">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806" w:type="pct"/>
                  <w:vMerge w:val="continue"/>
                  <w:shd w:val="clear" w:color="auto" w:fill="auto"/>
                  <w:vAlign w:val="center"/>
                </w:tcPr>
                <w:p w14:paraId="20D32EEB">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793" w:type="pct"/>
                  <w:shd w:val="clear" w:color="auto" w:fill="auto"/>
                  <w:vAlign w:val="center"/>
                </w:tcPr>
                <w:p w14:paraId="077A51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50" w:type="pct"/>
                  <w:shd w:val="clear" w:color="auto" w:fill="auto"/>
                  <w:vAlign w:val="center"/>
                </w:tcPr>
                <w:p w14:paraId="6C5DD37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10</w:t>
                  </w:r>
                </w:p>
              </w:tc>
              <w:tc>
                <w:tcPr>
                  <w:tcW w:w="846" w:type="pct"/>
                  <w:shd w:val="clear" w:color="auto" w:fill="auto"/>
                  <w:vAlign w:val="center"/>
                </w:tcPr>
                <w:p w14:paraId="41BE0B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0.0068</w:t>
                  </w:r>
                </w:p>
              </w:tc>
              <w:tc>
                <w:tcPr>
                  <w:tcW w:w="747" w:type="pct"/>
                  <w:shd w:val="clear" w:color="auto" w:fill="auto"/>
                  <w:vAlign w:val="center"/>
                </w:tcPr>
                <w:p w14:paraId="32C848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0.594</w:t>
                  </w:r>
                </w:p>
              </w:tc>
            </w:tr>
            <w:tr w14:paraId="729D3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restart"/>
                  <w:shd w:val="clear" w:color="auto" w:fill="auto"/>
                  <w:vAlign w:val="center"/>
                </w:tcPr>
                <w:p w14:paraId="311BEEC6">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污泥脱水机房</w:t>
                  </w:r>
                </w:p>
              </w:tc>
              <w:tc>
                <w:tcPr>
                  <w:tcW w:w="806" w:type="pct"/>
                  <w:vMerge w:val="restart"/>
                  <w:shd w:val="clear" w:color="auto" w:fill="auto"/>
                  <w:vAlign w:val="center"/>
                </w:tcPr>
                <w:p w14:paraId="1FF78D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864</w:t>
                  </w:r>
                </w:p>
              </w:tc>
              <w:tc>
                <w:tcPr>
                  <w:tcW w:w="793" w:type="pct"/>
                  <w:shd w:val="clear" w:color="auto" w:fill="auto"/>
                  <w:vAlign w:val="center"/>
                </w:tcPr>
                <w:p w14:paraId="3C8BF98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50" w:type="pct"/>
                  <w:shd w:val="clear" w:color="auto" w:fill="auto"/>
                  <w:vAlign w:val="center"/>
                </w:tcPr>
                <w:p w14:paraId="549E42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30</w:t>
                  </w:r>
                </w:p>
              </w:tc>
              <w:tc>
                <w:tcPr>
                  <w:tcW w:w="846" w:type="pct"/>
                  <w:shd w:val="clear" w:color="auto" w:fill="auto"/>
                  <w:vAlign w:val="center"/>
                </w:tcPr>
                <w:p w14:paraId="2FDD10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0.0259</w:t>
                  </w:r>
                </w:p>
              </w:tc>
              <w:tc>
                <w:tcPr>
                  <w:tcW w:w="747" w:type="pct"/>
                  <w:shd w:val="clear" w:color="auto" w:fill="auto"/>
                  <w:vAlign w:val="center"/>
                </w:tcPr>
                <w:p w14:paraId="4AE9BC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2.271</w:t>
                  </w:r>
                </w:p>
              </w:tc>
            </w:tr>
            <w:tr w14:paraId="7ADB2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55" w:type="pct"/>
                  <w:vMerge w:val="continue"/>
                  <w:shd w:val="clear" w:color="auto" w:fill="auto"/>
                  <w:vAlign w:val="center"/>
                </w:tcPr>
                <w:p w14:paraId="4329A362">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806" w:type="pct"/>
                  <w:vMerge w:val="continue"/>
                  <w:shd w:val="clear" w:color="auto" w:fill="auto"/>
                  <w:vAlign w:val="center"/>
                </w:tcPr>
                <w:p w14:paraId="79291F85">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793" w:type="pct"/>
                  <w:shd w:val="clear" w:color="auto" w:fill="auto"/>
                  <w:vAlign w:val="center"/>
                </w:tcPr>
                <w:p w14:paraId="69CDC0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50" w:type="pct"/>
                  <w:shd w:val="clear" w:color="auto" w:fill="auto"/>
                  <w:vAlign w:val="center"/>
                </w:tcPr>
                <w:p w14:paraId="7B38A29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lang w:val="en-US" w:eastAsia="zh-CN"/>
                    </w:rPr>
                    <w:t>10</w:t>
                  </w:r>
                </w:p>
              </w:tc>
              <w:tc>
                <w:tcPr>
                  <w:tcW w:w="846" w:type="pct"/>
                  <w:shd w:val="clear" w:color="auto" w:fill="auto"/>
                  <w:vAlign w:val="center"/>
                </w:tcPr>
                <w:p w14:paraId="2229AF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0.0086</w:t>
                  </w:r>
                </w:p>
              </w:tc>
              <w:tc>
                <w:tcPr>
                  <w:tcW w:w="747" w:type="pct"/>
                  <w:shd w:val="clear" w:color="auto" w:fill="auto"/>
                  <w:vAlign w:val="center"/>
                </w:tcPr>
                <w:p w14:paraId="545135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0.757</w:t>
                  </w:r>
                </w:p>
              </w:tc>
            </w:tr>
            <w:tr w14:paraId="42737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1861" w:type="pct"/>
                  <w:gridSpan w:val="2"/>
                  <w:vMerge w:val="restart"/>
                  <w:shd w:val="clear" w:color="auto" w:fill="auto"/>
                  <w:vAlign w:val="center"/>
                </w:tcPr>
                <w:p w14:paraId="3B8E545A">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合计</w:t>
                  </w:r>
                </w:p>
              </w:tc>
              <w:tc>
                <w:tcPr>
                  <w:tcW w:w="793" w:type="pct"/>
                  <w:shd w:val="clear" w:color="auto" w:fill="auto"/>
                  <w:vAlign w:val="center"/>
                </w:tcPr>
                <w:p w14:paraId="7A07B3C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H</w:t>
                  </w:r>
                  <w:r>
                    <w:rPr>
                      <w:rFonts w:hint="default" w:ascii="Times New Roman" w:hAnsi="Times New Roman" w:cs="Times New Roman"/>
                      <w:color w:val="auto"/>
                      <w:spacing w:val="0"/>
                      <w:w w:val="100"/>
                      <w:sz w:val="21"/>
                      <w:szCs w:val="21"/>
                      <w:vertAlign w:val="subscript"/>
                    </w:rPr>
                    <w:t>2</w:t>
                  </w:r>
                  <w:r>
                    <w:rPr>
                      <w:rFonts w:hint="default" w:ascii="Times New Roman" w:hAnsi="Times New Roman" w:cs="Times New Roman"/>
                      <w:color w:val="auto"/>
                      <w:spacing w:val="0"/>
                      <w:w w:val="100"/>
                      <w:sz w:val="21"/>
                      <w:szCs w:val="21"/>
                    </w:rPr>
                    <w:t>S</w:t>
                  </w:r>
                </w:p>
              </w:tc>
              <w:tc>
                <w:tcPr>
                  <w:tcW w:w="750" w:type="pct"/>
                  <w:shd w:val="clear" w:color="auto" w:fill="auto"/>
                  <w:vAlign w:val="center"/>
                </w:tcPr>
                <w:p w14:paraId="050BEDB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w:t>
                  </w:r>
                </w:p>
              </w:tc>
              <w:tc>
                <w:tcPr>
                  <w:tcW w:w="846" w:type="pct"/>
                  <w:shd w:val="clear" w:color="auto" w:fill="auto"/>
                  <w:vAlign w:val="center"/>
                </w:tcPr>
                <w:p w14:paraId="6D2F93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0.12</w:t>
                  </w:r>
                </w:p>
              </w:tc>
              <w:tc>
                <w:tcPr>
                  <w:tcW w:w="747" w:type="pct"/>
                  <w:shd w:val="clear" w:color="auto" w:fill="auto"/>
                  <w:vAlign w:val="center"/>
                </w:tcPr>
                <w:p w14:paraId="6D82A60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1.02</w:t>
                  </w:r>
                </w:p>
              </w:tc>
            </w:tr>
            <w:tr w14:paraId="7457B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trPr>
              <w:tc>
                <w:tcPr>
                  <w:tcW w:w="1861" w:type="pct"/>
                  <w:gridSpan w:val="2"/>
                  <w:vMerge w:val="continue"/>
                  <w:shd w:val="clear" w:color="auto" w:fill="auto"/>
                  <w:vAlign w:val="center"/>
                </w:tcPr>
                <w:p w14:paraId="7AB730AF">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793" w:type="pct"/>
                  <w:shd w:val="clear" w:color="auto" w:fill="auto"/>
                  <w:vAlign w:val="center"/>
                </w:tcPr>
                <w:p w14:paraId="4E7F96A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color w:val="auto"/>
                      <w:spacing w:val="0"/>
                      <w:w w:val="100"/>
                      <w:sz w:val="21"/>
                      <w:szCs w:val="21"/>
                    </w:rPr>
                    <w:t>NH</w:t>
                  </w:r>
                  <w:r>
                    <w:rPr>
                      <w:rFonts w:hint="default" w:ascii="Times New Roman" w:hAnsi="Times New Roman" w:cs="Times New Roman"/>
                      <w:color w:val="auto"/>
                      <w:spacing w:val="0"/>
                      <w:w w:val="100"/>
                      <w:sz w:val="21"/>
                      <w:szCs w:val="21"/>
                      <w:vertAlign w:val="subscript"/>
                    </w:rPr>
                    <w:t>3</w:t>
                  </w:r>
                </w:p>
              </w:tc>
              <w:tc>
                <w:tcPr>
                  <w:tcW w:w="750" w:type="pct"/>
                  <w:shd w:val="clear" w:color="auto" w:fill="auto"/>
                  <w:vAlign w:val="center"/>
                </w:tcPr>
                <w:p w14:paraId="79F81F2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w:t>
                  </w:r>
                </w:p>
              </w:tc>
              <w:tc>
                <w:tcPr>
                  <w:tcW w:w="846" w:type="pct"/>
                  <w:shd w:val="clear" w:color="auto" w:fill="auto"/>
                  <w:vAlign w:val="center"/>
                </w:tcPr>
                <w:p w14:paraId="7687054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0.05</w:t>
                  </w:r>
                </w:p>
              </w:tc>
              <w:tc>
                <w:tcPr>
                  <w:tcW w:w="747" w:type="pct"/>
                  <w:shd w:val="clear" w:color="auto" w:fill="auto"/>
                  <w:vAlign w:val="center"/>
                </w:tcPr>
                <w:p w14:paraId="4F1371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0.43</w:t>
                  </w:r>
                </w:p>
              </w:tc>
            </w:tr>
          </w:tbl>
          <w:p w14:paraId="7FF700F0">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由此可估算污水处理设施NH</w:t>
            </w:r>
            <w:r>
              <w:rPr>
                <w:rFonts w:hint="default" w:ascii="Times New Roman" w:hAnsi="Times New Roman" w:eastAsia="宋体" w:cs="Times New Roman"/>
                <w:color w:val="auto"/>
                <w:spacing w:val="0"/>
                <w:w w:val="100"/>
                <w:sz w:val="24"/>
                <w:szCs w:val="24"/>
                <w:vertAlign w:val="subscript"/>
                <w:lang w:val="en-US" w:eastAsia="zh-CN"/>
              </w:rPr>
              <w:t>3</w:t>
            </w:r>
            <w:r>
              <w:rPr>
                <w:rFonts w:hint="default" w:ascii="Times New Roman" w:hAnsi="Times New Roman" w:eastAsia="宋体" w:cs="Times New Roman"/>
                <w:color w:val="auto"/>
                <w:spacing w:val="0"/>
                <w:w w:val="100"/>
                <w:sz w:val="24"/>
                <w:szCs w:val="24"/>
                <w:lang w:eastAsia="zh-CN"/>
              </w:rPr>
              <w:t>产生量为</w:t>
            </w:r>
            <w:r>
              <w:rPr>
                <w:rFonts w:hint="eastAsia" w:ascii="Times New Roman" w:hAnsi="Times New Roman" w:eastAsia="宋体" w:cs="Times New Roman"/>
                <w:color w:val="auto"/>
                <w:spacing w:val="0"/>
                <w:w w:val="100"/>
                <w:sz w:val="24"/>
                <w:szCs w:val="24"/>
                <w:lang w:val="en-US" w:eastAsia="zh-CN"/>
              </w:rPr>
              <w:t>0.43</w:t>
            </w:r>
            <w:r>
              <w:rPr>
                <w:rFonts w:hint="default" w:ascii="Times New Roman" w:hAnsi="Times New Roman" w:eastAsia="宋体" w:cs="Times New Roman"/>
                <w:color w:val="auto"/>
                <w:spacing w:val="0"/>
                <w:w w:val="100"/>
                <w:sz w:val="24"/>
                <w:szCs w:val="24"/>
                <w:lang w:eastAsia="zh-CN"/>
              </w:rPr>
              <w:t>t/a，产生速率为</w:t>
            </w:r>
            <w:r>
              <w:rPr>
                <w:rFonts w:hint="eastAsia" w:ascii="Times New Roman" w:hAnsi="Times New Roman" w:eastAsia="宋体" w:cs="Times New Roman"/>
                <w:color w:val="auto"/>
                <w:spacing w:val="0"/>
                <w:w w:val="100"/>
                <w:sz w:val="24"/>
                <w:szCs w:val="24"/>
                <w:lang w:val="en-US" w:eastAsia="zh-CN"/>
              </w:rPr>
              <w:t>0.05</w:t>
            </w:r>
            <w:r>
              <w:rPr>
                <w:rFonts w:hint="default" w:ascii="Times New Roman" w:hAnsi="Times New Roman" w:eastAsia="宋体" w:cs="Times New Roman"/>
                <w:color w:val="auto"/>
                <w:spacing w:val="0"/>
                <w:w w:val="100"/>
                <w:sz w:val="24"/>
                <w:szCs w:val="24"/>
                <w:lang w:eastAsia="zh-CN"/>
              </w:rPr>
              <w:t>kg/h；H</w:t>
            </w:r>
            <w:r>
              <w:rPr>
                <w:rFonts w:hint="default" w:ascii="Times New Roman" w:hAnsi="Times New Roman" w:eastAsia="宋体" w:cs="Times New Roman"/>
                <w:color w:val="auto"/>
                <w:spacing w:val="0"/>
                <w:w w:val="100"/>
                <w:sz w:val="24"/>
                <w:szCs w:val="24"/>
                <w:vertAlign w:val="subscript"/>
                <w:lang w:val="en-US" w:eastAsia="zh-CN"/>
              </w:rPr>
              <w:t>2</w:t>
            </w:r>
            <w:r>
              <w:rPr>
                <w:rFonts w:hint="default" w:ascii="Times New Roman" w:hAnsi="Times New Roman" w:eastAsia="宋体" w:cs="Times New Roman"/>
                <w:color w:val="auto"/>
                <w:spacing w:val="0"/>
                <w:w w:val="100"/>
                <w:sz w:val="24"/>
                <w:szCs w:val="24"/>
                <w:lang w:eastAsia="zh-CN"/>
              </w:rPr>
              <w:t>S产生量为</w:t>
            </w:r>
            <w:r>
              <w:rPr>
                <w:rFonts w:hint="eastAsia" w:ascii="Times New Roman" w:hAnsi="Times New Roman" w:eastAsia="宋体" w:cs="Times New Roman"/>
                <w:color w:val="auto"/>
                <w:spacing w:val="0"/>
                <w:w w:val="100"/>
                <w:sz w:val="24"/>
                <w:szCs w:val="24"/>
                <w:lang w:val="en-US" w:eastAsia="zh-CN"/>
              </w:rPr>
              <w:t>1.02t</w:t>
            </w:r>
            <w:r>
              <w:rPr>
                <w:rFonts w:hint="default" w:ascii="Times New Roman" w:hAnsi="Times New Roman" w:eastAsia="宋体" w:cs="Times New Roman"/>
                <w:color w:val="auto"/>
                <w:spacing w:val="0"/>
                <w:w w:val="100"/>
                <w:sz w:val="24"/>
                <w:szCs w:val="24"/>
                <w:lang w:eastAsia="zh-CN"/>
              </w:rPr>
              <w:t>/a，产生速率</w:t>
            </w:r>
            <w:r>
              <w:rPr>
                <w:rFonts w:hint="eastAsia" w:ascii="Times New Roman" w:hAnsi="Times New Roman" w:eastAsia="宋体" w:cs="Times New Roman"/>
                <w:color w:val="auto"/>
                <w:spacing w:val="0"/>
                <w:w w:val="100"/>
                <w:sz w:val="24"/>
                <w:szCs w:val="24"/>
                <w:lang w:val="en-US" w:eastAsia="zh-CN"/>
              </w:rPr>
              <w:t>0.12</w:t>
            </w:r>
            <w:r>
              <w:rPr>
                <w:rFonts w:hint="default" w:ascii="Times New Roman" w:hAnsi="Times New Roman" w:eastAsia="宋体" w:cs="Times New Roman"/>
                <w:color w:val="auto"/>
                <w:spacing w:val="0"/>
                <w:w w:val="100"/>
                <w:sz w:val="24"/>
                <w:szCs w:val="24"/>
                <w:lang w:eastAsia="zh-CN"/>
              </w:rPr>
              <w:t>kg/h。</w:t>
            </w:r>
          </w:p>
          <w:p w14:paraId="19EF8880">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eastAsia="zh-CN"/>
              </w:rPr>
              <w:t>本项目为</w:t>
            </w:r>
            <w:r>
              <w:rPr>
                <w:rFonts w:hint="default" w:ascii="Times New Roman" w:hAnsi="Times New Roman" w:eastAsia="宋体" w:cs="Times New Roman"/>
                <w:color w:val="auto"/>
                <w:spacing w:val="0"/>
                <w:w w:val="100"/>
                <w:sz w:val="24"/>
                <w:szCs w:val="24"/>
                <w:lang w:val="en-US" w:eastAsia="zh-CN"/>
              </w:rPr>
              <w:t>拟建项目对沉砂池、调节池</w:t>
            </w:r>
            <w:r>
              <w:rPr>
                <w:rFonts w:hint="eastAsia" w:ascii="Times New Roman" w:hAnsi="Times New Roman" w:eastAsia="宋体" w:cs="Times New Roman"/>
                <w:color w:val="auto"/>
                <w:spacing w:val="0"/>
                <w:w w:val="100"/>
                <w:sz w:val="24"/>
                <w:szCs w:val="24"/>
                <w:lang w:val="en-US" w:eastAsia="zh-CN"/>
              </w:rPr>
              <w:t>、</w:t>
            </w:r>
            <w:r>
              <w:rPr>
                <w:rFonts w:hint="default" w:ascii="Times New Roman" w:hAnsi="Times New Roman" w:eastAsia="宋体" w:cs="Times New Roman"/>
                <w:color w:val="auto"/>
                <w:spacing w:val="0"/>
                <w:w w:val="100"/>
                <w:sz w:val="24"/>
                <w:szCs w:val="24"/>
                <w:lang w:val="en-US" w:eastAsia="zh-CN"/>
              </w:rPr>
              <w:t>A</w:t>
            </w:r>
            <w:r>
              <w:rPr>
                <w:rFonts w:hint="default"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lang w:val="en-US" w:eastAsia="zh-CN"/>
              </w:rPr>
              <w:t>/O池、</w:t>
            </w:r>
            <w:r>
              <w:rPr>
                <w:rFonts w:hint="default" w:ascii="Times New Roman" w:hAnsi="Times New Roman" w:cs="Times New Roman"/>
                <w:color w:val="auto"/>
                <w:spacing w:val="0"/>
                <w:w w:val="100"/>
                <w:sz w:val="24"/>
                <w:szCs w:val="24"/>
                <w:lang w:val="en-US" w:eastAsia="zh-CN"/>
              </w:rPr>
              <w:t>污泥</w:t>
            </w:r>
            <w:r>
              <w:rPr>
                <w:rFonts w:hint="default" w:ascii="Times New Roman" w:hAnsi="Times New Roman" w:eastAsia="宋体" w:cs="Times New Roman"/>
                <w:color w:val="auto"/>
                <w:spacing w:val="0"/>
                <w:w w:val="100"/>
                <w:sz w:val="24"/>
                <w:szCs w:val="24"/>
                <w:lang w:val="en-US" w:eastAsia="zh-CN"/>
              </w:rPr>
              <w:t>浓缩池等臭源密封加盖收集，再经除臭工艺（生物滤池）处理后（收集率为95%，除臭效率为95%），废气经1根15m高，内径0.</w:t>
            </w:r>
            <w:r>
              <w:rPr>
                <w:rFonts w:hint="eastAsia" w:ascii="Times New Roman" w:hAnsi="Times New Roman" w:eastAsia="宋体" w:cs="Times New Roman"/>
                <w:color w:val="auto"/>
                <w:spacing w:val="0"/>
                <w:w w:val="100"/>
                <w:sz w:val="24"/>
                <w:szCs w:val="24"/>
                <w:lang w:val="en-US" w:eastAsia="zh-CN"/>
              </w:rPr>
              <w:t>6</w:t>
            </w:r>
            <w:r>
              <w:rPr>
                <w:rFonts w:hint="default" w:ascii="Times New Roman" w:hAnsi="Times New Roman" w:eastAsia="宋体" w:cs="Times New Roman"/>
                <w:color w:val="auto"/>
                <w:spacing w:val="0"/>
                <w:w w:val="100"/>
                <w:sz w:val="24"/>
                <w:szCs w:val="24"/>
                <w:lang w:val="en-US" w:eastAsia="zh-CN"/>
              </w:rPr>
              <w:t>m的排气筒排放</w:t>
            </w:r>
            <w:r>
              <w:rPr>
                <w:rFonts w:hint="eastAsia" w:ascii="Times New Roman" w:hAnsi="Times New Roman" w:eastAsia="宋体" w:cs="Times New Roman"/>
                <w:color w:val="auto"/>
                <w:spacing w:val="0"/>
                <w:w w:val="100"/>
                <w:sz w:val="24"/>
                <w:szCs w:val="24"/>
                <w:lang w:val="en-US" w:eastAsia="zh-CN"/>
              </w:rPr>
              <w:t>，处理风量为10000</w:t>
            </w:r>
            <w:r>
              <w:rPr>
                <w:rFonts w:hint="default" w:ascii="Times New Roman" w:hAnsi="Times New Roman" w:eastAsia="Times New Roman" w:cs="Times New Roman"/>
                <w:color w:val="auto"/>
                <w:spacing w:val="0"/>
                <w:w w:val="100"/>
                <w:sz w:val="24"/>
                <w:szCs w:val="24"/>
              </w:rPr>
              <w:t>m</w:t>
            </w:r>
            <w:r>
              <w:rPr>
                <w:rFonts w:hint="default" w:ascii="Times New Roman" w:hAnsi="Times New Roman" w:eastAsia="宋体" w:cs="Times New Roman"/>
                <w:color w:val="auto"/>
                <w:spacing w:val="0"/>
                <w:w w:val="100"/>
                <w:sz w:val="24"/>
                <w:szCs w:val="24"/>
                <w:vertAlign w:val="superscript"/>
                <w:lang w:val="en-US" w:eastAsia="zh-CN"/>
              </w:rPr>
              <w:t>3</w:t>
            </w:r>
            <w:r>
              <w:rPr>
                <w:rFonts w:hint="default" w:ascii="Times New Roman" w:hAnsi="Times New Roman" w:eastAsia="Times New Roman" w:cs="Times New Roman"/>
                <w:color w:val="auto"/>
                <w:spacing w:val="0"/>
                <w:w w:val="100"/>
                <w:sz w:val="24"/>
                <w:szCs w:val="24"/>
              </w:rPr>
              <w:t>/h</w:t>
            </w:r>
            <w:r>
              <w:rPr>
                <w:rFonts w:hint="default" w:ascii="Times New Roman" w:hAnsi="Times New Roman" w:eastAsia="宋体" w:cs="Times New Roman"/>
                <w:color w:val="auto"/>
                <w:spacing w:val="0"/>
                <w:w w:val="100"/>
                <w:sz w:val="24"/>
                <w:szCs w:val="24"/>
                <w:lang w:val="en-US" w:eastAsia="zh-CN"/>
              </w:rPr>
              <w:t>。</w:t>
            </w:r>
          </w:p>
          <w:p w14:paraId="7D53A3BD">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经计算，项目</w:t>
            </w:r>
            <w:r>
              <w:rPr>
                <w:rFonts w:hint="default" w:ascii="Times New Roman" w:hAnsi="Times New Roman" w:eastAsia="宋体" w:cs="Times New Roman"/>
                <w:color w:val="auto"/>
                <w:spacing w:val="0"/>
                <w:w w:val="100"/>
                <w:sz w:val="24"/>
                <w:szCs w:val="24"/>
                <w:lang w:eastAsia="zh-CN"/>
              </w:rPr>
              <w:t>有组织</w:t>
            </w:r>
            <w:r>
              <w:rPr>
                <w:rFonts w:hint="default" w:ascii="Times New Roman" w:hAnsi="Times New Roman" w:cs="Times New Roman"/>
                <w:color w:val="auto"/>
                <w:spacing w:val="0"/>
                <w:w w:val="100"/>
                <w:sz w:val="24"/>
                <w:szCs w:val="24"/>
                <w:lang w:eastAsia="zh-CN"/>
              </w:rPr>
              <w:t>污染物</w:t>
            </w:r>
            <w:r>
              <w:rPr>
                <w:rFonts w:hint="default" w:ascii="Times New Roman" w:hAnsi="Times New Roman" w:eastAsia="宋体" w:cs="Times New Roman"/>
                <w:color w:val="auto"/>
                <w:spacing w:val="0"/>
                <w:w w:val="100"/>
                <w:sz w:val="24"/>
                <w:szCs w:val="24"/>
                <w:lang w:eastAsia="zh-CN"/>
              </w:rPr>
              <w:t>NH</w:t>
            </w:r>
            <w:r>
              <w:rPr>
                <w:rFonts w:hint="default" w:ascii="Times New Roman" w:hAnsi="Times New Roman" w:eastAsia="宋体" w:cs="Times New Roman"/>
                <w:color w:val="auto"/>
                <w:spacing w:val="0"/>
                <w:w w:val="100"/>
                <w:sz w:val="24"/>
                <w:szCs w:val="24"/>
                <w:vertAlign w:val="subscript"/>
                <w:lang w:val="en-US" w:eastAsia="zh-CN"/>
              </w:rPr>
              <w:t>3</w:t>
            </w:r>
            <w:r>
              <w:rPr>
                <w:rFonts w:hint="default" w:ascii="Times New Roman" w:hAnsi="Times New Roman" w:eastAsia="宋体" w:cs="Times New Roman"/>
                <w:color w:val="auto"/>
                <w:spacing w:val="0"/>
                <w:w w:val="100"/>
                <w:sz w:val="24"/>
                <w:szCs w:val="24"/>
                <w:lang w:eastAsia="zh-CN"/>
              </w:rPr>
              <w:t>排放为</w:t>
            </w:r>
            <w:r>
              <w:rPr>
                <w:rFonts w:hint="default" w:ascii="Times New Roman" w:hAnsi="Times New Roman" w:eastAsia="宋体" w:cs="Times New Roman"/>
                <w:color w:val="auto"/>
                <w:spacing w:val="0"/>
                <w:w w:val="100"/>
                <w:sz w:val="24"/>
                <w:szCs w:val="24"/>
                <w:lang w:val="en-US" w:eastAsia="zh-CN"/>
              </w:rPr>
              <w:t>0.0</w:t>
            </w:r>
            <w:r>
              <w:rPr>
                <w:rFonts w:hint="eastAsia" w:ascii="Times New Roman" w:hAnsi="Times New Roman" w:eastAsia="宋体" w:cs="Times New Roman"/>
                <w:color w:val="auto"/>
                <w:spacing w:val="0"/>
                <w:w w:val="100"/>
                <w:sz w:val="24"/>
                <w:szCs w:val="24"/>
                <w:lang w:val="en-US" w:eastAsia="zh-CN"/>
              </w:rPr>
              <w:t>2</w:t>
            </w:r>
            <w:r>
              <w:rPr>
                <w:rFonts w:hint="default" w:ascii="Times New Roman" w:hAnsi="Times New Roman" w:eastAsia="宋体" w:cs="Times New Roman"/>
                <w:color w:val="auto"/>
                <w:spacing w:val="0"/>
                <w:w w:val="100"/>
                <w:sz w:val="24"/>
                <w:szCs w:val="24"/>
                <w:lang w:eastAsia="zh-CN"/>
              </w:rPr>
              <w:t>t/a，排放浓度</w:t>
            </w:r>
            <w:r>
              <w:rPr>
                <w:rFonts w:hint="eastAsia" w:ascii="Times New Roman" w:hAnsi="Times New Roman" w:eastAsia="宋体" w:cs="Times New Roman"/>
                <w:color w:val="auto"/>
                <w:spacing w:val="0"/>
                <w:w w:val="100"/>
                <w:sz w:val="24"/>
                <w:szCs w:val="24"/>
                <w:lang w:val="en-US" w:eastAsia="zh-CN"/>
              </w:rPr>
              <w:t>0.233</w:t>
            </w:r>
            <w:r>
              <w:rPr>
                <w:rFonts w:hint="default" w:ascii="Times New Roman" w:hAnsi="Times New Roman" w:cs="Times New Roman"/>
                <w:color w:val="auto"/>
                <w:spacing w:val="0"/>
                <w:w w:val="100"/>
                <w:sz w:val="24"/>
                <w:szCs w:val="24"/>
              </w:rPr>
              <w:t>mg/m</w:t>
            </w:r>
            <w:r>
              <w:rPr>
                <w:rFonts w:hint="default" w:ascii="Times New Roman" w:hAnsi="Times New Roman" w:cs="Times New Roman"/>
                <w:color w:val="auto"/>
                <w:spacing w:val="0"/>
                <w:w w:val="100"/>
                <w:sz w:val="24"/>
                <w:szCs w:val="24"/>
                <w:vertAlign w:val="superscript"/>
              </w:rPr>
              <w:t>3</w:t>
            </w:r>
            <w:r>
              <w:rPr>
                <w:rFonts w:hint="default" w:ascii="Times New Roman" w:hAnsi="Times New Roman" w:eastAsia="宋体" w:cs="Times New Roman"/>
                <w:color w:val="auto"/>
                <w:spacing w:val="0"/>
                <w:w w:val="100"/>
                <w:sz w:val="24"/>
                <w:szCs w:val="24"/>
                <w:lang w:val="en-US" w:eastAsia="zh-CN"/>
              </w:rPr>
              <w:t>，</w:t>
            </w:r>
            <w:r>
              <w:rPr>
                <w:rFonts w:hint="default" w:ascii="Times New Roman" w:hAnsi="Times New Roman" w:eastAsia="宋体" w:cs="Times New Roman"/>
                <w:color w:val="auto"/>
                <w:spacing w:val="0"/>
                <w:w w:val="100"/>
                <w:sz w:val="24"/>
                <w:szCs w:val="24"/>
                <w:lang w:eastAsia="zh-CN"/>
              </w:rPr>
              <w:t>排放速率为</w:t>
            </w:r>
            <w:r>
              <w:rPr>
                <w:rFonts w:hint="default" w:ascii="Times New Roman" w:hAnsi="Times New Roman" w:eastAsia="宋体" w:cs="Times New Roman"/>
                <w:color w:val="auto"/>
                <w:spacing w:val="0"/>
                <w:w w:val="100"/>
                <w:sz w:val="24"/>
                <w:szCs w:val="24"/>
                <w:lang w:val="en-US" w:eastAsia="zh-CN"/>
              </w:rPr>
              <w:t>0.0</w:t>
            </w:r>
            <w:r>
              <w:rPr>
                <w:rFonts w:hint="eastAsia" w:ascii="Times New Roman" w:hAnsi="Times New Roman" w:eastAsia="宋体" w:cs="Times New Roman"/>
                <w:color w:val="auto"/>
                <w:spacing w:val="0"/>
                <w:w w:val="100"/>
                <w:sz w:val="24"/>
                <w:szCs w:val="24"/>
                <w:lang w:val="en-US" w:eastAsia="zh-CN"/>
              </w:rPr>
              <w:t>02</w:t>
            </w:r>
            <w:r>
              <w:rPr>
                <w:rFonts w:hint="default" w:ascii="Times New Roman" w:hAnsi="Times New Roman" w:eastAsia="宋体" w:cs="Times New Roman"/>
                <w:color w:val="auto"/>
                <w:spacing w:val="0"/>
                <w:w w:val="100"/>
                <w:sz w:val="24"/>
                <w:szCs w:val="24"/>
                <w:lang w:eastAsia="zh-CN"/>
              </w:rPr>
              <w:t>kg/h；H</w:t>
            </w:r>
            <w:r>
              <w:rPr>
                <w:rFonts w:hint="default" w:ascii="Times New Roman" w:hAnsi="Times New Roman" w:eastAsia="宋体" w:cs="Times New Roman"/>
                <w:color w:val="auto"/>
                <w:spacing w:val="0"/>
                <w:w w:val="100"/>
                <w:sz w:val="24"/>
                <w:szCs w:val="24"/>
                <w:vertAlign w:val="subscript"/>
                <w:lang w:val="en-US" w:eastAsia="zh-CN"/>
              </w:rPr>
              <w:t>2</w:t>
            </w:r>
            <w:r>
              <w:rPr>
                <w:rFonts w:hint="default" w:ascii="Times New Roman" w:hAnsi="Times New Roman" w:eastAsia="宋体" w:cs="Times New Roman"/>
                <w:color w:val="auto"/>
                <w:spacing w:val="0"/>
                <w:w w:val="100"/>
                <w:sz w:val="24"/>
                <w:szCs w:val="24"/>
                <w:lang w:eastAsia="zh-CN"/>
              </w:rPr>
              <w:t>S排放量为</w:t>
            </w:r>
            <w:r>
              <w:rPr>
                <w:rFonts w:hint="eastAsia" w:ascii="Times New Roman" w:hAnsi="Times New Roman" w:eastAsia="宋体" w:cs="Times New Roman"/>
                <w:color w:val="auto"/>
                <w:spacing w:val="0"/>
                <w:w w:val="100"/>
                <w:sz w:val="24"/>
                <w:szCs w:val="24"/>
                <w:lang w:val="en-US" w:eastAsia="zh-CN"/>
              </w:rPr>
              <w:t>0.048</w:t>
            </w:r>
            <w:r>
              <w:rPr>
                <w:rFonts w:hint="default" w:ascii="Times New Roman" w:hAnsi="Times New Roman" w:eastAsia="宋体" w:cs="Times New Roman"/>
                <w:color w:val="auto"/>
                <w:spacing w:val="0"/>
                <w:w w:val="100"/>
                <w:sz w:val="24"/>
                <w:szCs w:val="24"/>
                <w:lang w:eastAsia="zh-CN"/>
              </w:rPr>
              <w:t>t/a，排放浓度</w:t>
            </w:r>
            <w:r>
              <w:rPr>
                <w:rFonts w:hint="eastAsia" w:ascii="Times New Roman" w:hAnsi="Times New Roman" w:eastAsia="宋体" w:cs="Times New Roman"/>
                <w:color w:val="auto"/>
                <w:spacing w:val="0"/>
                <w:w w:val="100"/>
                <w:sz w:val="24"/>
                <w:szCs w:val="24"/>
                <w:lang w:val="en-US" w:eastAsia="zh-CN"/>
              </w:rPr>
              <w:t>0.553</w:t>
            </w:r>
            <w:r>
              <w:rPr>
                <w:rFonts w:hint="default" w:ascii="Times New Roman" w:hAnsi="Times New Roman" w:cs="Times New Roman"/>
                <w:color w:val="auto"/>
                <w:spacing w:val="0"/>
                <w:w w:val="100"/>
                <w:sz w:val="24"/>
                <w:szCs w:val="24"/>
              </w:rPr>
              <w:t>mg/m</w:t>
            </w:r>
            <w:r>
              <w:rPr>
                <w:rFonts w:hint="default" w:ascii="Times New Roman" w:hAnsi="Times New Roman" w:cs="Times New Roman"/>
                <w:color w:val="auto"/>
                <w:spacing w:val="0"/>
                <w:w w:val="100"/>
                <w:sz w:val="24"/>
                <w:szCs w:val="24"/>
                <w:vertAlign w:val="superscript"/>
              </w:rPr>
              <w:t>3</w:t>
            </w:r>
            <w:r>
              <w:rPr>
                <w:rFonts w:hint="default" w:ascii="Times New Roman" w:hAnsi="Times New Roman" w:eastAsia="宋体" w:cs="Times New Roman"/>
                <w:color w:val="auto"/>
                <w:spacing w:val="0"/>
                <w:w w:val="100"/>
                <w:sz w:val="24"/>
                <w:szCs w:val="24"/>
                <w:lang w:val="en-US" w:eastAsia="zh-CN"/>
              </w:rPr>
              <w:t>，</w:t>
            </w:r>
            <w:r>
              <w:rPr>
                <w:rFonts w:hint="default" w:ascii="Times New Roman" w:hAnsi="Times New Roman" w:eastAsia="宋体" w:cs="Times New Roman"/>
                <w:color w:val="auto"/>
                <w:spacing w:val="0"/>
                <w:w w:val="100"/>
                <w:sz w:val="24"/>
                <w:szCs w:val="24"/>
                <w:lang w:eastAsia="zh-CN"/>
              </w:rPr>
              <w:t>排放速率</w:t>
            </w:r>
            <w:r>
              <w:rPr>
                <w:rFonts w:hint="default" w:ascii="Times New Roman" w:hAnsi="Times New Roman" w:eastAsia="宋体" w:cs="Times New Roman"/>
                <w:color w:val="auto"/>
                <w:spacing w:val="0"/>
                <w:w w:val="100"/>
                <w:sz w:val="24"/>
                <w:szCs w:val="24"/>
                <w:lang w:val="en-US" w:eastAsia="zh-CN"/>
              </w:rPr>
              <w:t>0.00</w:t>
            </w:r>
            <w:r>
              <w:rPr>
                <w:rFonts w:hint="eastAsia" w:ascii="Times New Roman" w:hAnsi="Times New Roman" w:eastAsia="宋体" w:cs="Times New Roman"/>
                <w:color w:val="auto"/>
                <w:spacing w:val="0"/>
                <w:w w:val="100"/>
                <w:sz w:val="24"/>
                <w:szCs w:val="24"/>
                <w:lang w:val="en-US" w:eastAsia="zh-CN"/>
              </w:rPr>
              <w:t>6</w:t>
            </w:r>
            <w:r>
              <w:rPr>
                <w:rFonts w:hint="default" w:ascii="Times New Roman" w:hAnsi="Times New Roman" w:eastAsia="宋体" w:cs="Times New Roman"/>
                <w:color w:val="auto"/>
                <w:spacing w:val="0"/>
                <w:w w:val="100"/>
                <w:sz w:val="24"/>
                <w:szCs w:val="24"/>
                <w:lang w:eastAsia="zh-CN"/>
              </w:rPr>
              <w:t>kg/h。未被收集无组织排放NH</w:t>
            </w:r>
            <w:r>
              <w:rPr>
                <w:rFonts w:hint="default" w:ascii="Times New Roman" w:hAnsi="Times New Roman" w:eastAsia="宋体" w:cs="Times New Roman"/>
                <w:color w:val="auto"/>
                <w:spacing w:val="0"/>
                <w:w w:val="100"/>
                <w:sz w:val="24"/>
                <w:szCs w:val="24"/>
                <w:vertAlign w:val="subscript"/>
                <w:lang w:val="en-US" w:eastAsia="zh-CN"/>
              </w:rPr>
              <w:t>3</w:t>
            </w:r>
            <w:r>
              <w:rPr>
                <w:rFonts w:hint="default" w:ascii="Times New Roman" w:hAnsi="Times New Roman" w:eastAsia="宋体" w:cs="Times New Roman"/>
                <w:color w:val="auto"/>
                <w:spacing w:val="0"/>
                <w:w w:val="100"/>
                <w:sz w:val="24"/>
                <w:szCs w:val="24"/>
                <w:lang w:eastAsia="zh-CN"/>
              </w:rPr>
              <w:t>排放为</w:t>
            </w:r>
            <w:r>
              <w:rPr>
                <w:rFonts w:hint="default" w:ascii="Times New Roman" w:hAnsi="Times New Roman" w:eastAsia="宋体" w:cs="Times New Roman"/>
                <w:color w:val="auto"/>
                <w:spacing w:val="0"/>
                <w:w w:val="100"/>
                <w:sz w:val="24"/>
                <w:szCs w:val="24"/>
                <w:lang w:val="en-US" w:eastAsia="zh-CN"/>
              </w:rPr>
              <w:t>0.0</w:t>
            </w:r>
            <w:r>
              <w:rPr>
                <w:rFonts w:hint="eastAsia" w:ascii="Times New Roman" w:hAnsi="Times New Roman" w:eastAsia="宋体" w:cs="Times New Roman"/>
                <w:color w:val="auto"/>
                <w:spacing w:val="0"/>
                <w:w w:val="100"/>
                <w:sz w:val="24"/>
                <w:szCs w:val="24"/>
                <w:lang w:val="en-US" w:eastAsia="zh-CN"/>
              </w:rPr>
              <w:t>22</w:t>
            </w:r>
            <w:r>
              <w:rPr>
                <w:rFonts w:hint="default" w:ascii="Times New Roman" w:hAnsi="Times New Roman" w:eastAsia="宋体" w:cs="Times New Roman"/>
                <w:color w:val="auto"/>
                <w:spacing w:val="0"/>
                <w:w w:val="100"/>
                <w:sz w:val="24"/>
                <w:szCs w:val="24"/>
                <w:lang w:eastAsia="zh-CN"/>
              </w:rPr>
              <w:t>t/a，排放速率为</w:t>
            </w:r>
            <w:r>
              <w:rPr>
                <w:rFonts w:hint="default" w:ascii="Times New Roman" w:hAnsi="Times New Roman" w:eastAsia="宋体" w:cs="Times New Roman"/>
                <w:color w:val="auto"/>
                <w:spacing w:val="0"/>
                <w:w w:val="100"/>
                <w:sz w:val="24"/>
                <w:szCs w:val="24"/>
                <w:lang w:val="en-US" w:eastAsia="zh-CN"/>
              </w:rPr>
              <w:t>0.00</w:t>
            </w:r>
            <w:r>
              <w:rPr>
                <w:rFonts w:hint="eastAsia" w:ascii="Times New Roman" w:hAnsi="Times New Roman" w:eastAsia="宋体" w:cs="Times New Roman"/>
                <w:color w:val="auto"/>
                <w:spacing w:val="0"/>
                <w:w w:val="100"/>
                <w:sz w:val="24"/>
                <w:szCs w:val="24"/>
                <w:lang w:val="en-US" w:eastAsia="zh-CN"/>
              </w:rPr>
              <w:t>2</w:t>
            </w:r>
            <w:r>
              <w:rPr>
                <w:rFonts w:hint="default" w:ascii="Times New Roman" w:hAnsi="Times New Roman" w:eastAsia="宋体" w:cs="Times New Roman"/>
                <w:color w:val="auto"/>
                <w:spacing w:val="0"/>
                <w:w w:val="100"/>
                <w:sz w:val="24"/>
                <w:szCs w:val="24"/>
                <w:lang w:eastAsia="zh-CN"/>
              </w:rPr>
              <w:t>kg/h；H</w:t>
            </w:r>
            <w:r>
              <w:rPr>
                <w:rFonts w:hint="default" w:ascii="Times New Roman" w:hAnsi="Times New Roman" w:eastAsia="宋体" w:cs="Times New Roman"/>
                <w:color w:val="auto"/>
                <w:spacing w:val="0"/>
                <w:w w:val="100"/>
                <w:sz w:val="24"/>
                <w:szCs w:val="24"/>
                <w:vertAlign w:val="subscript"/>
                <w:lang w:val="en-US" w:eastAsia="zh-CN"/>
              </w:rPr>
              <w:t>2</w:t>
            </w:r>
            <w:r>
              <w:rPr>
                <w:rFonts w:hint="default" w:ascii="Times New Roman" w:hAnsi="Times New Roman" w:eastAsia="宋体" w:cs="Times New Roman"/>
                <w:color w:val="auto"/>
                <w:spacing w:val="0"/>
                <w:w w:val="100"/>
                <w:sz w:val="24"/>
                <w:szCs w:val="24"/>
                <w:lang w:eastAsia="zh-CN"/>
              </w:rPr>
              <w:t>S排放量为</w:t>
            </w:r>
            <w:r>
              <w:rPr>
                <w:rFonts w:hint="default" w:ascii="Times New Roman" w:hAnsi="Times New Roman" w:eastAsia="宋体" w:cs="Times New Roman"/>
                <w:color w:val="auto"/>
                <w:spacing w:val="0"/>
                <w:w w:val="100"/>
                <w:sz w:val="24"/>
                <w:szCs w:val="24"/>
                <w:lang w:val="en-US" w:eastAsia="zh-CN"/>
              </w:rPr>
              <w:t>0.0</w:t>
            </w:r>
            <w:r>
              <w:rPr>
                <w:rFonts w:hint="eastAsia" w:ascii="Times New Roman" w:hAnsi="Times New Roman" w:eastAsia="宋体" w:cs="Times New Roman"/>
                <w:color w:val="auto"/>
                <w:spacing w:val="0"/>
                <w:w w:val="100"/>
                <w:sz w:val="24"/>
                <w:szCs w:val="24"/>
                <w:lang w:val="en-US" w:eastAsia="zh-CN"/>
              </w:rPr>
              <w:t>51</w:t>
            </w:r>
            <w:r>
              <w:rPr>
                <w:rFonts w:hint="default" w:ascii="Times New Roman" w:hAnsi="Times New Roman" w:eastAsia="宋体" w:cs="Times New Roman"/>
                <w:color w:val="auto"/>
                <w:spacing w:val="0"/>
                <w:w w:val="100"/>
                <w:sz w:val="24"/>
                <w:szCs w:val="24"/>
                <w:lang w:eastAsia="zh-CN"/>
              </w:rPr>
              <w:t>t/a，排放速率</w:t>
            </w:r>
            <w:r>
              <w:rPr>
                <w:rFonts w:hint="default" w:ascii="Times New Roman" w:hAnsi="Times New Roman" w:eastAsia="宋体" w:cs="Times New Roman"/>
                <w:color w:val="auto"/>
                <w:spacing w:val="0"/>
                <w:w w:val="100"/>
                <w:sz w:val="24"/>
                <w:szCs w:val="24"/>
                <w:lang w:val="en-US" w:eastAsia="zh-CN"/>
              </w:rPr>
              <w:t>0.00</w:t>
            </w:r>
            <w:r>
              <w:rPr>
                <w:rFonts w:hint="eastAsia" w:ascii="Times New Roman" w:hAnsi="Times New Roman" w:eastAsia="宋体" w:cs="Times New Roman"/>
                <w:color w:val="auto"/>
                <w:spacing w:val="0"/>
                <w:w w:val="100"/>
                <w:sz w:val="24"/>
                <w:szCs w:val="24"/>
                <w:lang w:val="en-US" w:eastAsia="zh-CN"/>
              </w:rPr>
              <w:t>6</w:t>
            </w:r>
            <w:r>
              <w:rPr>
                <w:rFonts w:hint="default" w:ascii="Times New Roman" w:hAnsi="Times New Roman" w:eastAsia="宋体" w:cs="Times New Roman"/>
                <w:color w:val="auto"/>
                <w:spacing w:val="0"/>
                <w:w w:val="100"/>
                <w:sz w:val="24"/>
                <w:szCs w:val="24"/>
                <w:lang w:eastAsia="zh-CN"/>
              </w:rPr>
              <w:t>kg/h。</w:t>
            </w:r>
          </w:p>
          <w:p w14:paraId="31DA55C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left"/>
              <w:textAlignment w:val="auto"/>
              <w:rPr>
                <w:rFonts w:hint="default" w:ascii="Times New Roman" w:hAnsi="Times New Roman" w:eastAsia="宋体" w:cs="Times New Roman"/>
                <w:color w:val="auto"/>
                <w:spacing w:val="0"/>
                <w:w w:val="100"/>
                <w:sz w:val="24"/>
                <w:szCs w:val="22"/>
                <w:lang w:val="en-GB" w:eastAsia="zh-CN"/>
              </w:rPr>
            </w:pPr>
            <w:r>
              <w:rPr>
                <w:rFonts w:hint="default" w:ascii="Times New Roman" w:hAnsi="Times New Roman" w:eastAsia="宋体" w:cs="Times New Roman"/>
                <w:color w:val="auto"/>
                <w:spacing w:val="0"/>
                <w:w w:val="100"/>
                <w:sz w:val="24"/>
                <w:szCs w:val="22"/>
                <w:lang w:val="en-GB" w:eastAsia="zh-CN"/>
              </w:rPr>
              <w:t>（</w:t>
            </w:r>
            <w:r>
              <w:rPr>
                <w:rFonts w:hint="eastAsia" w:ascii="Times New Roman" w:hAnsi="Times New Roman" w:eastAsia="宋体" w:cs="Times New Roman"/>
                <w:color w:val="auto"/>
                <w:spacing w:val="0"/>
                <w:w w:val="100"/>
                <w:sz w:val="24"/>
                <w:szCs w:val="22"/>
                <w:lang w:val="en-US" w:eastAsia="zh-CN"/>
              </w:rPr>
              <w:t>2</w:t>
            </w:r>
            <w:r>
              <w:rPr>
                <w:rFonts w:hint="default" w:ascii="Times New Roman" w:hAnsi="Times New Roman" w:eastAsia="宋体" w:cs="Times New Roman"/>
                <w:color w:val="auto"/>
                <w:spacing w:val="0"/>
                <w:w w:val="100"/>
                <w:sz w:val="24"/>
                <w:szCs w:val="22"/>
                <w:lang w:val="en-GB" w:eastAsia="zh-CN"/>
              </w:rPr>
              <w:t>）废气处理可行性分析</w:t>
            </w:r>
          </w:p>
          <w:p w14:paraId="72F37536">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rPr>
              <w:t>根据《排污许可证</w:t>
            </w:r>
            <w:r>
              <w:rPr>
                <w:rFonts w:hint="default" w:ascii="Times New Roman" w:hAnsi="Times New Roman" w:eastAsia="宋体" w:cs="Times New Roman"/>
                <w:color w:val="auto"/>
                <w:spacing w:val="0"/>
                <w:w w:val="100"/>
                <w:kern w:val="2"/>
                <w:sz w:val="24"/>
                <w:szCs w:val="24"/>
                <w:u w:val="none"/>
                <w:lang w:val="en-US" w:eastAsia="zh-CN" w:bidi="ar-SA"/>
              </w:rPr>
              <w:t>申请与核发技术规范 水处理》（HJ978-2018）可知，污水处理恶臭气体污染防治可行技术如下：表5废气</w:t>
            </w:r>
            <w:r>
              <w:rPr>
                <w:rFonts w:hint="eastAsia" w:ascii="Times New Roman" w:hAnsi="Times New Roman" w:eastAsia="宋体" w:cs="Times New Roman"/>
                <w:color w:val="auto"/>
                <w:spacing w:val="0"/>
                <w:w w:val="100"/>
                <w:kern w:val="2"/>
                <w:sz w:val="24"/>
                <w:szCs w:val="24"/>
                <w:u w:val="none"/>
                <w:lang w:val="en-US" w:eastAsia="zh-CN" w:bidi="ar-SA"/>
              </w:rPr>
              <w:t>处理</w:t>
            </w:r>
            <w:r>
              <w:rPr>
                <w:rFonts w:hint="default" w:ascii="Times New Roman" w:hAnsi="Times New Roman" w:eastAsia="宋体" w:cs="Times New Roman"/>
                <w:color w:val="auto"/>
                <w:spacing w:val="0"/>
                <w:w w:val="100"/>
                <w:kern w:val="2"/>
                <w:sz w:val="24"/>
                <w:szCs w:val="24"/>
                <w:u w:val="none"/>
                <w:lang w:val="en-US" w:eastAsia="zh-CN" w:bidi="ar-SA"/>
              </w:rPr>
              <w:t>可行技术参照表，预处理段、污泥处理段等产生恶</w:t>
            </w:r>
            <w:r>
              <w:rPr>
                <w:rFonts w:hint="eastAsia" w:ascii="Times New Roman" w:hAnsi="Times New Roman" w:eastAsia="宋体" w:cs="Times New Roman"/>
                <w:color w:val="auto"/>
                <w:spacing w:val="0"/>
                <w:w w:val="100"/>
                <w:kern w:val="2"/>
                <w:sz w:val="24"/>
                <w:szCs w:val="24"/>
                <w:u w:val="none"/>
                <w:lang w:val="en-US" w:eastAsia="zh-CN" w:bidi="ar-SA"/>
              </w:rPr>
              <w:t>臭</w:t>
            </w:r>
            <w:r>
              <w:rPr>
                <w:rFonts w:hint="default" w:ascii="Times New Roman" w:hAnsi="Times New Roman" w:eastAsia="宋体" w:cs="Times New Roman"/>
                <w:color w:val="auto"/>
                <w:spacing w:val="0"/>
                <w:w w:val="100"/>
                <w:kern w:val="2"/>
                <w:sz w:val="24"/>
                <w:szCs w:val="24"/>
                <w:u w:val="none"/>
                <w:lang w:val="en-US" w:eastAsia="zh-CN" w:bidi="ar-SA"/>
              </w:rPr>
              <w:t>气体的工段，氨气硫化氢等恶臭气体应采取“生物过滤、化学洗涤、活性炭吸附”，</w:t>
            </w:r>
            <w:r>
              <w:rPr>
                <w:rFonts w:hint="default" w:ascii="Times New Roman" w:hAnsi="Times New Roman" w:cs="Times New Roman"/>
                <w:color w:val="auto"/>
                <w:spacing w:val="0"/>
                <w:w w:val="100"/>
                <w:sz w:val="24"/>
                <w:szCs w:val="24"/>
              </w:rPr>
              <w:t>本项目</w:t>
            </w:r>
            <w:r>
              <w:rPr>
                <w:rFonts w:hint="default" w:ascii="Times New Roman" w:hAnsi="Times New Roman" w:eastAsia="宋体" w:cs="Times New Roman"/>
                <w:color w:val="auto"/>
                <w:spacing w:val="0"/>
                <w:w w:val="100"/>
                <w:kern w:val="2"/>
                <w:sz w:val="24"/>
                <w:szCs w:val="24"/>
                <w:u w:val="none"/>
                <w:lang w:val="en-US" w:eastAsia="zh-CN" w:bidi="ar-SA"/>
              </w:rPr>
              <w:t>恶臭气体采用生物滤池除臭，因此，本项目采用的恶臭污染物去除技术可行。</w:t>
            </w:r>
          </w:p>
          <w:p w14:paraId="1C9E70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w:t>
            </w:r>
            <w:r>
              <w:rPr>
                <w:rFonts w:hint="eastAsia" w:ascii="Times New Roman" w:hAnsi="Times New Roman" w:eastAsia="宋体" w:cs="Times New Roman"/>
                <w:color w:val="auto"/>
                <w:spacing w:val="0"/>
                <w:w w:val="100"/>
                <w:sz w:val="24"/>
                <w:szCs w:val="24"/>
                <w:lang w:val="en-US" w:eastAsia="zh-CN"/>
              </w:rPr>
              <w:t>3</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非正常</w:t>
            </w:r>
            <w:r>
              <w:rPr>
                <w:rFonts w:hint="default" w:ascii="Times New Roman" w:hAnsi="Times New Roman" w:eastAsia="宋体" w:cs="Times New Roman"/>
                <w:color w:val="auto"/>
                <w:spacing w:val="0"/>
                <w:w w:val="100"/>
                <w:sz w:val="24"/>
                <w:szCs w:val="24"/>
                <w:lang w:eastAsia="zh-CN"/>
              </w:rPr>
              <w:t>情况</w:t>
            </w:r>
          </w:p>
          <w:p w14:paraId="5D2A8486">
            <w:pPr>
              <w:keepNext w:val="0"/>
              <w:keepLines w:val="0"/>
              <w:suppressLineNumbers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生产</w:t>
            </w:r>
            <w:r>
              <w:rPr>
                <w:rFonts w:hint="default" w:ascii="Times New Roman" w:hAnsi="Times New Roman" w:eastAsia="宋体" w:cs="Times New Roman"/>
                <w:color w:val="auto"/>
                <w:spacing w:val="0"/>
                <w:w w:val="100"/>
                <w:sz w:val="24"/>
                <w:szCs w:val="24"/>
              </w:rPr>
              <w:t>非正常</w:t>
            </w:r>
            <w:r>
              <w:rPr>
                <w:rFonts w:hint="default" w:ascii="Times New Roman" w:hAnsi="Times New Roman" w:eastAsia="宋体" w:cs="Times New Roman"/>
                <w:color w:val="auto"/>
                <w:spacing w:val="0"/>
                <w:w w:val="100"/>
                <w:sz w:val="24"/>
                <w:szCs w:val="24"/>
                <w:lang w:eastAsia="zh-CN"/>
              </w:rPr>
              <w:t>情况主要是</w:t>
            </w:r>
            <w:r>
              <w:rPr>
                <w:rFonts w:hint="default" w:ascii="Times New Roman" w:hAnsi="Times New Roman" w:eastAsia="宋体" w:cs="Times New Roman"/>
                <w:color w:val="auto"/>
                <w:spacing w:val="0"/>
                <w:w w:val="100"/>
                <w:sz w:val="24"/>
                <w:szCs w:val="24"/>
              </w:rPr>
              <w:t>停电或设备开停车、检修时，造成废气超标排放</w:t>
            </w:r>
            <w:r>
              <w:rPr>
                <w:rFonts w:hint="default" w:ascii="Times New Roman" w:hAnsi="Times New Roman" w:eastAsia="宋体" w:cs="Times New Roman"/>
                <w:color w:val="auto"/>
                <w:spacing w:val="0"/>
                <w:w w:val="100"/>
                <w:sz w:val="24"/>
                <w:szCs w:val="24"/>
                <w:lang w:eastAsia="zh-CN"/>
              </w:rPr>
              <w:t>，</w:t>
            </w:r>
            <w:r>
              <w:rPr>
                <w:rFonts w:hint="eastAsia" w:ascii="Times New Roman" w:hAnsi="Times New Roman" w:eastAsia="宋体" w:cs="Times New Roman"/>
                <w:color w:val="auto"/>
                <w:spacing w:val="0"/>
                <w:w w:val="100"/>
                <w:sz w:val="24"/>
                <w:szCs w:val="24"/>
                <w:lang w:eastAsia="zh-CN"/>
              </w:rPr>
              <w:t>以及停电时备用发电机产生的废气排放。</w:t>
            </w:r>
          </w:p>
          <w:p w14:paraId="739BDB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pacing w:val="0"/>
                <w:w w:val="100"/>
                <w:sz w:val="24"/>
                <w:szCs w:val="24"/>
              </w:rPr>
            </w:pPr>
            <w:r>
              <w:rPr>
                <w:rFonts w:hint="eastAsia" w:ascii="Times New Roman" w:hAnsi="Times New Roman" w:eastAsia="宋体" w:cs="Times New Roman"/>
                <w:color w:val="auto"/>
                <w:spacing w:val="0"/>
                <w:w w:val="100"/>
                <w:sz w:val="24"/>
                <w:szCs w:val="24"/>
                <w:lang w:eastAsia="zh-CN"/>
              </w:rPr>
              <w:t>（</w:t>
            </w:r>
            <w:r>
              <w:rPr>
                <w:rFonts w:hint="eastAsia" w:ascii="Times New Roman" w:hAnsi="Times New Roman" w:eastAsia="宋体" w:cs="Times New Roman"/>
                <w:color w:val="auto"/>
                <w:spacing w:val="0"/>
                <w:w w:val="100"/>
                <w:sz w:val="24"/>
                <w:szCs w:val="24"/>
                <w:lang w:val="en-US" w:eastAsia="zh-CN"/>
              </w:rPr>
              <w:t>4</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发电机废气</w:t>
            </w:r>
          </w:p>
          <w:p w14:paraId="4D7A65CC">
            <w:pPr>
              <w:keepNext w:val="0"/>
              <w:keepLines w:val="0"/>
              <w:suppressLineNumbers w:val="0"/>
              <w:spacing w:before="0" w:beforeAutospacing="0" w:after="60" w:afterAutospacing="0" w:line="360" w:lineRule="auto"/>
              <w:ind w:left="0" w:right="0" w:firstLine="480" w:firstLineChars="200"/>
              <w:rPr>
                <w:rFonts w:hint="eastAsia"/>
                <w:color w:val="auto"/>
                <w:sz w:val="24"/>
              </w:rPr>
            </w:pPr>
            <w:r>
              <w:rPr>
                <w:rFonts w:hint="default"/>
                <w:color w:val="auto"/>
                <w:sz w:val="24"/>
              </w:rPr>
              <w:t>项目在停电情况下</w:t>
            </w:r>
            <w:r>
              <w:rPr>
                <w:rFonts w:hint="eastAsia"/>
                <w:color w:val="auto"/>
                <w:sz w:val="24"/>
                <w:lang w:eastAsia="zh-CN"/>
              </w:rPr>
              <w:t>，污水处理厂</w:t>
            </w:r>
            <w:r>
              <w:rPr>
                <w:rFonts w:hint="default"/>
                <w:color w:val="auto"/>
                <w:sz w:val="24"/>
              </w:rPr>
              <w:t>配电房发电机运作将有少量燃油废气产生，为无组织间歇式排放。根</w:t>
            </w:r>
            <w:r>
              <w:rPr>
                <w:rFonts w:hint="default" w:ascii="Times New Roman" w:hAnsi="Times New Roman" w:cs="Times New Roman"/>
                <w:color w:val="auto"/>
                <w:sz w:val="24"/>
              </w:rPr>
              <w:t>据建设方提供的资料，项目采用备用柴油发电机在正常的工作条件下和使用寿命期内运行，CO、HC、NO</w:t>
            </w:r>
            <w:r>
              <w:rPr>
                <w:rFonts w:hint="default" w:ascii="Times New Roman" w:hAnsi="Times New Roman" w:cs="Times New Roman"/>
                <w:color w:val="auto"/>
                <w:sz w:val="24"/>
                <w:vertAlign w:val="subscript"/>
              </w:rPr>
              <w:t>X</w:t>
            </w:r>
            <w:r>
              <w:rPr>
                <w:rFonts w:hint="default" w:ascii="Times New Roman" w:hAnsi="Times New Roman" w:cs="Times New Roman"/>
                <w:color w:val="auto"/>
                <w:sz w:val="24"/>
              </w:rPr>
              <w:t>以及烟尘的排放量较少，</w:t>
            </w:r>
            <w:r>
              <w:rPr>
                <w:rFonts w:hint="default" w:ascii="Times New Roman" w:hAnsi="Times New Roman" w:cs="Times New Roman"/>
                <w:color w:val="auto"/>
                <w:sz w:val="24"/>
                <w:lang w:eastAsia="zh-CN"/>
              </w:rPr>
              <w:t>项目</w:t>
            </w:r>
            <w:r>
              <w:rPr>
                <w:rFonts w:hint="default" w:ascii="Times New Roman" w:hAnsi="Times New Roman" w:cs="Times New Roman"/>
                <w:color w:val="auto"/>
                <w:sz w:val="24"/>
              </w:rPr>
              <w:t>位于</w:t>
            </w:r>
            <w:r>
              <w:rPr>
                <w:rFonts w:hint="eastAsia" w:ascii="Times New Roman" w:hAnsi="Times New Roman" w:cs="Times New Roman"/>
                <w:color w:val="auto"/>
                <w:sz w:val="24"/>
                <w:lang w:eastAsia="zh-CN"/>
              </w:rPr>
              <w:t>陇县</w:t>
            </w:r>
            <w:r>
              <w:rPr>
                <w:rFonts w:hint="default" w:ascii="Times New Roman" w:hAnsi="Times New Roman" w:cs="Times New Roman"/>
                <w:color w:val="auto"/>
                <w:sz w:val="24"/>
                <w:lang w:eastAsia="zh-CN"/>
              </w:rPr>
              <w:t>两亭镇</w:t>
            </w:r>
            <w:r>
              <w:rPr>
                <w:rFonts w:hint="default" w:ascii="Times New Roman" w:hAnsi="Times New Roman" w:cs="Times New Roman"/>
                <w:color w:val="auto"/>
                <w:sz w:val="24"/>
              </w:rPr>
              <w:t>，供电系统较完善，每年停电的几率</w:t>
            </w:r>
            <w:r>
              <w:rPr>
                <w:rFonts w:hint="eastAsia" w:ascii="Times New Roman" w:hAnsi="Times New Roman" w:cs="Times New Roman"/>
                <w:color w:val="auto"/>
                <w:sz w:val="24"/>
                <w:lang w:eastAsia="zh-CN"/>
              </w:rPr>
              <w:t>极小</w:t>
            </w:r>
            <w:r>
              <w:rPr>
                <w:rFonts w:hint="default"/>
                <w:color w:val="auto"/>
                <w:sz w:val="24"/>
              </w:rPr>
              <w:t>，故项目备用发电机燃油废气产生量较少。</w:t>
            </w:r>
          </w:p>
          <w:p w14:paraId="0F7E0B9E">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lang w:eastAsia="zh-CN"/>
              </w:rPr>
              <w:t>主要见下表</w:t>
            </w:r>
            <w:r>
              <w:rPr>
                <w:rFonts w:hint="default" w:ascii="Times New Roman" w:hAnsi="Times New Roman" w:eastAsia="宋体" w:cs="Times New Roman"/>
                <w:color w:val="auto"/>
                <w:spacing w:val="0"/>
                <w:w w:val="100"/>
                <w:sz w:val="24"/>
                <w:szCs w:val="24"/>
                <w:lang w:eastAsia="zh-CN"/>
              </w:rPr>
              <w:t>。</w:t>
            </w:r>
          </w:p>
          <w:p w14:paraId="2CACBE88">
            <w:pPr>
              <w:keepNext w:val="0"/>
              <w:keepLines w:val="0"/>
              <w:suppressLineNumbers w:val="0"/>
              <w:spacing w:before="0" w:beforeAutospacing="0" w:after="0" w:afterAutospacing="0"/>
              <w:ind w:left="0" w:right="0" w:firstLine="420" w:firstLineChars="200"/>
              <w:jc w:val="center"/>
              <w:rPr>
                <w:rFonts w:hint="default" w:ascii="Times New Roman" w:hAnsi="Times New Roman" w:cs="Times New Roman"/>
                <w:color w:val="auto"/>
                <w:spacing w:val="0"/>
                <w:w w:val="100"/>
                <w:lang w:eastAsia="zh-CN"/>
              </w:rPr>
            </w:pPr>
            <w:r>
              <w:rPr>
                <w:rFonts w:hint="default" w:ascii="Times New Roman" w:hAnsi="Times New Roman" w:eastAsia="宋体" w:cs="Times New Roman"/>
                <w:color w:val="auto"/>
                <w:spacing w:val="0"/>
                <w:w w:val="100"/>
                <w:sz w:val="21"/>
                <w:szCs w:val="21"/>
              </w:rPr>
              <w:t>表</w:t>
            </w:r>
            <w:r>
              <w:rPr>
                <w:rFonts w:hint="eastAsia" w:ascii="Times New Roman" w:hAnsi="Times New Roman" w:eastAsia="宋体" w:cs="Times New Roman"/>
                <w:color w:val="auto"/>
                <w:spacing w:val="0"/>
                <w:w w:val="100"/>
                <w:sz w:val="21"/>
                <w:szCs w:val="21"/>
                <w:lang w:val="en-US" w:eastAsia="zh-CN"/>
              </w:rPr>
              <w:t>4-8</w:t>
            </w:r>
            <w:r>
              <w:rPr>
                <w:rFonts w:hint="default" w:ascii="Times New Roman" w:hAnsi="Times New Roman" w:eastAsia="宋体" w:cs="Times New Roman"/>
                <w:color w:val="auto"/>
                <w:spacing w:val="0"/>
                <w:w w:val="100"/>
                <w:sz w:val="21"/>
                <w:szCs w:val="21"/>
                <w:lang w:val="en-US" w:eastAsia="zh-CN"/>
              </w:rPr>
              <w:t xml:space="preserve">   </w:t>
            </w:r>
            <w:r>
              <w:rPr>
                <w:rFonts w:hint="default" w:ascii="Times New Roman" w:hAnsi="Times New Roman" w:eastAsia="宋体" w:cs="Times New Roman"/>
                <w:color w:val="auto"/>
                <w:spacing w:val="0"/>
                <w:w w:val="100"/>
                <w:sz w:val="21"/>
                <w:szCs w:val="21"/>
                <w:lang w:eastAsia="zh-CN"/>
              </w:rPr>
              <w:t>项目</w:t>
            </w:r>
            <w:r>
              <w:rPr>
                <w:rFonts w:hint="default" w:ascii="Times New Roman" w:hAnsi="Times New Roman" w:eastAsia="宋体" w:cs="Times New Roman"/>
                <w:color w:val="auto"/>
                <w:spacing w:val="0"/>
                <w:w w:val="100"/>
                <w:sz w:val="21"/>
                <w:szCs w:val="21"/>
              </w:rPr>
              <w:t>污染物</w:t>
            </w:r>
            <w:r>
              <w:rPr>
                <w:rFonts w:hint="default" w:ascii="Times New Roman" w:hAnsi="Times New Roman" w:eastAsia="宋体" w:cs="Times New Roman"/>
                <w:color w:val="auto"/>
                <w:spacing w:val="0"/>
                <w:w w:val="100"/>
                <w:sz w:val="21"/>
                <w:szCs w:val="21"/>
                <w:lang w:eastAsia="zh-CN"/>
              </w:rPr>
              <w:t>产</w:t>
            </w:r>
            <w:r>
              <w:rPr>
                <w:rFonts w:hint="default" w:ascii="Times New Roman" w:hAnsi="Times New Roman" w:eastAsia="宋体" w:cs="Times New Roman"/>
                <w:color w:val="auto"/>
                <w:spacing w:val="0"/>
                <w:w w:val="100"/>
                <w:sz w:val="21"/>
                <w:szCs w:val="21"/>
              </w:rPr>
              <w:t>排情况一览表</w:t>
            </w:r>
          </w:p>
          <w:tbl>
            <w:tblPr>
              <w:tblStyle w:val="21"/>
              <w:tblW w:w="491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023"/>
              <w:gridCol w:w="1088"/>
              <w:gridCol w:w="1099"/>
              <w:gridCol w:w="1109"/>
              <w:gridCol w:w="673"/>
              <w:gridCol w:w="1042"/>
              <w:gridCol w:w="2011"/>
            </w:tblGrid>
            <w:tr w14:paraId="743DB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420" w:type="pct"/>
                  <w:tcBorders>
                    <w:tl2br w:val="nil"/>
                    <w:tr2bl w:val="nil"/>
                  </w:tcBorders>
                  <w:noWrap w:val="0"/>
                  <w:vAlign w:val="center"/>
                </w:tcPr>
                <w:p w14:paraId="6A7E04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产污环节</w:t>
                  </w:r>
                </w:p>
              </w:tc>
              <w:tc>
                <w:tcPr>
                  <w:tcW w:w="582" w:type="pct"/>
                  <w:tcBorders>
                    <w:tl2br w:val="nil"/>
                    <w:tr2bl w:val="nil"/>
                  </w:tcBorders>
                  <w:noWrap w:val="0"/>
                  <w:vAlign w:val="center"/>
                </w:tcPr>
                <w:p w14:paraId="115394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污染物</w:t>
                  </w:r>
                  <w:r>
                    <w:rPr>
                      <w:rFonts w:hint="default" w:ascii="Times New Roman" w:hAnsi="Times New Roman" w:eastAsia="宋体" w:cs="Times New Roman"/>
                      <w:b w:val="0"/>
                      <w:bCs w:val="0"/>
                      <w:color w:val="auto"/>
                      <w:spacing w:val="0"/>
                      <w:w w:val="100"/>
                      <w:sz w:val="21"/>
                      <w:szCs w:val="21"/>
                      <w:lang w:eastAsia="zh-CN"/>
                    </w:rPr>
                    <w:t>种类</w:t>
                  </w:r>
                </w:p>
              </w:tc>
              <w:tc>
                <w:tcPr>
                  <w:tcW w:w="619" w:type="pct"/>
                  <w:tcBorders>
                    <w:tl2br w:val="nil"/>
                    <w:tr2bl w:val="nil"/>
                  </w:tcBorders>
                  <w:noWrap w:val="0"/>
                  <w:vAlign w:val="center"/>
                </w:tcPr>
                <w:p w14:paraId="3D9DF3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产生量（</w:t>
                  </w:r>
                  <w:r>
                    <w:rPr>
                      <w:rFonts w:hint="default" w:ascii="Times New Roman" w:hAnsi="Times New Roman" w:eastAsia="宋体" w:cs="Times New Roman"/>
                      <w:b w:val="0"/>
                      <w:bCs w:val="0"/>
                      <w:color w:val="auto"/>
                      <w:spacing w:val="0"/>
                      <w:w w:val="100"/>
                      <w:sz w:val="21"/>
                      <w:szCs w:val="21"/>
                      <w:lang w:val="en-US" w:eastAsia="zh-CN"/>
                    </w:rPr>
                    <w:t>kg</w:t>
                  </w:r>
                  <w:r>
                    <w:rPr>
                      <w:rFonts w:hint="default" w:ascii="Times New Roman" w:hAnsi="Times New Roman" w:eastAsia="宋体" w:cs="Times New Roman"/>
                      <w:b w:val="0"/>
                      <w:bCs w:val="0"/>
                      <w:color w:val="auto"/>
                      <w:spacing w:val="0"/>
                      <w:w w:val="100"/>
                      <w:sz w:val="21"/>
                      <w:szCs w:val="21"/>
                    </w:rPr>
                    <w:t>）</w:t>
                  </w:r>
                </w:p>
              </w:tc>
              <w:tc>
                <w:tcPr>
                  <w:tcW w:w="625" w:type="pct"/>
                  <w:tcBorders>
                    <w:tl2br w:val="nil"/>
                    <w:tr2bl w:val="nil"/>
                  </w:tcBorders>
                  <w:noWrap w:val="0"/>
                  <w:vAlign w:val="center"/>
                </w:tcPr>
                <w:p w14:paraId="5F449D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lang w:eastAsia="zh-CN"/>
                    </w:rPr>
                    <w:t>产生速率（</w:t>
                  </w:r>
                  <w:r>
                    <w:rPr>
                      <w:rFonts w:hint="default" w:ascii="Times New Roman" w:hAnsi="Times New Roman" w:eastAsia="宋体" w:cs="Times New Roman"/>
                      <w:b w:val="0"/>
                      <w:bCs w:val="0"/>
                      <w:color w:val="auto"/>
                      <w:spacing w:val="0"/>
                      <w:w w:val="100"/>
                      <w:sz w:val="21"/>
                      <w:szCs w:val="21"/>
                      <w:lang w:val="en-US" w:eastAsia="zh-CN"/>
                    </w:rPr>
                    <w:t>kg/h</w:t>
                  </w:r>
                  <w:r>
                    <w:rPr>
                      <w:rFonts w:hint="default" w:ascii="Times New Roman" w:hAnsi="Times New Roman" w:eastAsia="宋体" w:cs="Times New Roman"/>
                      <w:b w:val="0"/>
                      <w:bCs w:val="0"/>
                      <w:color w:val="auto"/>
                      <w:spacing w:val="0"/>
                      <w:w w:val="100"/>
                      <w:sz w:val="21"/>
                      <w:szCs w:val="21"/>
                      <w:lang w:eastAsia="zh-CN"/>
                    </w:rPr>
                    <w:t>）</w:t>
                  </w:r>
                </w:p>
              </w:tc>
              <w:tc>
                <w:tcPr>
                  <w:tcW w:w="631" w:type="pct"/>
                  <w:tcBorders>
                    <w:tl2br w:val="nil"/>
                    <w:tr2bl w:val="nil"/>
                  </w:tcBorders>
                  <w:noWrap w:val="0"/>
                  <w:vAlign w:val="center"/>
                </w:tcPr>
                <w:p w14:paraId="2D3826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排放量（</w:t>
                  </w:r>
                  <w:r>
                    <w:rPr>
                      <w:rFonts w:hint="default" w:ascii="Times New Roman" w:hAnsi="Times New Roman" w:eastAsia="宋体" w:cs="Times New Roman"/>
                      <w:b w:val="0"/>
                      <w:bCs w:val="0"/>
                      <w:color w:val="auto"/>
                      <w:spacing w:val="0"/>
                      <w:w w:val="100"/>
                      <w:sz w:val="21"/>
                      <w:szCs w:val="21"/>
                      <w:lang w:val="en-US" w:eastAsia="zh-CN"/>
                    </w:rPr>
                    <w:t>kg</w:t>
                  </w:r>
                  <w:r>
                    <w:rPr>
                      <w:rFonts w:hint="default" w:ascii="Times New Roman" w:hAnsi="Times New Roman" w:eastAsia="宋体" w:cs="Times New Roman"/>
                      <w:b w:val="0"/>
                      <w:bCs w:val="0"/>
                      <w:color w:val="auto"/>
                      <w:spacing w:val="0"/>
                      <w:w w:val="100"/>
                      <w:sz w:val="21"/>
                      <w:szCs w:val="21"/>
                    </w:rPr>
                    <w:t>）</w:t>
                  </w:r>
                </w:p>
              </w:tc>
              <w:tc>
                <w:tcPr>
                  <w:tcW w:w="383" w:type="pct"/>
                  <w:tcBorders>
                    <w:tl2br w:val="nil"/>
                    <w:tr2bl w:val="nil"/>
                  </w:tcBorders>
                  <w:noWrap w:val="0"/>
                  <w:vAlign w:val="center"/>
                </w:tcPr>
                <w:p w14:paraId="55E712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持续时间</w:t>
                  </w:r>
                </w:p>
              </w:tc>
              <w:tc>
                <w:tcPr>
                  <w:tcW w:w="593" w:type="pct"/>
                  <w:tcBorders>
                    <w:tl2br w:val="nil"/>
                    <w:tr2bl w:val="nil"/>
                  </w:tcBorders>
                  <w:noWrap w:val="0"/>
                  <w:vAlign w:val="center"/>
                </w:tcPr>
                <w:p w14:paraId="5A27D0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排放速率（</w:t>
                  </w:r>
                  <w:r>
                    <w:rPr>
                      <w:rFonts w:hint="default" w:ascii="Times New Roman" w:hAnsi="Times New Roman" w:eastAsia="宋体" w:cs="Times New Roman"/>
                      <w:b w:val="0"/>
                      <w:bCs w:val="0"/>
                      <w:color w:val="auto"/>
                      <w:spacing w:val="0"/>
                      <w:w w:val="100"/>
                      <w:sz w:val="21"/>
                      <w:szCs w:val="21"/>
                      <w:lang w:val="en-US" w:eastAsia="zh-CN"/>
                    </w:rPr>
                    <w:t>kg/h</w:t>
                  </w:r>
                  <w:r>
                    <w:rPr>
                      <w:rFonts w:hint="default" w:ascii="Times New Roman" w:hAnsi="Times New Roman" w:eastAsia="宋体" w:cs="Times New Roman"/>
                      <w:b w:val="0"/>
                      <w:bCs w:val="0"/>
                      <w:color w:val="auto"/>
                      <w:spacing w:val="0"/>
                      <w:w w:val="100"/>
                      <w:sz w:val="21"/>
                      <w:szCs w:val="21"/>
                      <w:lang w:eastAsia="zh-CN"/>
                    </w:rPr>
                    <w:t>）</w:t>
                  </w:r>
                </w:p>
              </w:tc>
              <w:tc>
                <w:tcPr>
                  <w:tcW w:w="1144" w:type="pct"/>
                  <w:tcBorders>
                    <w:tl2br w:val="nil"/>
                    <w:tr2bl w:val="nil"/>
                  </w:tcBorders>
                  <w:noWrap w:val="0"/>
                  <w:vAlign w:val="center"/>
                </w:tcPr>
                <w:p w14:paraId="481E21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措施</w:t>
                  </w:r>
                </w:p>
              </w:tc>
            </w:tr>
            <w:tr w14:paraId="049FF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420" w:type="pct"/>
                  <w:vMerge w:val="restart"/>
                  <w:tcBorders>
                    <w:tl2br w:val="nil"/>
                    <w:tr2bl w:val="nil"/>
                  </w:tcBorders>
                  <w:noWrap w:val="0"/>
                  <w:vAlign w:val="center"/>
                </w:tcPr>
                <w:p w14:paraId="6ADFC0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污水处理</w:t>
                  </w:r>
                </w:p>
              </w:tc>
              <w:tc>
                <w:tcPr>
                  <w:tcW w:w="582" w:type="pct"/>
                  <w:tcBorders>
                    <w:tl2br w:val="nil"/>
                    <w:tr2bl w:val="nil"/>
                  </w:tcBorders>
                  <w:noWrap w:val="0"/>
                  <w:vAlign w:val="center"/>
                </w:tcPr>
                <w:p w14:paraId="05655A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lang w:val="en-US" w:eastAsia="zh-CN"/>
                    </w:rPr>
                    <w:t>NH</w:t>
                  </w:r>
                  <w:r>
                    <w:rPr>
                      <w:rFonts w:hint="default" w:ascii="Times New Roman" w:hAnsi="Times New Roman" w:eastAsia="宋体" w:cs="Times New Roman"/>
                      <w:color w:val="auto"/>
                      <w:spacing w:val="0"/>
                      <w:w w:val="100"/>
                      <w:sz w:val="21"/>
                      <w:szCs w:val="21"/>
                      <w:vertAlign w:val="subscript"/>
                      <w:lang w:val="en-US" w:eastAsia="zh-CN"/>
                    </w:rPr>
                    <w:t>3</w:t>
                  </w:r>
                </w:p>
              </w:tc>
              <w:tc>
                <w:tcPr>
                  <w:tcW w:w="1088" w:type="dxa"/>
                  <w:tcBorders>
                    <w:tl2br w:val="nil"/>
                    <w:tr2bl w:val="nil"/>
                  </w:tcBorders>
                  <w:noWrap w:val="0"/>
                  <w:vAlign w:val="center"/>
                </w:tcPr>
                <w:p w14:paraId="43B09D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116</w:t>
                  </w:r>
                </w:p>
              </w:tc>
              <w:tc>
                <w:tcPr>
                  <w:tcW w:w="1099" w:type="dxa"/>
                  <w:tcBorders>
                    <w:tl2br w:val="nil"/>
                    <w:tr2bl w:val="nil"/>
                  </w:tcBorders>
                  <w:noWrap w:val="0"/>
                  <w:vAlign w:val="center"/>
                </w:tcPr>
                <w:p w14:paraId="235B3AB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116</w:t>
                  </w:r>
                </w:p>
              </w:tc>
              <w:tc>
                <w:tcPr>
                  <w:tcW w:w="1109" w:type="dxa"/>
                  <w:tcBorders>
                    <w:tl2br w:val="nil"/>
                    <w:tr2bl w:val="nil"/>
                  </w:tcBorders>
                  <w:noWrap w:val="0"/>
                  <w:vAlign w:val="center"/>
                </w:tcPr>
                <w:p w14:paraId="7313E6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116</w:t>
                  </w:r>
                </w:p>
              </w:tc>
              <w:tc>
                <w:tcPr>
                  <w:tcW w:w="383" w:type="pct"/>
                  <w:vMerge w:val="restart"/>
                  <w:tcBorders>
                    <w:tl2br w:val="nil"/>
                    <w:tr2bl w:val="nil"/>
                  </w:tcBorders>
                  <w:noWrap w:val="0"/>
                  <w:vAlign w:val="center"/>
                </w:tcPr>
                <w:p w14:paraId="48CD61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1h</w:t>
                  </w:r>
                </w:p>
              </w:tc>
              <w:tc>
                <w:tcPr>
                  <w:tcW w:w="1042" w:type="dxa"/>
                  <w:tcBorders>
                    <w:tl2br w:val="nil"/>
                    <w:tr2bl w:val="nil"/>
                  </w:tcBorders>
                  <w:noWrap w:val="0"/>
                  <w:vAlign w:val="center"/>
                </w:tcPr>
                <w:p w14:paraId="58D318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116</w:t>
                  </w:r>
                </w:p>
              </w:tc>
              <w:tc>
                <w:tcPr>
                  <w:tcW w:w="1144" w:type="pct"/>
                  <w:vMerge w:val="restart"/>
                  <w:tcBorders>
                    <w:tl2br w:val="nil"/>
                    <w:tr2bl w:val="nil"/>
                  </w:tcBorders>
                  <w:noWrap w:val="0"/>
                  <w:vAlign w:val="center"/>
                </w:tcPr>
                <w:p w14:paraId="39EFC4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加强废气处理设施的运营维护，定期检查</w:t>
                  </w:r>
                </w:p>
              </w:tc>
            </w:tr>
            <w:tr w14:paraId="05CE3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420" w:type="pct"/>
                  <w:vMerge w:val="continue"/>
                  <w:tcBorders>
                    <w:tl2br w:val="nil"/>
                    <w:tr2bl w:val="nil"/>
                  </w:tcBorders>
                  <w:noWrap w:val="0"/>
                  <w:vAlign w:val="center"/>
                </w:tcPr>
                <w:p w14:paraId="3727DB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p>
              </w:tc>
              <w:tc>
                <w:tcPr>
                  <w:tcW w:w="582" w:type="pct"/>
                  <w:tcBorders>
                    <w:tl2br w:val="nil"/>
                    <w:tr2bl w:val="nil"/>
                  </w:tcBorders>
                  <w:noWrap w:val="0"/>
                  <w:vAlign w:val="center"/>
                </w:tcPr>
                <w:p w14:paraId="693A82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H</w:t>
                  </w:r>
                  <w:r>
                    <w:rPr>
                      <w:rFonts w:hint="default" w:ascii="Times New Roman" w:hAnsi="Times New Roman" w:eastAsia="宋体" w:cs="Times New Roman"/>
                      <w:color w:val="auto"/>
                      <w:spacing w:val="0"/>
                      <w:w w:val="100"/>
                      <w:sz w:val="21"/>
                      <w:szCs w:val="21"/>
                      <w:vertAlign w:val="subscript"/>
                      <w:lang w:val="en-US" w:eastAsia="zh-CN"/>
                    </w:rPr>
                    <w:t>2</w:t>
                  </w:r>
                  <w:r>
                    <w:rPr>
                      <w:rFonts w:hint="default" w:ascii="Times New Roman" w:hAnsi="Times New Roman" w:eastAsia="宋体" w:cs="Times New Roman"/>
                      <w:color w:val="auto"/>
                      <w:spacing w:val="0"/>
                      <w:w w:val="100"/>
                      <w:sz w:val="21"/>
                      <w:szCs w:val="21"/>
                      <w:lang w:val="en-US" w:eastAsia="zh-CN"/>
                    </w:rPr>
                    <w:t>S</w:t>
                  </w:r>
                </w:p>
              </w:tc>
              <w:tc>
                <w:tcPr>
                  <w:tcW w:w="1088" w:type="dxa"/>
                  <w:tcBorders>
                    <w:tl2br w:val="nil"/>
                    <w:tr2bl w:val="nil"/>
                  </w:tcBorders>
                  <w:noWrap w:val="0"/>
                  <w:vAlign w:val="center"/>
                </w:tcPr>
                <w:p w14:paraId="7CDF2C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i w:val="0"/>
                      <w:iCs w:val="0"/>
                      <w:color w:val="auto"/>
                      <w:kern w:val="0"/>
                      <w:sz w:val="21"/>
                      <w:szCs w:val="21"/>
                      <w:u w:val="none"/>
                      <w:lang w:val="en-US" w:eastAsia="zh-CN" w:bidi="ar"/>
                    </w:rPr>
                    <w:t>0.049</w:t>
                  </w:r>
                </w:p>
              </w:tc>
              <w:tc>
                <w:tcPr>
                  <w:tcW w:w="1099" w:type="dxa"/>
                  <w:tcBorders>
                    <w:tl2br w:val="nil"/>
                    <w:tr2bl w:val="nil"/>
                  </w:tcBorders>
                  <w:noWrap w:val="0"/>
                  <w:vAlign w:val="center"/>
                </w:tcPr>
                <w:p w14:paraId="40C40E8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i w:val="0"/>
                      <w:iCs w:val="0"/>
                      <w:color w:val="auto"/>
                      <w:kern w:val="0"/>
                      <w:sz w:val="21"/>
                      <w:szCs w:val="21"/>
                      <w:u w:val="none"/>
                      <w:lang w:val="en-US" w:eastAsia="zh-CN" w:bidi="ar"/>
                    </w:rPr>
                    <w:t>0.049</w:t>
                  </w:r>
                </w:p>
              </w:tc>
              <w:tc>
                <w:tcPr>
                  <w:tcW w:w="1109" w:type="dxa"/>
                  <w:tcBorders>
                    <w:tl2br w:val="nil"/>
                    <w:tr2bl w:val="nil"/>
                  </w:tcBorders>
                  <w:noWrap w:val="0"/>
                  <w:vAlign w:val="center"/>
                </w:tcPr>
                <w:p w14:paraId="57A75E9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i w:val="0"/>
                      <w:iCs w:val="0"/>
                      <w:color w:val="auto"/>
                      <w:kern w:val="0"/>
                      <w:sz w:val="21"/>
                      <w:szCs w:val="21"/>
                      <w:u w:val="none"/>
                      <w:lang w:val="en-US" w:eastAsia="zh-CN" w:bidi="ar"/>
                    </w:rPr>
                    <w:t>0.049</w:t>
                  </w:r>
                </w:p>
              </w:tc>
              <w:tc>
                <w:tcPr>
                  <w:tcW w:w="383" w:type="pct"/>
                  <w:vMerge w:val="continue"/>
                  <w:tcBorders>
                    <w:tl2br w:val="nil"/>
                    <w:tr2bl w:val="nil"/>
                  </w:tcBorders>
                  <w:noWrap w:val="0"/>
                  <w:vAlign w:val="center"/>
                </w:tcPr>
                <w:p w14:paraId="664D5E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val="en-US" w:eastAsia="zh-CN"/>
                    </w:rPr>
                  </w:pPr>
                </w:p>
              </w:tc>
              <w:tc>
                <w:tcPr>
                  <w:tcW w:w="1042" w:type="dxa"/>
                  <w:tcBorders>
                    <w:tl2br w:val="nil"/>
                    <w:tr2bl w:val="nil"/>
                  </w:tcBorders>
                  <w:noWrap w:val="0"/>
                  <w:vAlign w:val="center"/>
                </w:tcPr>
                <w:p w14:paraId="3E46C93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i w:val="0"/>
                      <w:iCs w:val="0"/>
                      <w:color w:val="auto"/>
                      <w:kern w:val="0"/>
                      <w:sz w:val="21"/>
                      <w:szCs w:val="21"/>
                      <w:u w:val="none"/>
                      <w:lang w:val="en-US" w:eastAsia="zh-CN" w:bidi="ar"/>
                    </w:rPr>
                    <w:t>0.049</w:t>
                  </w:r>
                </w:p>
              </w:tc>
              <w:tc>
                <w:tcPr>
                  <w:tcW w:w="1144" w:type="pct"/>
                  <w:vMerge w:val="continue"/>
                  <w:tcBorders>
                    <w:tl2br w:val="nil"/>
                    <w:tr2bl w:val="nil"/>
                  </w:tcBorders>
                  <w:noWrap w:val="0"/>
                  <w:vAlign w:val="center"/>
                </w:tcPr>
                <w:p w14:paraId="397AE0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p>
              </w:tc>
            </w:tr>
          </w:tbl>
          <w:p w14:paraId="1E540B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非正常情况下比正常工况下各污染物</w:t>
            </w:r>
            <w:r>
              <w:rPr>
                <w:rFonts w:hint="default" w:ascii="Times New Roman" w:hAnsi="Times New Roman" w:cs="Times New Roman"/>
                <w:color w:val="auto"/>
                <w:spacing w:val="0"/>
                <w:w w:val="100"/>
                <w:sz w:val="24"/>
                <w:szCs w:val="24"/>
                <w:lang w:eastAsia="zh-CN"/>
              </w:rPr>
              <w:t>排放量</w:t>
            </w:r>
            <w:r>
              <w:rPr>
                <w:rFonts w:hint="default" w:ascii="Times New Roman" w:hAnsi="Times New Roman" w:cs="Times New Roman"/>
                <w:color w:val="auto"/>
                <w:spacing w:val="0"/>
                <w:w w:val="100"/>
                <w:sz w:val="24"/>
                <w:szCs w:val="24"/>
              </w:rPr>
              <w:t>明显偏大，各污染物排放浓度较正常状态下</w:t>
            </w:r>
            <w:r>
              <w:rPr>
                <w:rFonts w:hint="default" w:ascii="Times New Roman" w:hAnsi="Times New Roman" w:cs="Times New Roman"/>
                <w:color w:val="auto"/>
                <w:spacing w:val="0"/>
                <w:w w:val="100"/>
                <w:sz w:val="24"/>
                <w:szCs w:val="24"/>
                <w:lang w:eastAsia="zh-CN"/>
              </w:rPr>
              <w:t>排放量</w:t>
            </w:r>
            <w:r>
              <w:rPr>
                <w:rFonts w:hint="default" w:ascii="Times New Roman" w:hAnsi="Times New Roman" w:cs="Times New Roman"/>
                <w:color w:val="auto"/>
                <w:spacing w:val="0"/>
                <w:w w:val="100"/>
                <w:sz w:val="24"/>
                <w:szCs w:val="24"/>
              </w:rPr>
              <w:t>较多。因此要求建设单位要严格控制生产，加强废气处理设施的运营维护，定期检查，当出现非正常</w:t>
            </w:r>
            <w:r>
              <w:rPr>
                <w:rFonts w:hint="default" w:ascii="Times New Roman" w:hAnsi="Times New Roman" w:eastAsia="宋体" w:cs="Times New Roman"/>
                <w:color w:val="auto"/>
                <w:spacing w:val="0"/>
                <w:w w:val="100"/>
                <w:sz w:val="24"/>
                <w:szCs w:val="24"/>
              </w:rPr>
              <w:t>排放</w:t>
            </w:r>
            <w:r>
              <w:rPr>
                <w:rFonts w:hint="default" w:ascii="Times New Roman" w:hAnsi="Times New Roman" w:cs="Times New Roman"/>
                <w:color w:val="auto"/>
                <w:spacing w:val="0"/>
                <w:w w:val="100"/>
                <w:sz w:val="24"/>
                <w:szCs w:val="24"/>
              </w:rPr>
              <w:t>时，建设单位应采取紧急处理措施，及时维修</w:t>
            </w:r>
            <w:r>
              <w:rPr>
                <w:rFonts w:hint="default" w:ascii="Times New Roman" w:hAnsi="Times New Roman" w:cs="Times New Roman"/>
                <w:color w:val="auto"/>
                <w:spacing w:val="0"/>
                <w:w w:val="100"/>
                <w:sz w:val="24"/>
                <w:szCs w:val="24"/>
                <w:lang w:eastAsia="zh-CN"/>
              </w:rPr>
              <w:t>减少</w:t>
            </w:r>
            <w:r>
              <w:rPr>
                <w:rFonts w:hint="default" w:ascii="Times New Roman" w:hAnsi="Times New Roman" w:cs="Times New Roman"/>
                <w:color w:val="auto"/>
                <w:spacing w:val="0"/>
                <w:w w:val="100"/>
                <w:sz w:val="24"/>
                <w:szCs w:val="24"/>
              </w:rPr>
              <w:t>非正常排放。</w:t>
            </w:r>
          </w:p>
          <w:p w14:paraId="6C593786">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2"/>
                <w:lang w:val="en-GB" w:eastAsia="zh-CN"/>
              </w:rPr>
            </w:pPr>
            <w:r>
              <w:rPr>
                <w:rFonts w:hint="default" w:ascii="Times New Roman" w:hAnsi="Times New Roman" w:eastAsia="宋体" w:cs="Times New Roman"/>
                <w:color w:val="auto"/>
                <w:spacing w:val="0"/>
                <w:w w:val="100"/>
                <w:sz w:val="24"/>
                <w:szCs w:val="22"/>
                <w:lang w:val="en-GB" w:eastAsia="zh-CN"/>
              </w:rPr>
              <w:t>（</w:t>
            </w:r>
            <w:r>
              <w:rPr>
                <w:rFonts w:hint="eastAsia" w:ascii="Times New Roman" w:hAnsi="Times New Roman" w:eastAsia="宋体" w:cs="Times New Roman"/>
                <w:color w:val="auto"/>
                <w:spacing w:val="0"/>
                <w:w w:val="100"/>
                <w:sz w:val="24"/>
                <w:szCs w:val="22"/>
                <w:lang w:val="en-US" w:eastAsia="zh-CN"/>
              </w:rPr>
              <w:t>5</w:t>
            </w:r>
            <w:r>
              <w:rPr>
                <w:rFonts w:hint="default" w:ascii="Times New Roman" w:hAnsi="Times New Roman" w:eastAsia="宋体" w:cs="Times New Roman"/>
                <w:color w:val="auto"/>
                <w:spacing w:val="0"/>
                <w:w w:val="100"/>
                <w:sz w:val="24"/>
                <w:szCs w:val="22"/>
                <w:lang w:val="en-GB" w:eastAsia="zh-CN"/>
              </w:rPr>
              <w:t>）结论</w:t>
            </w:r>
          </w:p>
          <w:p w14:paraId="395A72F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lang w:val="en-GB"/>
              </w:rPr>
            </w:pPr>
            <w:r>
              <w:rPr>
                <w:rFonts w:hint="default" w:ascii="Times New Roman" w:hAnsi="Times New Roman" w:eastAsia="宋体" w:cs="Times New Roman"/>
                <w:color w:val="auto"/>
                <w:spacing w:val="0"/>
                <w:w w:val="100"/>
                <w:sz w:val="24"/>
                <w:szCs w:val="22"/>
                <w:lang w:val="en-GB" w:eastAsia="zh-CN"/>
              </w:rPr>
              <w:t>经以上分析，在采取措施后</w:t>
            </w:r>
            <w:r>
              <w:rPr>
                <w:rFonts w:hint="default" w:ascii="Times New Roman" w:hAnsi="Times New Roman" w:eastAsia="宋体" w:cs="Times New Roman"/>
                <w:color w:val="auto"/>
                <w:spacing w:val="0"/>
                <w:w w:val="100"/>
                <w:sz w:val="24"/>
                <w:szCs w:val="24"/>
                <w:lang w:val="en-GB" w:eastAsia="zh-CN"/>
              </w:rPr>
              <w:t>，</w:t>
            </w:r>
            <w:r>
              <w:rPr>
                <w:rFonts w:hint="default" w:ascii="Times New Roman" w:hAnsi="Times New Roman" w:cs="Times New Roman"/>
                <w:color w:val="auto"/>
                <w:spacing w:val="0"/>
                <w:w w:val="100"/>
                <w:sz w:val="24"/>
                <w:szCs w:val="24"/>
                <w:lang w:eastAsia="zh-CN"/>
              </w:rPr>
              <w:t>项目排放的</w:t>
            </w:r>
            <w:r>
              <w:rPr>
                <w:rFonts w:hint="default" w:ascii="Times New Roman" w:hAnsi="Times New Roman" w:eastAsia="宋体" w:cs="Times New Roman"/>
                <w:color w:val="auto"/>
                <w:spacing w:val="0"/>
                <w:w w:val="100"/>
                <w:sz w:val="24"/>
                <w:szCs w:val="24"/>
                <w:lang w:val="en-US" w:eastAsia="zh-CN"/>
              </w:rPr>
              <w:t>氨、硫化氢满足</w:t>
            </w:r>
            <w:r>
              <w:rPr>
                <w:rFonts w:hint="default" w:ascii="Times New Roman" w:hAnsi="Times New Roman" w:cs="Times New Roman"/>
                <w:b w:val="0"/>
                <w:bCs w:val="0"/>
                <w:color w:val="auto"/>
                <w:spacing w:val="0"/>
                <w:w w:val="100"/>
                <w:sz w:val="24"/>
                <w:szCs w:val="24"/>
              </w:rPr>
              <w:t>《恶臭污染物排放标准》（GB14554-93）表</w:t>
            </w:r>
            <w:r>
              <w:rPr>
                <w:rFonts w:hint="default" w:ascii="Times New Roman" w:hAnsi="Times New Roman" w:cs="Times New Roman"/>
                <w:b w:val="0"/>
                <w:bCs w:val="0"/>
                <w:color w:val="auto"/>
                <w:spacing w:val="0"/>
                <w:w w:val="100"/>
                <w:sz w:val="24"/>
                <w:szCs w:val="24"/>
                <w:lang w:val="en-US" w:eastAsia="zh-CN"/>
              </w:rPr>
              <w:t>2</w:t>
            </w:r>
            <w:r>
              <w:rPr>
                <w:rFonts w:hint="default" w:ascii="Times New Roman" w:hAnsi="Times New Roman" w:cs="Times New Roman"/>
                <w:b w:val="0"/>
                <w:bCs w:val="0"/>
                <w:color w:val="auto"/>
                <w:spacing w:val="0"/>
                <w:w w:val="100"/>
                <w:sz w:val="24"/>
                <w:szCs w:val="24"/>
              </w:rPr>
              <w:t>中二级标准限值</w:t>
            </w:r>
            <w:r>
              <w:rPr>
                <w:rFonts w:hint="default" w:ascii="Times New Roman" w:hAnsi="Times New Roman" w:eastAsia="宋体" w:cs="Times New Roman"/>
                <w:color w:val="auto"/>
                <w:spacing w:val="0"/>
                <w:w w:val="100"/>
                <w:sz w:val="24"/>
                <w:szCs w:val="22"/>
                <w:lang w:val="en-GB" w:eastAsia="zh-CN"/>
              </w:rPr>
              <w:t>，产生的废气均可达标排放，</w:t>
            </w:r>
            <w:r>
              <w:rPr>
                <w:rFonts w:hint="default" w:ascii="Times New Roman" w:hAnsi="Times New Roman" w:eastAsia="宋体" w:cs="Times New Roman"/>
                <w:color w:val="auto"/>
                <w:spacing w:val="0"/>
                <w:w w:val="100"/>
                <w:sz w:val="24"/>
                <w:szCs w:val="22"/>
                <w:lang w:val="en-US" w:eastAsia="zh-CN"/>
              </w:rPr>
              <w:t>因此本项目废气排放</w:t>
            </w:r>
            <w:r>
              <w:rPr>
                <w:rFonts w:hint="default" w:ascii="Times New Roman" w:hAnsi="Times New Roman" w:eastAsia="宋体" w:cs="Times New Roman"/>
                <w:color w:val="auto"/>
                <w:spacing w:val="0"/>
                <w:w w:val="100"/>
                <w:sz w:val="24"/>
                <w:szCs w:val="22"/>
                <w:lang w:val="en-GB" w:eastAsia="zh-CN"/>
              </w:rPr>
              <w:t>对周围影响较小。</w:t>
            </w:r>
          </w:p>
          <w:p w14:paraId="07A133B1">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2"/>
                <w:lang w:val="en-US" w:eastAsia="zh-CN"/>
              </w:rPr>
            </w:pPr>
            <w:r>
              <w:rPr>
                <w:rFonts w:hint="default" w:ascii="Times New Roman" w:hAnsi="Times New Roman" w:eastAsia="宋体" w:cs="Times New Roman"/>
                <w:color w:val="auto"/>
                <w:spacing w:val="0"/>
                <w:w w:val="100"/>
                <w:sz w:val="24"/>
                <w:szCs w:val="22"/>
                <w:lang w:val="en-US" w:eastAsia="zh-CN"/>
              </w:rPr>
              <w:t>（</w:t>
            </w:r>
            <w:r>
              <w:rPr>
                <w:rFonts w:hint="eastAsia" w:ascii="Times New Roman" w:hAnsi="Times New Roman" w:eastAsia="宋体" w:cs="Times New Roman"/>
                <w:color w:val="auto"/>
                <w:spacing w:val="0"/>
                <w:w w:val="100"/>
                <w:sz w:val="24"/>
                <w:szCs w:val="22"/>
                <w:lang w:val="en-US" w:eastAsia="zh-CN"/>
              </w:rPr>
              <w:t>6</w:t>
            </w:r>
            <w:r>
              <w:rPr>
                <w:rFonts w:hint="default" w:ascii="Times New Roman" w:hAnsi="Times New Roman" w:eastAsia="宋体" w:cs="Times New Roman"/>
                <w:color w:val="auto"/>
                <w:spacing w:val="0"/>
                <w:w w:val="100"/>
                <w:sz w:val="24"/>
                <w:szCs w:val="22"/>
                <w:lang w:val="en-US" w:eastAsia="zh-CN"/>
              </w:rPr>
              <w:t>）自行监测要求</w:t>
            </w:r>
          </w:p>
          <w:p w14:paraId="288CBE8B">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2"/>
                <w:lang w:eastAsia="zh-CN"/>
              </w:rPr>
            </w:pPr>
            <w:r>
              <w:rPr>
                <w:rFonts w:hint="default" w:ascii="Times New Roman" w:hAnsi="Times New Roman" w:eastAsia="宋体" w:cs="Times New Roman"/>
                <w:color w:val="auto"/>
                <w:spacing w:val="0"/>
                <w:w w:val="100"/>
                <w:sz w:val="24"/>
                <w:szCs w:val="22"/>
                <w:lang w:eastAsia="zh-CN"/>
              </w:rPr>
              <w:t>根据</w:t>
            </w:r>
            <w:r>
              <w:rPr>
                <w:rFonts w:hint="default" w:ascii="Times New Roman" w:hAnsi="Times New Roman" w:eastAsia="宋体" w:cs="Times New Roman"/>
                <w:snapToGrid w:val="0"/>
                <w:color w:val="auto"/>
                <w:spacing w:val="0"/>
                <w:w w:val="100"/>
                <w:kern w:val="0"/>
                <w:sz w:val="24"/>
                <w:lang w:eastAsia="zh-CN"/>
              </w:rPr>
              <w:t>《排污单位自行监测技术指南</w:t>
            </w:r>
            <w:r>
              <w:rPr>
                <w:rFonts w:hint="default" w:ascii="Times New Roman" w:hAnsi="Times New Roman" w:eastAsia="宋体" w:cs="Times New Roman"/>
                <w:snapToGrid w:val="0"/>
                <w:color w:val="auto"/>
                <w:spacing w:val="0"/>
                <w:w w:val="100"/>
                <w:kern w:val="0"/>
                <w:sz w:val="24"/>
                <w:lang w:val="en-US" w:eastAsia="zh-CN"/>
              </w:rPr>
              <w:t xml:space="preserve"> 水处理</w:t>
            </w:r>
            <w:r>
              <w:rPr>
                <w:rFonts w:hint="default" w:ascii="Times New Roman" w:hAnsi="Times New Roman" w:eastAsia="宋体" w:cs="Times New Roman"/>
                <w:snapToGrid w:val="0"/>
                <w:color w:val="auto"/>
                <w:spacing w:val="0"/>
                <w:w w:val="100"/>
                <w:kern w:val="0"/>
                <w:sz w:val="24"/>
                <w:lang w:eastAsia="zh-CN"/>
              </w:rPr>
              <w:t>》（</w:t>
            </w:r>
            <w:r>
              <w:rPr>
                <w:rFonts w:hint="default" w:ascii="Times New Roman" w:hAnsi="Times New Roman" w:eastAsia="宋体" w:cs="Times New Roman"/>
                <w:snapToGrid w:val="0"/>
                <w:color w:val="auto"/>
                <w:spacing w:val="0"/>
                <w:w w:val="100"/>
                <w:kern w:val="0"/>
                <w:sz w:val="24"/>
                <w:lang w:val="en-US" w:eastAsia="zh-CN"/>
              </w:rPr>
              <w:t>HJ1083-2020</w:t>
            </w:r>
            <w:r>
              <w:rPr>
                <w:rFonts w:hint="default" w:ascii="Times New Roman" w:hAnsi="Times New Roman" w:eastAsia="宋体" w:cs="Times New Roman"/>
                <w:snapToGrid w:val="0"/>
                <w:color w:val="auto"/>
                <w:spacing w:val="0"/>
                <w:w w:val="100"/>
                <w:kern w:val="0"/>
                <w:sz w:val="24"/>
                <w:lang w:eastAsia="zh-CN"/>
              </w:rPr>
              <w:t>）《排污许可证申请与核发技术规范</w:t>
            </w:r>
            <w:r>
              <w:rPr>
                <w:rFonts w:hint="default" w:ascii="Times New Roman" w:hAnsi="Times New Roman" w:eastAsia="宋体" w:cs="Times New Roman"/>
                <w:snapToGrid w:val="0"/>
                <w:color w:val="auto"/>
                <w:spacing w:val="0"/>
                <w:w w:val="100"/>
                <w:kern w:val="0"/>
                <w:sz w:val="24"/>
                <w:lang w:val="en-US" w:eastAsia="zh-CN"/>
              </w:rPr>
              <w:t>-水处理（试行）</w:t>
            </w:r>
            <w:r>
              <w:rPr>
                <w:rFonts w:hint="default" w:ascii="Times New Roman" w:hAnsi="Times New Roman" w:eastAsia="宋体" w:cs="Times New Roman"/>
                <w:snapToGrid w:val="0"/>
                <w:color w:val="auto"/>
                <w:spacing w:val="0"/>
                <w:w w:val="100"/>
                <w:kern w:val="0"/>
                <w:sz w:val="24"/>
                <w:lang w:eastAsia="zh-CN"/>
              </w:rPr>
              <w:t>》（</w:t>
            </w:r>
            <w:r>
              <w:rPr>
                <w:rFonts w:hint="default" w:ascii="Times New Roman" w:hAnsi="Times New Roman" w:eastAsia="宋体" w:cs="Times New Roman"/>
                <w:snapToGrid w:val="0"/>
                <w:color w:val="auto"/>
                <w:spacing w:val="0"/>
                <w:w w:val="100"/>
                <w:kern w:val="0"/>
                <w:sz w:val="24"/>
                <w:lang w:val="en-US" w:eastAsia="zh-CN"/>
              </w:rPr>
              <w:t>HJ978-2018</w:t>
            </w:r>
            <w:r>
              <w:rPr>
                <w:rFonts w:hint="default" w:ascii="Times New Roman" w:hAnsi="Times New Roman" w:eastAsia="宋体" w:cs="Times New Roman"/>
                <w:snapToGrid w:val="0"/>
                <w:color w:val="auto"/>
                <w:spacing w:val="0"/>
                <w:w w:val="100"/>
                <w:kern w:val="0"/>
                <w:sz w:val="24"/>
                <w:lang w:eastAsia="zh-CN"/>
              </w:rPr>
              <w:t>）</w:t>
            </w:r>
            <w:r>
              <w:rPr>
                <w:rFonts w:hint="default" w:ascii="Times New Roman" w:hAnsi="Times New Roman" w:eastAsia="宋体" w:cs="Times New Roman"/>
                <w:color w:val="auto"/>
                <w:spacing w:val="0"/>
                <w:w w:val="100"/>
                <w:sz w:val="24"/>
              </w:rPr>
              <w:t>的相关规定要求，</w:t>
            </w:r>
            <w:r>
              <w:rPr>
                <w:rFonts w:hint="default" w:ascii="Times New Roman" w:hAnsi="Times New Roman" w:eastAsia="宋体" w:cs="Times New Roman"/>
                <w:color w:val="auto"/>
                <w:spacing w:val="0"/>
                <w:w w:val="100"/>
                <w:sz w:val="24"/>
                <w:szCs w:val="22"/>
                <w:lang w:eastAsia="zh-CN"/>
              </w:rPr>
              <w:t>具体内容列表如下：</w:t>
            </w:r>
          </w:p>
          <w:p w14:paraId="3E6A4A15">
            <w:pPr>
              <w:keepNext w:val="0"/>
              <w:keepLines w:val="0"/>
              <w:suppressLineNumbers w:val="0"/>
              <w:tabs>
                <w:tab w:val="center" w:pos="4778"/>
                <w:tab w:val="left" w:pos="7068"/>
              </w:tabs>
              <w:spacing w:before="0" w:beforeAutospacing="0" w:after="0" w:afterAutospacing="0"/>
              <w:ind w:left="0" w:right="0" w:firstLine="420" w:firstLineChars="20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lang w:val="en-US" w:eastAsia="zh-CN"/>
              </w:rPr>
              <w:t>表</w:t>
            </w:r>
            <w:r>
              <w:rPr>
                <w:rFonts w:hint="eastAsia" w:ascii="Times New Roman" w:hAnsi="Times New Roman" w:eastAsia="宋体" w:cs="Times New Roman"/>
                <w:color w:val="auto"/>
                <w:spacing w:val="0"/>
                <w:w w:val="100"/>
                <w:sz w:val="21"/>
                <w:szCs w:val="21"/>
                <w:lang w:val="en-US" w:eastAsia="zh-CN"/>
              </w:rPr>
              <w:t>4-9</w:t>
            </w:r>
            <w:r>
              <w:rPr>
                <w:rFonts w:hint="default" w:ascii="Times New Roman" w:hAnsi="Times New Roman" w:eastAsia="宋体" w:cs="Times New Roman"/>
                <w:color w:val="auto"/>
                <w:spacing w:val="0"/>
                <w:w w:val="100"/>
                <w:sz w:val="21"/>
                <w:szCs w:val="21"/>
                <w:lang w:val="en-US" w:eastAsia="zh-CN"/>
              </w:rPr>
              <w:t xml:space="preserve">  项目废气污染源监测计划表</w:t>
            </w:r>
          </w:p>
          <w:tbl>
            <w:tblPr>
              <w:tblStyle w:val="21"/>
              <w:tblW w:w="89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1"/>
              <w:gridCol w:w="1463"/>
              <w:gridCol w:w="4045"/>
              <w:gridCol w:w="1080"/>
              <w:gridCol w:w="1580"/>
            </w:tblGrid>
            <w:tr w14:paraId="2E136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71" w:type="dxa"/>
                  <w:noWrap w:val="0"/>
                  <w:vAlign w:val="center"/>
                </w:tcPr>
                <w:p w14:paraId="531543D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pacing w:val="0"/>
                      <w:w w:val="100"/>
                      <w:sz w:val="21"/>
                      <w:szCs w:val="21"/>
                    </w:rPr>
                  </w:pPr>
                  <w:r>
                    <w:rPr>
                      <w:rFonts w:hint="default" w:ascii="Times New Roman" w:hAnsi="Times New Roman" w:cs="Times New Roman"/>
                      <w:b w:val="0"/>
                      <w:bCs w:val="0"/>
                      <w:color w:val="auto"/>
                      <w:spacing w:val="0"/>
                      <w:w w:val="100"/>
                      <w:sz w:val="21"/>
                      <w:szCs w:val="21"/>
                    </w:rPr>
                    <w:t>类别</w:t>
                  </w:r>
                </w:p>
              </w:tc>
              <w:tc>
                <w:tcPr>
                  <w:tcW w:w="1463" w:type="dxa"/>
                  <w:noWrap w:val="0"/>
                  <w:vAlign w:val="center"/>
                </w:tcPr>
                <w:p w14:paraId="656E230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pacing w:val="0"/>
                      <w:w w:val="100"/>
                      <w:sz w:val="21"/>
                      <w:szCs w:val="21"/>
                    </w:rPr>
                  </w:pPr>
                  <w:r>
                    <w:rPr>
                      <w:rFonts w:hint="default" w:ascii="Times New Roman" w:hAnsi="Times New Roman" w:cs="Times New Roman"/>
                      <w:b w:val="0"/>
                      <w:bCs w:val="0"/>
                      <w:color w:val="auto"/>
                      <w:spacing w:val="0"/>
                      <w:w w:val="100"/>
                      <w:sz w:val="21"/>
                      <w:szCs w:val="21"/>
                    </w:rPr>
                    <w:t>监测项目</w:t>
                  </w:r>
                </w:p>
              </w:tc>
              <w:tc>
                <w:tcPr>
                  <w:tcW w:w="4045" w:type="dxa"/>
                  <w:noWrap w:val="0"/>
                  <w:vAlign w:val="center"/>
                </w:tcPr>
                <w:p w14:paraId="64C9743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cs="Times New Roman"/>
                      <w:b w:val="0"/>
                      <w:bCs w:val="0"/>
                      <w:color w:val="auto"/>
                      <w:spacing w:val="0"/>
                      <w:w w:val="100"/>
                      <w:sz w:val="21"/>
                      <w:szCs w:val="21"/>
                      <w:lang w:eastAsia="zh-CN"/>
                    </w:rPr>
                    <w:t>执行标准</w:t>
                  </w:r>
                </w:p>
              </w:tc>
              <w:tc>
                <w:tcPr>
                  <w:tcW w:w="1080" w:type="dxa"/>
                  <w:noWrap w:val="0"/>
                  <w:vAlign w:val="center"/>
                </w:tcPr>
                <w:p w14:paraId="3382C41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pacing w:val="0"/>
                      <w:w w:val="100"/>
                      <w:sz w:val="21"/>
                      <w:szCs w:val="21"/>
                    </w:rPr>
                  </w:pPr>
                  <w:r>
                    <w:rPr>
                      <w:rFonts w:hint="default" w:ascii="Times New Roman" w:hAnsi="Times New Roman" w:cs="Times New Roman"/>
                      <w:b w:val="0"/>
                      <w:bCs w:val="0"/>
                      <w:color w:val="auto"/>
                      <w:spacing w:val="0"/>
                      <w:w w:val="100"/>
                      <w:sz w:val="21"/>
                      <w:szCs w:val="21"/>
                    </w:rPr>
                    <w:t>监测频次</w:t>
                  </w:r>
                </w:p>
              </w:tc>
              <w:tc>
                <w:tcPr>
                  <w:tcW w:w="1580" w:type="dxa"/>
                  <w:noWrap w:val="0"/>
                  <w:vAlign w:val="center"/>
                </w:tcPr>
                <w:p w14:paraId="3EFDF2F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pacing w:val="0"/>
                      <w:w w:val="100"/>
                      <w:sz w:val="21"/>
                      <w:szCs w:val="21"/>
                    </w:rPr>
                  </w:pPr>
                  <w:r>
                    <w:rPr>
                      <w:rFonts w:hint="default" w:ascii="Times New Roman" w:hAnsi="Times New Roman" w:cs="Times New Roman"/>
                      <w:b w:val="0"/>
                      <w:bCs w:val="0"/>
                      <w:color w:val="auto"/>
                      <w:spacing w:val="0"/>
                      <w:w w:val="100"/>
                      <w:sz w:val="21"/>
                      <w:szCs w:val="21"/>
                    </w:rPr>
                    <w:t>监测点位</w:t>
                  </w:r>
                </w:p>
              </w:tc>
            </w:tr>
            <w:tr w14:paraId="081C5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71" w:type="dxa"/>
                  <w:vMerge w:val="restart"/>
                  <w:noWrap w:val="0"/>
                  <w:vAlign w:val="center"/>
                </w:tcPr>
                <w:p w14:paraId="3B6647E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cs="Times New Roman"/>
                      <w:b w:val="0"/>
                      <w:bCs w:val="0"/>
                      <w:color w:val="auto"/>
                      <w:spacing w:val="0"/>
                      <w:w w:val="100"/>
                      <w:sz w:val="21"/>
                      <w:szCs w:val="21"/>
                      <w:lang w:eastAsia="zh-CN"/>
                    </w:rPr>
                    <w:t>大气</w:t>
                  </w:r>
                </w:p>
              </w:tc>
              <w:tc>
                <w:tcPr>
                  <w:tcW w:w="1463" w:type="dxa"/>
                  <w:noWrap w:val="0"/>
                  <w:vAlign w:val="center"/>
                </w:tcPr>
                <w:p w14:paraId="69AD46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cs="Times New Roman"/>
                      <w:b w:val="0"/>
                      <w:bCs w:val="0"/>
                      <w:color w:val="auto"/>
                      <w:spacing w:val="0"/>
                      <w:w w:val="100"/>
                      <w:sz w:val="21"/>
                      <w:szCs w:val="21"/>
                    </w:rPr>
                    <w:t>NH</w:t>
                  </w:r>
                  <w:r>
                    <w:rPr>
                      <w:rFonts w:hint="default" w:ascii="Times New Roman" w:hAnsi="Times New Roman" w:cs="Times New Roman"/>
                      <w:b w:val="0"/>
                      <w:bCs w:val="0"/>
                      <w:color w:val="auto"/>
                      <w:spacing w:val="0"/>
                      <w:w w:val="100"/>
                      <w:sz w:val="21"/>
                      <w:szCs w:val="21"/>
                      <w:vertAlign w:val="subscript"/>
                    </w:rPr>
                    <w:t>3</w:t>
                  </w:r>
                  <w:r>
                    <w:rPr>
                      <w:rFonts w:hint="default" w:ascii="Times New Roman" w:hAnsi="Times New Roman" w:cs="Times New Roman"/>
                      <w:b w:val="0"/>
                      <w:bCs w:val="0"/>
                      <w:color w:val="auto"/>
                      <w:spacing w:val="0"/>
                      <w:w w:val="100"/>
                      <w:sz w:val="21"/>
                      <w:szCs w:val="21"/>
                      <w:vertAlign w:val="baseline"/>
                      <w:lang w:eastAsia="zh-CN"/>
                    </w:rPr>
                    <w:t>、</w:t>
                  </w:r>
                  <w:r>
                    <w:rPr>
                      <w:rFonts w:hint="default" w:ascii="Times New Roman" w:hAnsi="Times New Roman" w:cs="Times New Roman"/>
                      <w:b w:val="0"/>
                      <w:bCs w:val="0"/>
                      <w:color w:val="auto"/>
                      <w:spacing w:val="0"/>
                      <w:w w:val="100"/>
                      <w:sz w:val="21"/>
                      <w:szCs w:val="21"/>
                    </w:rPr>
                    <w:t>H</w:t>
                  </w:r>
                  <w:r>
                    <w:rPr>
                      <w:rFonts w:hint="default" w:ascii="Times New Roman" w:hAnsi="Times New Roman" w:cs="Times New Roman"/>
                      <w:b w:val="0"/>
                      <w:bCs w:val="0"/>
                      <w:color w:val="auto"/>
                      <w:spacing w:val="0"/>
                      <w:w w:val="100"/>
                      <w:sz w:val="21"/>
                      <w:szCs w:val="21"/>
                      <w:vertAlign w:val="subscript"/>
                    </w:rPr>
                    <w:t>2</w:t>
                  </w:r>
                  <w:r>
                    <w:rPr>
                      <w:rFonts w:hint="default" w:ascii="Times New Roman" w:hAnsi="Times New Roman" w:cs="Times New Roman"/>
                      <w:b w:val="0"/>
                      <w:bCs w:val="0"/>
                      <w:color w:val="auto"/>
                      <w:spacing w:val="0"/>
                      <w:w w:val="100"/>
                      <w:sz w:val="21"/>
                      <w:szCs w:val="21"/>
                    </w:rPr>
                    <w:t>S</w:t>
                  </w:r>
                  <w:r>
                    <w:rPr>
                      <w:rFonts w:hint="default" w:ascii="Times New Roman" w:hAnsi="Times New Roman" w:eastAsia="宋体" w:cs="Times New Roman"/>
                      <w:b w:val="0"/>
                      <w:bCs w:val="0"/>
                      <w:color w:val="auto"/>
                      <w:spacing w:val="0"/>
                      <w:w w:val="100"/>
                      <w:sz w:val="21"/>
                      <w:szCs w:val="21"/>
                      <w:lang w:eastAsia="zh-CN"/>
                    </w:rPr>
                    <w:t>、臭气浓度</w:t>
                  </w:r>
                </w:p>
              </w:tc>
              <w:tc>
                <w:tcPr>
                  <w:tcW w:w="4045" w:type="dxa"/>
                  <w:noWrap w:val="0"/>
                  <w:vAlign w:val="center"/>
                </w:tcPr>
                <w:p w14:paraId="707B8A7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cs="Times New Roman"/>
                      <w:b w:val="0"/>
                      <w:bCs w:val="0"/>
                      <w:color w:val="auto"/>
                      <w:spacing w:val="0"/>
                      <w:w w:val="100"/>
                      <w:sz w:val="21"/>
                      <w:szCs w:val="21"/>
                    </w:rPr>
                    <w:t>《恶臭污染物排放标准》（GB14554-93）表</w:t>
                  </w:r>
                  <w:r>
                    <w:rPr>
                      <w:rFonts w:hint="default" w:ascii="Times New Roman" w:hAnsi="Times New Roman" w:cs="Times New Roman"/>
                      <w:b w:val="0"/>
                      <w:bCs w:val="0"/>
                      <w:color w:val="auto"/>
                      <w:spacing w:val="0"/>
                      <w:w w:val="100"/>
                      <w:sz w:val="21"/>
                      <w:szCs w:val="21"/>
                      <w:lang w:val="en-US" w:eastAsia="zh-CN"/>
                    </w:rPr>
                    <w:t>2</w:t>
                  </w:r>
                  <w:r>
                    <w:rPr>
                      <w:rFonts w:hint="default" w:ascii="Times New Roman" w:hAnsi="Times New Roman" w:cs="Times New Roman"/>
                      <w:b w:val="0"/>
                      <w:bCs w:val="0"/>
                      <w:color w:val="auto"/>
                      <w:spacing w:val="0"/>
                      <w:w w:val="100"/>
                      <w:sz w:val="21"/>
                      <w:szCs w:val="21"/>
                    </w:rPr>
                    <w:t>中二级标准限值</w:t>
                  </w:r>
                </w:p>
              </w:tc>
              <w:tc>
                <w:tcPr>
                  <w:tcW w:w="1080" w:type="dxa"/>
                  <w:noWrap w:val="0"/>
                  <w:vAlign w:val="center"/>
                </w:tcPr>
                <w:p w14:paraId="38239B8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eastAsiaTheme="minorEastAsia"/>
                      <w:b w:val="0"/>
                      <w:bCs w:val="0"/>
                      <w:color w:val="auto"/>
                      <w:spacing w:val="0"/>
                      <w:w w:val="100"/>
                      <w:kern w:val="2"/>
                      <w:sz w:val="21"/>
                      <w:szCs w:val="21"/>
                      <w:lang w:val="en-US" w:eastAsia="zh-CN" w:bidi="ar-SA"/>
                    </w:rPr>
                  </w:pPr>
                  <w:r>
                    <w:rPr>
                      <w:rFonts w:hint="default" w:ascii="Times New Roman" w:hAnsi="Times New Roman" w:cs="Times New Roman"/>
                      <w:b w:val="0"/>
                      <w:bCs w:val="0"/>
                      <w:color w:val="auto"/>
                      <w:spacing w:val="0"/>
                      <w:w w:val="100"/>
                      <w:sz w:val="21"/>
                      <w:szCs w:val="21"/>
                      <w:lang w:eastAsia="zh-CN"/>
                    </w:rPr>
                    <w:t>半年一次</w:t>
                  </w:r>
                </w:p>
              </w:tc>
              <w:tc>
                <w:tcPr>
                  <w:tcW w:w="1580" w:type="dxa"/>
                  <w:noWrap w:val="0"/>
                  <w:vAlign w:val="center"/>
                </w:tcPr>
                <w:p w14:paraId="276C777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eastAsiaTheme="minorEastAsia"/>
                      <w:b w:val="0"/>
                      <w:bCs w:val="0"/>
                      <w:color w:val="auto"/>
                      <w:spacing w:val="0"/>
                      <w:w w:val="100"/>
                      <w:kern w:val="2"/>
                      <w:sz w:val="21"/>
                      <w:szCs w:val="21"/>
                      <w:lang w:val="en-US" w:eastAsia="zh-CN" w:bidi="ar-SA"/>
                    </w:rPr>
                  </w:pPr>
                  <w:r>
                    <w:rPr>
                      <w:rFonts w:hint="eastAsia" w:ascii="Times New Roman" w:hAnsi="Times New Roman" w:cs="Times New Roman"/>
                      <w:b w:val="0"/>
                      <w:bCs w:val="0"/>
                      <w:color w:val="auto"/>
                      <w:spacing w:val="0"/>
                      <w:w w:val="100"/>
                      <w:sz w:val="21"/>
                      <w:szCs w:val="21"/>
                      <w:lang w:val="en-US" w:eastAsia="zh-CN"/>
                    </w:rPr>
                    <w:t>DA001臭气</w:t>
                  </w:r>
                  <w:r>
                    <w:rPr>
                      <w:rFonts w:hint="default" w:ascii="Times New Roman" w:hAnsi="Times New Roman" w:cs="Times New Roman"/>
                      <w:b w:val="0"/>
                      <w:bCs w:val="0"/>
                      <w:color w:val="auto"/>
                      <w:spacing w:val="0"/>
                      <w:w w:val="100"/>
                      <w:sz w:val="21"/>
                      <w:szCs w:val="21"/>
                      <w:lang w:val="en-US" w:eastAsia="zh-CN"/>
                    </w:rPr>
                    <w:t>排气筒</w:t>
                  </w:r>
                </w:p>
              </w:tc>
            </w:tr>
            <w:tr w14:paraId="45234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1" w:type="dxa"/>
                  <w:vMerge w:val="continue"/>
                  <w:noWrap w:val="0"/>
                  <w:vAlign w:val="center"/>
                </w:tcPr>
                <w:p w14:paraId="272D383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pacing w:val="0"/>
                      <w:w w:val="100"/>
                      <w:sz w:val="21"/>
                      <w:szCs w:val="21"/>
                      <w:lang w:eastAsia="zh-CN"/>
                    </w:rPr>
                  </w:pPr>
                </w:p>
              </w:tc>
              <w:tc>
                <w:tcPr>
                  <w:tcW w:w="1463" w:type="dxa"/>
                  <w:noWrap w:val="0"/>
                  <w:vAlign w:val="center"/>
                </w:tcPr>
                <w:p w14:paraId="080C03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vertAlign w:val="baseline"/>
                      <w:lang w:val="en-US" w:eastAsia="zh-CN" w:bidi="ar-SA"/>
                    </w:rPr>
                  </w:pPr>
                  <w:r>
                    <w:rPr>
                      <w:rFonts w:hint="default" w:ascii="Times New Roman" w:hAnsi="Times New Roman" w:eastAsia="宋体" w:cs="Times New Roman"/>
                      <w:b w:val="0"/>
                      <w:bCs w:val="0"/>
                      <w:color w:val="auto"/>
                      <w:spacing w:val="0"/>
                      <w:w w:val="100"/>
                      <w:kern w:val="2"/>
                      <w:sz w:val="21"/>
                      <w:szCs w:val="21"/>
                      <w:vertAlign w:val="baseline"/>
                      <w:lang w:val="en-US" w:eastAsia="zh-CN" w:bidi="ar-SA"/>
                    </w:rPr>
                    <w:t>甲烷</w:t>
                  </w:r>
                </w:p>
              </w:tc>
              <w:tc>
                <w:tcPr>
                  <w:tcW w:w="4045" w:type="dxa"/>
                  <w:vMerge w:val="restart"/>
                  <w:noWrap w:val="0"/>
                  <w:vAlign w:val="center"/>
                </w:tcPr>
                <w:p w14:paraId="4C7A28B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eastAsia="zh-CN"/>
                    </w:rPr>
                    <w:t>《城镇</w:t>
                  </w:r>
                  <w:r>
                    <w:rPr>
                      <w:rFonts w:hint="default" w:ascii="Times New Roman" w:hAnsi="Times New Roman" w:eastAsia="宋体" w:cs="Times New Roman"/>
                      <w:b w:val="0"/>
                      <w:bCs w:val="0"/>
                      <w:color w:val="auto"/>
                      <w:spacing w:val="0"/>
                      <w:w w:val="100"/>
                      <w:sz w:val="21"/>
                      <w:szCs w:val="21"/>
                      <w:highlight w:val="none"/>
                      <w:lang w:eastAsia="zh-CN"/>
                    </w:rPr>
                    <w:t>污水处理厂</w:t>
                  </w:r>
                  <w:r>
                    <w:rPr>
                      <w:rFonts w:hint="default" w:ascii="Times New Roman" w:hAnsi="Times New Roman" w:eastAsia="宋体" w:cs="Times New Roman"/>
                      <w:b w:val="0"/>
                      <w:bCs w:val="0"/>
                      <w:color w:val="auto"/>
                      <w:spacing w:val="0"/>
                      <w:w w:val="100"/>
                      <w:sz w:val="21"/>
                      <w:szCs w:val="21"/>
                      <w:lang w:eastAsia="zh-CN"/>
                    </w:rPr>
                    <w:t>污染物排放标准》（</w:t>
                  </w:r>
                  <w:r>
                    <w:rPr>
                      <w:rFonts w:hint="default" w:ascii="Times New Roman" w:hAnsi="Times New Roman" w:eastAsia="宋体" w:cs="Times New Roman"/>
                      <w:b w:val="0"/>
                      <w:bCs w:val="0"/>
                      <w:color w:val="auto"/>
                      <w:spacing w:val="0"/>
                      <w:w w:val="100"/>
                      <w:sz w:val="21"/>
                      <w:szCs w:val="21"/>
                      <w:lang w:val="en-US" w:eastAsia="zh-CN"/>
                    </w:rPr>
                    <w:t>GB18918-2002</w:t>
                  </w:r>
                  <w:r>
                    <w:rPr>
                      <w:rFonts w:hint="default" w:ascii="Times New Roman" w:hAnsi="Times New Roman" w:eastAsia="宋体" w:cs="Times New Roman"/>
                      <w:b w:val="0"/>
                      <w:bCs w:val="0"/>
                      <w:color w:val="auto"/>
                      <w:spacing w:val="0"/>
                      <w:w w:val="100"/>
                      <w:sz w:val="21"/>
                      <w:szCs w:val="21"/>
                      <w:lang w:eastAsia="zh-CN"/>
                    </w:rPr>
                    <w:t>）表</w:t>
                  </w:r>
                  <w:r>
                    <w:rPr>
                      <w:rFonts w:hint="default" w:ascii="Times New Roman" w:hAnsi="Times New Roman" w:eastAsia="宋体" w:cs="Times New Roman"/>
                      <w:b w:val="0"/>
                      <w:bCs w:val="0"/>
                      <w:color w:val="auto"/>
                      <w:spacing w:val="0"/>
                      <w:w w:val="100"/>
                      <w:sz w:val="21"/>
                      <w:szCs w:val="21"/>
                      <w:lang w:val="en-US" w:eastAsia="zh-CN"/>
                    </w:rPr>
                    <w:t>4厂界（防护带边缘）废气排放最高允许浓度二级标准限值</w:t>
                  </w:r>
                </w:p>
              </w:tc>
              <w:tc>
                <w:tcPr>
                  <w:tcW w:w="1080" w:type="dxa"/>
                  <w:noWrap w:val="0"/>
                  <w:vAlign w:val="center"/>
                </w:tcPr>
                <w:p w14:paraId="68A9C7E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cs="Times New Roman"/>
                      <w:b w:val="0"/>
                      <w:bCs w:val="0"/>
                      <w:color w:val="auto"/>
                      <w:spacing w:val="0"/>
                      <w:w w:val="100"/>
                      <w:sz w:val="21"/>
                      <w:szCs w:val="21"/>
                      <w:lang w:eastAsia="zh-CN"/>
                    </w:rPr>
                    <w:t>每年一次</w:t>
                  </w:r>
                </w:p>
              </w:tc>
              <w:tc>
                <w:tcPr>
                  <w:tcW w:w="1580" w:type="dxa"/>
                  <w:noWrap w:val="0"/>
                  <w:vAlign w:val="center"/>
                </w:tcPr>
                <w:p w14:paraId="6CEC22E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pacing w:val="0"/>
                      <w:w w:val="100"/>
                      <w:sz w:val="21"/>
                      <w:szCs w:val="21"/>
                      <w:lang w:val="en-US" w:eastAsia="zh-CN"/>
                    </w:rPr>
                  </w:pPr>
                  <w:r>
                    <w:rPr>
                      <w:rFonts w:hint="default" w:ascii="Times New Roman" w:hAnsi="Times New Roman" w:cs="Times New Roman"/>
                      <w:b w:val="0"/>
                      <w:bCs w:val="0"/>
                      <w:color w:val="auto"/>
                      <w:spacing w:val="0"/>
                      <w:w w:val="100"/>
                      <w:sz w:val="21"/>
                      <w:szCs w:val="21"/>
                      <w:lang w:val="en-US" w:eastAsia="zh-CN"/>
                    </w:rPr>
                    <w:t>厂区甲烷体积浓度最高处</w:t>
                  </w:r>
                </w:p>
              </w:tc>
            </w:tr>
            <w:tr w14:paraId="50C74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1" w:type="dxa"/>
                  <w:vMerge w:val="continue"/>
                  <w:noWrap w:val="0"/>
                  <w:vAlign w:val="center"/>
                </w:tcPr>
                <w:p w14:paraId="1649D63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pacing w:val="0"/>
                      <w:w w:val="100"/>
                      <w:sz w:val="21"/>
                      <w:szCs w:val="21"/>
                      <w:lang w:eastAsia="zh-CN"/>
                    </w:rPr>
                  </w:pPr>
                </w:p>
              </w:tc>
              <w:tc>
                <w:tcPr>
                  <w:tcW w:w="1463" w:type="dxa"/>
                  <w:noWrap w:val="0"/>
                  <w:vAlign w:val="center"/>
                </w:tcPr>
                <w:p w14:paraId="6D321B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vertAlign w:val="baseline"/>
                      <w:lang w:val="en-US" w:eastAsia="zh-CN" w:bidi="ar-SA"/>
                    </w:rPr>
                  </w:pPr>
                  <w:r>
                    <w:rPr>
                      <w:rFonts w:hint="default" w:ascii="Times New Roman" w:hAnsi="Times New Roman" w:cs="Times New Roman"/>
                      <w:b w:val="0"/>
                      <w:bCs w:val="0"/>
                      <w:color w:val="auto"/>
                      <w:spacing w:val="0"/>
                      <w:w w:val="100"/>
                      <w:sz w:val="21"/>
                      <w:szCs w:val="21"/>
                    </w:rPr>
                    <w:t>NH</w:t>
                  </w:r>
                  <w:r>
                    <w:rPr>
                      <w:rFonts w:hint="default" w:ascii="Times New Roman" w:hAnsi="Times New Roman" w:cs="Times New Roman"/>
                      <w:b w:val="0"/>
                      <w:bCs w:val="0"/>
                      <w:color w:val="auto"/>
                      <w:spacing w:val="0"/>
                      <w:w w:val="100"/>
                      <w:sz w:val="21"/>
                      <w:szCs w:val="21"/>
                      <w:vertAlign w:val="subscript"/>
                    </w:rPr>
                    <w:t>3</w:t>
                  </w:r>
                  <w:r>
                    <w:rPr>
                      <w:rFonts w:hint="default" w:ascii="Times New Roman" w:hAnsi="Times New Roman" w:cs="Times New Roman"/>
                      <w:b w:val="0"/>
                      <w:bCs w:val="0"/>
                      <w:color w:val="auto"/>
                      <w:spacing w:val="0"/>
                      <w:w w:val="100"/>
                      <w:sz w:val="21"/>
                      <w:szCs w:val="21"/>
                      <w:vertAlign w:val="baseline"/>
                      <w:lang w:eastAsia="zh-CN"/>
                    </w:rPr>
                    <w:t>、</w:t>
                  </w:r>
                  <w:r>
                    <w:rPr>
                      <w:rFonts w:hint="default" w:ascii="Times New Roman" w:hAnsi="Times New Roman" w:cs="Times New Roman"/>
                      <w:b w:val="0"/>
                      <w:bCs w:val="0"/>
                      <w:color w:val="auto"/>
                      <w:spacing w:val="0"/>
                      <w:w w:val="100"/>
                      <w:sz w:val="21"/>
                      <w:szCs w:val="21"/>
                    </w:rPr>
                    <w:t>H</w:t>
                  </w:r>
                  <w:r>
                    <w:rPr>
                      <w:rFonts w:hint="default" w:ascii="Times New Roman" w:hAnsi="Times New Roman" w:cs="Times New Roman"/>
                      <w:b w:val="0"/>
                      <w:bCs w:val="0"/>
                      <w:color w:val="auto"/>
                      <w:spacing w:val="0"/>
                      <w:w w:val="100"/>
                      <w:sz w:val="21"/>
                      <w:szCs w:val="21"/>
                      <w:vertAlign w:val="subscript"/>
                    </w:rPr>
                    <w:t>2</w:t>
                  </w:r>
                  <w:r>
                    <w:rPr>
                      <w:rFonts w:hint="default" w:ascii="Times New Roman" w:hAnsi="Times New Roman" w:cs="Times New Roman"/>
                      <w:b w:val="0"/>
                      <w:bCs w:val="0"/>
                      <w:color w:val="auto"/>
                      <w:spacing w:val="0"/>
                      <w:w w:val="100"/>
                      <w:sz w:val="21"/>
                      <w:szCs w:val="21"/>
                    </w:rPr>
                    <w:t>S</w:t>
                  </w:r>
                  <w:r>
                    <w:rPr>
                      <w:rFonts w:hint="default" w:ascii="Times New Roman" w:hAnsi="Times New Roman" w:eastAsia="宋体" w:cs="Times New Roman"/>
                      <w:b w:val="0"/>
                      <w:bCs w:val="0"/>
                      <w:color w:val="auto"/>
                      <w:spacing w:val="0"/>
                      <w:w w:val="100"/>
                      <w:sz w:val="21"/>
                      <w:szCs w:val="21"/>
                      <w:lang w:eastAsia="zh-CN"/>
                    </w:rPr>
                    <w:t>、臭气浓度</w:t>
                  </w:r>
                </w:p>
              </w:tc>
              <w:tc>
                <w:tcPr>
                  <w:tcW w:w="4045" w:type="dxa"/>
                  <w:vMerge w:val="continue"/>
                  <w:noWrap w:val="0"/>
                  <w:vAlign w:val="center"/>
                </w:tcPr>
                <w:p w14:paraId="4BB8FAF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p>
              </w:tc>
              <w:tc>
                <w:tcPr>
                  <w:tcW w:w="1080" w:type="dxa"/>
                  <w:noWrap w:val="0"/>
                  <w:vAlign w:val="center"/>
                </w:tcPr>
                <w:p w14:paraId="5C9E0B4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cs="Times New Roman"/>
                      <w:b w:val="0"/>
                      <w:bCs w:val="0"/>
                      <w:color w:val="auto"/>
                      <w:spacing w:val="0"/>
                      <w:w w:val="100"/>
                      <w:sz w:val="21"/>
                      <w:szCs w:val="21"/>
                      <w:lang w:eastAsia="zh-CN"/>
                    </w:rPr>
                    <w:t>半年一次</w:t>
                  </w:r>
                </w:p>
              </w:tc>
              <w:tc>
                <w:tcPr>
                  <w:tcW w:w="1580" w:type="dxa"/>
                  <w:noWrap w:val="0"/>
                  <w:vAlign w:val="center"/>
                </w:tcPr>
                <w:p w14:paraId="5BFCB59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pacing w:val="0"/>
                      <w:w w:val="100"/>
                      <w:sz w:val="21"/>
                      <w:szCs w:val="21"/>
                      <w:lang w:val="en-US" w:eastAsia="zh-CN"/>
                    </w:rPr>
                  </w:pPr>
                  <w:r>
                    <w:rPr>
                      <w:rFonts w:hint="default" w:ascii="Times New Roman" w:hAnsi="Times New Roman" w:cs="Times New Roman"/>
                      <w:b w:val="0"/>
                      <w:bCs w:val="0"/>
                      <w:color w:val="auto"/>
                      <w:spacing w:val="0"/>
                      <w:w w:val="100"/>
                      <w:sz w:val="21"/>
                      <w:szCs w:val="21"/>
                      <w:lang w:val="en-US" w:eastAsia="zh-CN"/>
                    </w:rPr>
                    <w:t>厂界上、下风向</w:t>
                  </w:r>
                </w:p>
              </w:tc>
            </w:tr>
          </w:tbl>
          <w:p w14:paraId="5E3FC222">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val="en-US" w:eastAsia="zh-CN"/>
              </w:rPr>
              <w:t>2</w:t>
            </w:r>
            <w:r>
              <w:rPr>
                <w:rFonts w:hint="default" w:ascii="Times New Roman" w:hAnsi="Times New Roman" w:eastAsia="宋体" w:cs="Times New Roman"/>
                <w:color w:val="auto"/>
                <w:spacing w:val="0"/>
                <w:w w:val="100"/>
                <w:sz w:val="24"/>
                <w:szCs w:val="24"/>
              </w:rPr>
              <w:t>、</w:t>
            </w:r>
            <w:r>
              <w:rPr>
                <w:rFonts w:hint="default" w:ascii="Times New Roman" w:hAnsi="Times New Roman" w:eastAsia="宋体" w:cs="Times New Roman"/>
                <w:color w:val="auto"/>
                <w:spacing w:val="0"/>
                <w:w w:val="100"/>
                <w:sz w:val="24"/>
                <w:szCs w:val="24"/>
                <w:lang w:eastAsia="zh-CN"/>
              </w:rPr>
              <w:t>废水</w:t>
            </w:r>
          </w:p>
          <w:p w14:paraId="7C36727F">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4"/>
                <w:szCs w:val="24"/>
              </w:rPr>
              <w:t>项目</w:t>
            </w:r>
            <w:r>
              <w:rPr>
                <w:rFonts w:hint="default" w:ascii="Times New Roman" w:hAnsi="Times New Roman" w:eastAsia="宋体" w:cs="Times New Roman"/>
                <w:color w:val="auto"/>
                <w:spacing w:val="0"/>
                <w:w w:val="100"/>
                <w:sz w:val="24"/>
                <w:szCs w:val="24"/>
                <w:lang w:eastAsia="zh-CN"/>
              </w:rPr>
              <w:t>运行期</w:t>
            </w:r>
            <w:r>
              <w:rPr>
                <w:rFonts w:hint="default" w:ascii="Times New Roman" w:hAnsi="Times New Roman" w:eastAsia="宋体" w:cs="Times New Roman"/>
                <w:color w:val="auto"/>
                <w:spacing w:val="0"/>
                <w:w w:val="100"/>
                <w:sz w:val="24"/>
                <w:szCs w:val="24"/>
              </w:rPr>
              <w:t>污</w:t>
            </w:r>
            <w:r>
              <w:rPr>
                <w:rFonts w:hint="default" w:ascii="Times New Roman" w:hAnsi="Times New Roman" w:eastAsia="宋体" w:cs="Times New Roman"/>
                <w:snapToGrid w:val="0"/>
                <w:color w:val="auto"/>
                <w:spacing w:val="0"/>
                <w:w w:val="100"/>
                <w:kern w:val="0"/>
                <w:sz w:val="24"/>
                <w:lang w:eastAsia="zh-CN"/>
              </w:rPr>
              <w:t>水源</w:t>
            </w:r>
            <w:r>
              <w:rPr>
                <w:rFonts w:hint="default" w:ascii="Times New Roman" w:hAnsi="Times New Roman" w:eastAsia="宋体" w:cs="Times New Roman"/>
                <w:snapToGrid w:val="0"/>
                <w:color w:val="auto"/>
                <w:spacing w:val="0"/>
                <w:w w:val="100"/>
                <w:kern w:val="0"/>
                <w:sz w:val="24"/>
                <w:lang w:val="en-US" w:eastAsia="zh-CN"/>
              </w:rPr>
              <w:t>强核算结果见表</w:t>
            </w:r>
            <w:r>
              <w:rPr>
                <w:rFonts w:hint="eastAsia" w:ascii="Times New Roman" w:hAnsi="Times New Roman" w:eastAsia="宋体" w:cs="Times New Roman"/>
                <w:snapToGrid w:val="0"/>
                <w:color w:val="auto"/>
                <w:spacing w:val="0"/>
                <w:w w:val="100"/>
                <w:kern w:val="0"/>
                <w:sz w:val="24"/>
                <w:lang w:val="en-US" w:eastAsia="zh-CN"/>
              </w:rPr>
              <w:t>4-10</w:t>
            </w:r>
            <w:r>
              <w:rPr>
                <w:rFonts w:hint="default" w:ascii="Times New Roman" w:hAnsi="Times New Roman" w:eastAsia="宋体" w:cs="Times New Roman"/>
                <w:snapToGrid w:val="0"/>
                <w:color w:val="auto"/>
                <w:spacing w:val="0"/>
                <w:w w:val="100"/>
                <w:kern w:val="0"/>
                <w:sz w:val="24"/>
                <w:lang w:val="en-US" w:eastAsia="zh-CN"/>
              </w:rPr>
              <w:t>。</w:t>
            </w:r>
          </w:p>
          <w:p w14:paraId="59105219">
            <w:pPr>
              <w:keepNext w:val="0"/>
              <w:keepLines w:val="0"/>
              <w:suppressLineNumbers w:val="0"/>
              <w:tabs>
                <w:tab w:val="center" w:pos="4778"/>
                <w:tab w:val="left" w:pos="7068"/>
              </w:tabs>
              <w:spacing w:before="0" w:beforeAutospacing="0" w:after="0" w:afterAutospacing="0"/>
              <w:ind w:left="0" w:right="0" w:firstLine="420" w:firstLineChars="20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表</w:t>
            </w:r>
            <w:r>
              <w:rPr>
                <w:rFonts w:hint="eastAsia" w:ascii="Times New Roman" w:hAnsi="Times New Roman" w:eastAsia="宋体" w:cs="Times New Roman"/>
                <w:color w:val="auto"/>
                <w:spacing w:val="0"/>
                <w:w w:val="100"/>
                <w:sz w:val="21"/>
                <w:szCs w:val="21"/>
                <w:lang w:val="en-US" w:eastAsia="zh-CN"/>
              </w:rPr>
              <w:t>4-10</w:t>
            </w:r>
            <w:r>
              <w:rPr>
                <w:rFonts w:hint="default" w:ascii="Times New Roman" w:hAnsi="Times New Roman" w:eastAsia="宋体" w:cs="Times New Roman"/>
                <w:color w:val="auto"/>
                <w:spacing w:val="0"/>
                <w:w w:val="100"/>
                <w:sz w:val="21"/>
                <w:szCs w:val="21"/>
                <w:lang w:val="en-US" w:eastAsia="zh-CN"/>
              </w:rPr>
              <w:t xml:space="preserve">  废水污染源源强核算结果一览表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113"/>
              <w:gridCol w:w="945"/>
              <w:gridCol w:w="1698"/>
              <w:gridCol w:w="1265"/>
              <w:gridCol w:w="1075"/>
              <w:gridCol w:w="1570"/>
              <w:gridCol w:w="1271"/>
            </w:tblGrid>
            <w:tr w14:paraId="7268D0C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2" w:type="pct"/>
                  <w:vMerge w:val="restart"/>
                  <w:tcBorders>
                    <w:tl2br w:val="nil"/>
                    <w:tr2bl w:val="nil"/>
                  </w:tcBorders>
                  <w:noWrap w:val="0"/>
                  <w:vAlign w:val="center"/>
                </w:tcPr>
                <w:p w14:paraId="3926BA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污水</w:t>
                  </w:r>
                </w:p>
              </w:tc>
              <w:tc>
                <w:tcPr>
                  <w:tcW w:w="528" w:type="pct"/>
                  <w:vMerge w:val="restart"/>
                  <w:tcBorders>
                    <w:tl2br w:val="nil"/>
                    <w:tr2bl w:val="nil"/>
                  </w:tcBorders>
                  <w:noWrap w:val="0"/>
                  <w:vAlign w:val="center"/>
                </w:tcPr>
                <w:p w14:paraId="76A20E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污染物</w:t>
                  </w:r>
                </w:p>
              </w:tc>
              <w:tc>
                <w:tcPr>
                  <w:tcW w:w="1657" w:type="pct"/>
                  <w:gridSpan w:val="2"/>
                  <w:tcBorders>
                    <w:tl2br w:val="nil"/>
                    <w:tr2bl w:val="nil"/>
                  </w:tcBorders>
                  <w:noWrap w:val="0"/>
                  <w:vAlign w:val="center"/>
                </w:tcPr>
                <w:p w14:paraId="017396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产生情况</w:t>
                  </w:r>
                </w:p>
              </w:tc>
              <w:tc>
                <w:tcPr>
                  <w:tcW w:w="601" w:type="pct"/>
                  <w:vMerge w:val="restart"/>
                  <w:tcBorders>
                    <w:tl2br w:val="nil"/>
                    <w:tr2bl w:val="nil"/>
                  </w:tcBorders>
                  <w:noWrap w:val="0"/>
                  <w:vAlign w:val="center"/>
                </w:tcPr>
                <w:p w14:paraId="09B381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处理措施</w:t>
                  </w:r>
                </w:p>
              </w:tc>
              <w:tc>
                <w:tcPr>
                  <w:tcW w:w="1589" w:type="pct"/>
                  <w:gridSpan w:val="2"/>
                  <w:tcBorders>
                    <w:tl2br w:val="nil"/>
                    <w:tr2bl w:val="nil"/>
                  </w:tcBorders>
                  <w:noWrap w:val="0"/>
                  <w:vAlign w:val="center"/>
                </w:tcPr>
                <w:p w14:paraId="4750D8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排放情况</w:t>
                  </w:r>
                </w:p>
              </w:tc>
            </w:tr>
            <w:tr w14:paraId="41A822C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622" w:type="pct"/>
                  <w:vMerge w:val="continue"/>
                  <w:tcBorders>
                    <w:tl2br w:val="nil"/>
                    <w:tr2bl w:val="nil"/>
                  </w:tcBorders>
                  <w:noWrap w:val="0"/>
                  <w:vAlign w:val="center"/>
                </w:tcPr>
                <w:p w14:paraId="1D36AD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528" w:type="pct"/>
                  <w:vMerge w:val="continue"/>
                  <w:tcBorders>
                    <w:tl2br w:val="nil"/>
                    <w:tr2bl w:val="nil"/>
                  </w:tcBorders>
                  <w:noWrap w:val="0"/>
                  <w:vAlign w:val="center"/>
                </w:tcPr>
                <w:p w14:paraId="5C2D49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949" w:type="pct"/>
                  <w:tcBorders>
                    <w:tl2br w:val="nil"/>
                    <w:tr2bl w:val="nil"/>
                  </w:tcBorders>
                  <w:noWrap w:val="0"/>
                  <w:vAlign w:val="center"/>
                </w:tcPr>
                <w:p w14:paraId="511947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i w:val="0"/>
                      <w:iCs w:val="0"/>
                      <w:color w:val="000000"/>
                      <w:kern w:val="0"/>
                      <w:sz w:val="21"/>
                      <w:szCs w:val="21"/>
                      <w:u w:val="none"/>
                      <w:lang w:val="en-US" w:eastAsia="zh-CN" w:bidi="ar"/>
                    </w:rPr>
                    <w:t>产生浓度mg/L</w:t>
                  </w:r>
                </w:p>
              </w:tc>
              <w:tc>
                <w:tcPr>
                  <w:tcW w:w="707" w:type="pct"/>
                  <w:tcBorders>
                    <w:tl2br w:val="nil"/>
                    <w:tr2bl w:val="nil"/>
                  </w:tcBorders>
                  <w:noWrap w:val="0"/>
                  <w:vAlign w:val="center"/>
                </w:tcPr>
                <w:p w14:paraId="02EE4B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产生量t/a</w:t>
                  </w:r>
                </w:p>
              </w:tc>
              <w:tc>
                <w:tcPr>
                  <w:tcW w:w="601" w:type="pct"/>
                  <w:vMerge w:val="continue"/>
                  <w:tcBorders>
                    <w:tl2br w:val="nil"/>
                    <w:tr2bl w:val="nil"/>
                  </w:tcBorders>
                  <w:noWrap w:val="0"/>
                  <w:vAlign w:val="center"/>
                </w:tcPr>
                <w:p w14:paraId="4C7B87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878" w:type="pct"/>
                  <w:tcBorders>
                    <w:tl2br w:val="nil"/>
                    <w:tr2bl w:val="nil"/>
                  </w:tcBorders>
                  <w:noWrap w:val="0"/>
                  <w:vAlign w:val="center"/>
                </w:tcPr>
                <w:p w14:paraId="219C23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i w:val="0"/>
                      <w:iCs w:val="0"/>
                      <w:color w:val="000000"/>
                      <w:kern w:val="0"/>
                      <w:sz w:val="21"/>
                      <w:szCs w:val="21"/>
                      <w:u w:val="none"/>
                      <w:lang w:val="en-US" w:eastAsia="zh-CN" w:bidi="ar"/>
                    </w:rPr>
                    <w:t>排放浓度mg/L</w:t>
                  </w:r>
                </w:p>
              </w:tc>
              <w:tc>
                <w:tcPr>
                  <w:tcW w:w="711" w:type="pct"/>
                  <w:tcBorders>
                    <w:tl2br w:val="nil"/>
                    <w:tr2bl w:val="nil"/>
                  </w:tcBorders>
                  <w:noWrap w:val="0"/>
                  <w:vAlign w:val="center"/>
                </w:tcPr>
                <w:p w14:paraId="2EF488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i w:val="0"/>
                      <w:iCs w:val="0"/>
                      <w:color w:val="000000"/>
                      <w:kern w:val="0"/>
                      <w:sz w:val="21"/>
                      <w:szCs w:val="21"/>
                      <w:u w:val="none"/>
                      <w:lang w:val="en-US" w:eastAsia="zh-CN" w:bidi="ar"/>
                    </w:rPr>
                    <w:t>排放量t/a</w:t>
                  </w:r>
                </w:p>
              </w:tc>
            </w:tr>
            <w:tr w14:paraId="3DFEBE6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4" w:hRule="atLeast"/>
                <w:jc w:val="center"/>
              </w:trPr>
              <w:tc>
                <w:tcPr>
                  <w:tcW w:w="622" w:type="pct"/>
                  <w:vMerge w:val="restart"/>
                  <w:tcBorders>
                    <w:tl2br w:val="nil"/>
                    <w:tr2bl w:val="nil"/>
                  </w:tcBorders>
                  <w:noWrap w:val="0"/>
                  <w:vAlign w:val="center"/>
                </w:tcPr>
                <w:p w14:paraId="7CA7E9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eastAsia="zh-CN"/>
                    </w:rPr>
                  </w:pPr>
                  <w:r>
                    <w:rPr>
                      <w:rFonts w:hint="default" w:ascii="Times New Roman" w:hAnsi="Times New Roman" w:eastAsia="宋体" w:cs="Times New Roman"/>
                      <w:b w:val="0"/>
                      <w:bCs/>
                      <w:color w:val="auto"/>
                      <w:spacing w:val="0"/>
                      <w:w w:val="100"/>
                      <w:sz w:val="21"/>
                      <w:szCs w:val="21"/>
                      <w:highlight w:val="none"/>
                      <w:lang w:eastAsia="zh-CN"/>
                    </w:rPr>
                    <w:t>尾水</w:t>
                  </w:r>
                </w:p>
                <w:p w14:paraId="5E7C5D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color w:val="auto"/>
                      <w:spacing w:val="0"/>
                      <w:w w:val="100"/>
                      <w:sz w:val="21"/>
                      <w:szCs w:val="21"/>
                      <w:lang w:val="en-US" w:eastAsia="zh-CN"/>
                    </w:rPr>
                    <w:t>1600m</w:t>
                  </w:r>
                  <w:r>
                    <w:rPr>
                      <w:rFonts w:hint="default" w:ascii="Times New Roman" w:hAnsi="Times New Roman" w:eastAsia="宋体" w:cs="Times New Roman"/>
                      <w:color w:val="auto"/>
                      <w:spacing w:val="0"/>
                      <w:w w:val="100"/>
                      <w:sz w:val="21"/>
                      <w:szCs w:val="21"/>
                      <w:vertAlign w:val="superscript"/>
                      <w:lang w:val="en-US" w:eastAsia="zh-CN"/>
                    </w:rPr>
                    <w:t>3</w:t>
                  </w:r>
                  <w:r>
                    <w:rPr>
                      <w:rFonts w:hint="default" w:ascii="Times New Roman" w:hAnsi="Times New Roman" w:eastAsia="宋体" w:cs="Times New Roman"/>
                      <w:color w:val="auto"/>
                      <w:spacing w:val="0"/>
                      <w:w w:val="100"/>
                      <w:sz w:val="21"/>
                      <w:szCs w:val="21"/>
                      <w:lang w:val="en-US" w:eastAsia="zh-CN"/>
                    </w:rPr>
                    <w:t>/d</w:t>
                  </w:r>
                  <w:r>
                    <w:rPr>
                      <w:rFonts w:hint="default" w:ascii="Times New Roman" w:hAnsi="Times New Roman" w:eastAsia="宋体" w:cs="Times New Roman"/>
                      <w:b w:val="0"/>
                      <w:bCs/>
                      <w:color w:val="auto"/>
                      <w:spacing w:val="0"/>
                      <w:w w:val="100"/>
                      <w:sz w:val="21"/>
                      <w:szCs w:val="21"/>
                      <w:lang w:eastAsia="zh-CN"/>
                    </w:rPr>
                    <w:t>（</w:t>
                  </w:r>
                  <w:r>
                    <w:rPr>
                      <w:rFonts w:hint="default" w:ascii="Times New Roman" w:hAnsi="Times New Roman" w:eastAsia="宋体" w:cs="Times New Roman"/>
                      <w:b w:val="0"/>
                      <w:bCs/>
                      <w:color w:val="auto"/>
                      <w:spacing w:val="0"/>
                      <w:w w:val="100"/>
                      <w:sz w:val="21"/>
                      <w:szCs w:val="21"/>
                      <w:lang w:val="en-US" w:eastAsia="zh-CN"/>
                    </w:rPr>
                    <w:t>58.4万</w:t>
                  </w:r>
                  <w:r>
                    <w:rPr>
                      <w:rFonts w:hint="default" w:ascii="Times New Roman" w:hAnsi="Times New Roman" w:eastAsia="宋体" w:cs="Times New Roman"/>
                      <w:b w:val="0"/>
                      <w:bCs/>
                      <w:color w:val="auto"/>
                      <w:spacing w:val="0"/>
                      <w:w w:val="100"/>
                      <w:sz w:val="21"/>
                      <w:szCs w:val="21"/>
                    </w:rPr>
                    <w:t>t/a</w:t>
                  </w:r>
                  <w:r>
                    <w:rPr>
                      <w:rFonts w:hint="default" w:ascii="Times New Roman" w:hAnsi="Times New Roman" w:eastAsia="宋体" w:cs="Times New Roman"/>
                      <w:b w:val="0"/>
                      <w:bCs/>
                      <w:color w:val="auto"/>
                      <w:spacing w:val="0"/>
                      <w:w w:val="100"/>
                      <w:sz w:val="21"/>
                      <w:szCs w:val="21"/>
                      <w:lang w:eastAsia="zh-CN"/>
                    </w:rPr>
                    <w:t>）</w:t>
                  </w:r>
                </w:p>
              </w:tc>
              <w:tc>
                <w:tcPr>
                  <w:tcW w:w="528" w:type="pct"/>
                  <w:tcBorders>
                    <w:tl2br w:val="nil"/>
                    <w:tr2bl w:val="nil"/>
                  </w:tcBorders>
                  <w:noWrap w:val="0"/>
                  <w:vAlign w:val="center"/>
                </w:tcPr>
                <w:p w14:paraId="2EF24E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COD</w:t>
                  </w:r>
                </w:p>
              </w:tc>
              <w:tc>
                <w:tcPr>
                  <w:tcW w:w="949" w:type="pct"/>
                  <w:tcBorders>
                    <w:tl2br w:val="nil"/>
                    <w:tr2bl w:val="nil"/>
                  </w:tcBorders>
                  <w:noWrap w:val="0"/>
                  <w:vAlign w:val="center"/>
                </w:tcPr>
                <w:p w14:paraId="62DD64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350</w:t>
                  </w:r>
                </w:p>
              </w:tc>
              <w:tc>
                <w:tcPr>
                  <w:tcW w:w="707" w:type="pct"/>
                  <w:tcBorders>
                    <w:tl2br w:val="nil"/>
                    <w:tr2bl w:val="nil"/>
                  </w:tcBorders>
                  <w:noWrap w:val="0"/>
                  <w:vAlign w:val="center"/>
                </w:tcPr>
                <w:p w14:paraId="063692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204.4</w:t>
                  </w:r>
                </w:p>
              </w:tc>
              <w:tc>
                <w:tcPr>
                  <w:tcW w:w="601" w:type="pct"/>
                  <w:vMerge w:val="restart"/>
                  <w:tcBorders>
                    <w:tl2br w:val="nil"/>
                    <w:tr2bl w:val="nil"/>
                  </w:tcBorders>
                  <w:noWrap w:val="0"/>
                  <w:vAlign w:val="center"/>
                </w:tcPr>
                <w:p w14:paraId="61F8F6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eastAsia="zh-CN"/>
                    </w:rPr>
                  </w:pPr>
                  <w:r>
                    <w:rPr>
                      <w:rFonts w:hint="default" w:ascii="Times New Roman" w:hAnsi="Times New Roman" w:eastAsia="宋体" w:cs="Times New Roman"/>
                      <w:b w:val="0"/>
                      <w:bCs/>
                      <w:color w:val="auto"/>
                      <w:spacing w:val="0"/>
                      <w:w w:val="100"/>
                      <w:sz w:val="21"/>
                      <w:szCs w:val="21"/>
                      <w:lang w:val="en-US" w:eastAsia="zh-CN"/>
                    </w:rPr>
                    <w:t>A</w:t>
                  </w:r>
                  <w:r>
                    <w:rPr>
                      <w:rFonts w:hint="default" w:ascii="Times New Roman" w:hAnsi="Times New Roman" w:eastAsia="宋体" w:cs="Times New Roman"/>
                      <w:b w:val="0"/>
                      <w:bCs/>
                      <w:color w:val="auto"/>
                      <w:spacing w:val="0"/>
                      <w:w w:val="100"/>
                      <w:sz w:val="21"/>
                      <w:szCs w:val="21"/>
                      <w:vertAlign w:val="superscript"/>
                      <w:lang w:val="en-US" w:eastAsia="zh-CN"/>
                    </w:rPr>
                    <w:t>2</w:t>
                  </w:r>
                  <w:r>
                    <w:rPr>
                      <w:rFonts w:hint="default" w:ascii="Times New Roman" w:hAnsi="Times New Roman" w:eastAsia="宋体" w:cs="Times New Roman"/>
                      <w:b w:val="0"/>
                      <w:bCs/>
                      <w:color w:val="auto"/>
                      <w:spacing w:val="0"/>
                      <w:w w:val="100"/>
                      <w:sz w:val="21"/>
                      <w:szCs w:val="21"/>
                      <w:lang w:val="en-US" w:eastAsia="zh-CN"/>
                    </w:rPr>
                    <w:t>/O工艺</w:t>
                  </w:r>
                </w:p>
              </w:tc>
              <w:tc>
                <w:tcPr>
                  <w:tcW w:w="878" w:type="pct"/>
                  <w:tcBorders>
                    <w:tl2br w:val="nil"/>
                    <w:tr2bl w:val="nil"/>
                  </w:tcBorders>
                  <w:noWrap w:val="0"/>
                  <w:vAlign w:val="center"/>
                </w:tcPr>
                <w:p w14:paraId="6C7847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711" w:type="pct"/>
                  <w:tcBorders>
                    <w:tl2br w:val="nil"/>
                    <w:tr2bl w:val="nil"/>
                  </w:tcBorders>
                  <w:noWrap w:val="0"/>
                  <w:vAlign w:val="center"/>
                </w:tcPr>
                <w:p w14:paraId="317DE4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17.52</w:t>
                  </w:r>
                </w:p>
              </w:tc>
            </w:tr>
            <w:tr w14:paraId="6FC46CF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2" w:type="pct"/>
                  <w:vMerge w:val="continue"/>
                  <w:tcBorders>
                    <w:tl2br w:val="nil"/>
                    <w:tr2bl w:val="nil"/>
                  </w:tcBorders>
                  <w:noWrap w:val="0"/>
                  <w:vAlign w:val="center"/>
                </w:tcPr>
                <w:p w14:paraId="600218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528" w:type="pct"/>
                  <w:tcBorders>
                    <w:tl2br w:val="nil"/>
                    <w:tr2bl w:val="nil"/>
                  </w:tcBorders>
                  <w:noWrap w:val="0"/>
                  <w:vAlign w:val="center"/>
                </w:tcPr>
                <w:p w14:paraId="06791C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rPr>
                    <w:t>BOD</w:t>
                  </w:r>
                  <w:r>
                    <w:rPr>
                      <w:rFonts w:hint="default" w:ascii="Times New Roman" w:hAnsi="Times New Roman" w:eastAsia="宋体" w:cs="Times New Roman"/>
                      <w:b w:val="0"/>
                      <w:bCs/>
                      <w:color w:val="auto"/>
                      <w:spacing w:val="0"/>
                      <w:w w:val="100"/>
                      <w:sz w:val="21"/>
                      <w:szCs w:val="21"/>
                      <w:vertAlign w:val="subscript"/>
                      <w:lang w:val="en-US" w:eastAsia="zh-CN"/>
                    </w:rPr>
                    <w:t>5</w:t>
                  </w:r>
                </w:p>
              </w:tc>
              <w:tc>
                <w:tcPr>
                  <w:tcW w:w="949" w:type="pct"/>
                  <w:tcBorders>
                    <w:tl2br w:val="nil"/>
                    <w:tr2bl w:val="nil"/>
                  </w:tcBorders>
                  <w:noWrap w:val="0"/>
                  <w:vAlign w:val="center"/>
                </w:tcPr>
                <w:p w14:paraId="6EC366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150</w:t>
                  </w:r>
                </w:p>
              </w:tc>
              <w:tc>
                <w:tcPr>
                  <w:tcW w:w="707" w:type="pct"/>
                  <w:tcBorders>
                    <w:tl2br w:val="nil"/>
                    <w:tr2bl w:val="nil"/>
                  </w:tcBorders>
                  <w:noWrap w:val="0"/>
                  <w:vAlign w:val="center"/>
                </w:tcPr>
                <w:p w14:paraId="2B1A9B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87.6</w:t>
                  </w:r>
                </w:p>
              </w:tc>
              <w:tc>
                <w:tcPr>
                  <w:tcW w:w="601" w:type="pct"/>
                  <w:vMerge w:val="continue"/>
                  <w:tcBorders>
                    <w:tl2br w:val="nil"/>
                    <w:tr2bl w:val="nil"/>
                  </w:tcBorders>
                  <w:noWrap w:val="0"/>
                  <w:vAlign w:val="center"/>
                </w:tcPr>
                <w:p w14:paraId="109EA9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878" w:type="pct"/>
                  <w:tcBorders>
                    <w:tl2br w:val="nil"/>
                    <w:tr2bl w:val="nil"/>
                  </w:tcBorders>
                  <w:noWrap w:val="0"/>
                  <w:vAlign w:val="center"/>
                </w:tcPr>
                <w:p w14:paraId="46F914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711" w:type="pct"/>
                  <w:tcBorders>
                    <w:tl2br w:val="nil"/>
                    <w:tr2bl w:val="nil"/>
                  </w:tcBorders>
                  <w:noWrap w:val="0"/>
                  <w:vAlign w:val="center"/>
                </w:tcPr>
                <w:p w14:paraId="73677F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3.504</w:t>
                  </w:r>
                </w:p>
              </w:tc>
            </w:tr>
            <w:tr w14:paraId="25A66F4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2" w:type="pct"/>
                  <w:vMerge w:val="continue"/>
                  <w:tcBorders>
                    <w:tl2br w:val="nil"/>
                    <w:tr2bl w:val="nil"/>
                  </w:tcBorders>
                  <w:noWrap w:val="0"/>
                  <w:vAlign w:val="center"/>
                </w:tcPr>
                <w:p w14:paraId="0E25A4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528" w:type="pct"/>
                  <w:tcBorders>
                    <w:tl2br w:val="nil"/>
                    <w:tr2bl w:val="nil"/>
                  </w:tcBorders>
                  <w:noWrap w:val="0"/>
                  <w:vAlign w:val="center"/>
                </w:tcPr>
                <w:p w14:paraId="000EF3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NH</w:t>
                  </w:r>
                  <w:r>
                    <w:rPr>
                      <w:rFonts w:hint="default" w:ascii="Times New Roman" w:hAnsi="Times New Roman" w:eastAsia="宋体" w:cs="Times New Roman"/>
                      <w:b w:val="0"/>
                      <w:bCs/>
                      <w:color w:val="auto"/>
                      <w:spacing w:val="0"/>
                      <w:w w:val="100"/>
                      <w:sz w:val="21"/>
                      <w:szCs w:val="21"/>
                      <w:vertAlign w:val="subscript"/>
                    </w:rPr>
                    <w:t>3</w:t>
                  </w:r>
                  <w:r>
                    <w:rPr>
                      <w:rFonts w:hint="default" w:ascii="Times New Roman" w:hAnsi="Times New Roman" w:eastAsia="宋体" w:cs="Times New Roman"/>
                      <w:b w:val="0"/>
                      <w:bCs/>
                      <w:color w:val="auto"/>
                      <w:spacing w:val="0"/>
                      <w:w w:val="100"/>
                      <w:sz w:val="21"/>
                      <w:szCs w:val="21"/>
                    </w:rPr>
                    <w:t>-N</w:t>
                  </w:r>
                </w:p>
              </w:tc>
              <w:tc>
                <w:tcPr>
                  <w:tcW w:w="949" w:type="pct"/>
                  <w:tcBorders>
                    <w:tl2br w:val="nil"/>
                    <w:tr2bl w:val="nil"/>
                  </w:tcBorders>
                  <w:noWrap w:val="0"/>
                  <w:vAlign w:val="center"/>
                </w:tcPr>
                <w:p w14:paraId="6EC870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707" w:type="pct"/>
                  <w:tcBorders>
                    <w:tl2br w:val="nil"/>
                    <w:tr2bl w:val="nil"/>
                  </w:tcBorders>
                  <w:noWrap w:val="0"/>
                  <w:vAlign w:val="center"/>
                </w:tcPr>
                <w:p w14:paraId="6799E0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14.6</w:t>
                  </w:r>
                </w:p>
              </w:tc>
              <w:tc>
                <w:tcPr>
                  <w:tcW w:w="601" w:type="pct"/>
                  <w:vMerge w:val="continue"/>
                  <w:tcBorders>
                    <w:tl2br w:val="nil"/>
                    <w:tr2bl w:val="nil"/>
                  </w:tcBorders>
                  <w:noWrap w:val="0"/>
                  <w:vAlign w:val="center"/>
                </w:tcPr>
                <w:p w14:paraId="4C3DD5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878" w:type="pct"/>
                  <w:tcBorders>
                    <w:tl2br w:val="nil"/>
                    <w:tr2bl w:val="nil"/>
                  </w:tcBorders>
                  <w:noWrap w:val="0"/>
                  <w:vAlign w:val="center"/>
                </w:tcPr>
                <w:p w14:paraId="480C65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3</w:t>
                  </w:r>
                  <w:r>
                    <w:rPr>
                      <w:rFonts w:hint="eastAsia" w:ascii="Times New Roman" w:hAnsi="Times New Roman" w:eastAsia="宋体" w:cs="Times New Roman"/>
                      <w:i w:val="0"/>
                      <w:iCs w:val="0"/>
                      <w:color w:val="000000"/>
                      <w:kern w:val="0"/>
                      <w:sz w:val="21"/>
                      <w:szCs w:val="21"/>
                      <w:u w:val="none"/>
                      <w:lang w:val="en-US" w:eastAsia="zh-CN" w:bidi="ar"/>
                    </w:rPr>
                    <w:t>)</w:t>
                  </w:r>
                </w:p>
              </w:tc>
              <w:tc>
                <w:tcPr>
                  <w:tcW w:w="711" w:type="pct"/>
                  <w:tcBorders>
                    <w:tl2br w:val="nil"/>
                    <w:tr2bl w:val="nil"/>
                  </w:tcBorders>
                  <w:noWrap w:val="0"/>
                  <w:vAlign w:val="center"/>
                </w:tcPr>
                <w:p w14:paraId="5554CC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eastAsia" w:ascii="Times New Roman" w:hAnsi="Times New Roman" w:eastAsia="宋体" w:cs="Times New Roman"/>
                      <w:i w:val="0"/>
                      <w:iCs w:val="0"/>
                      <w:color w:val="000000"/>
                      <w:kern w:val="0"/>
                      <w:sz w:val="21"/>
                      <w:szCs w:val="21"/>
                      <w:u w:val="none"/>
                      <w:lang w:val="en-US" w:eastAsia="zh-CN" w:bidi="ar"/>
                    </w:rPr>
                    <w:t>1.164</w:t>
                  </w:r>
                </w:p>
              </w:tc>
            </w:tr>
            <w:tr w14:paraId="4AED172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2" w:type="pct"/>
                  <w:vMerge w:val="continue"/>
                  <w:tcBorders>
                    <w:tl2br w:val="nil"/>
                    <w:tr2bl w:val="nil"/>
                  </w:tcBorders>
                  <w:noWrap w:val="0"/>
                  <w:vAlign w:val="center"/>
                </w:tcPr>
                <w:p w14:paraId="1EDCED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528" w:type="pct"/>
                  <w:tcBorders>
                    <w:tl2br w:val="nil"/>
                    <w:tr2bl w:val="nil"/>
                  </w:tcBorders>
                  <w:noWrap w:val="0"/>
                  <w:vAlign w:val="center"/>
                </w:tcPr>
                <w:p w14:paraId="11F838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SS</w:t>
                  </w:r>
                </w:p>
              </w:tc>
              <w:tc>
                <w:tcPr>
                  <w:tcW w:w="949" w:type="pct"/>
                  <w:tcBorders>
                    <w:tl2br w:val="nil"/>
                    <w:tr2bl w:val="nil"/>
                  </w:tcBorders>
                  <w:noWrap w:val="0"/>
                  <w:vAlign w:val="center"/>
                </w:tcPr>
                <w:p w14:paraId="2EAC99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250</w:t>
                  </w:r>
                </w:p>
              </w:tc>
              <w:tc>
                <w:tcPr>
                  <w:tcW w:w="707" w:type="pct"/>
                  <w:tcBorders>
                    <w:tl2br w:val="nil"/>
                    <w:tr2bl w:val="nil"/>
                  </w:tcBorders>
                  <w:noWrap w:val="0"/>
                  <w:vAlign w:val="center"/>
                </w:tcPr>
                <w:p w14:paraId="306AAB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146</w:t>
                  </w:r>
                </w:p>
              </w:tc>
              <w:tc>
                <w:tcPr>
                  <w:tcW w:w="601" w:type="pct"/>
                  <w:vMerge w:val="continue"/>
                  <w:tcBorders>
                    <w:tl2br w:val="nil"/>
                    <w:tr2bl w:val="nil"/>
                  </w:tcBorders>
                  <w:noWrap w:val="0"/>
                  <w:vAlign w:val="center"/>
                </w:tcPr>
                <w:p w14:paraId="5F24C9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878" w:type="pct"/>
                  <w:tcBorders>
                    <w:tl2br w:val="nil"/>
                    <w:tr2bl w:val="nil"/>
                  </w:tcBorders>
                  <w:noWrap w:val="0"/>
                  <w:vAlign w:val="center"/>
                </w:tcPr>
                <w:p w14:paraId="30D577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711" w:type="pct"/>
                  <w:tcBorders>
                    <w:tl2br w:val="nil"/>
                    <w:tr2bl w:val="nil"/>
                  </w:tcBorders>
                  <w:noWrap w:val="0"/>
                  <w:vAlign w:val="center"/>
                </w:tcPr>
                <w:p w14:paraId="65BA98A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5.84</w:t>
                  </w:r>
                </w:p>
              </w:tc>
            </w:tr>
            <w:tr w14:paraId="1707DA6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622" w:type="pct"/>
                  <w:vMerge w:val="continue"/>
                  <w:tcBorders>
                    <w:tl2br w:val="nil"/>
                    <w:tr2bl w:val="nil"/>
                  </w:tcBorders>
                  <w:noWrap w:val="0"/>
                  <w:vAlign w:val="center"/>
                </w:tcPr>
                <w:p w14:paraId="78B99B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528" w:type="pct"/>
                  <w:tcBorders>
                    <w:tl2br w:val="nil"/>
                    <w:tr2bl w:val="nil"/>
                  </w:tcBorders>
                  <w:noWrap w:val="0"/>
                  <w:vAlign w:val="center"/>
                </w:tcPr>
                <w:p w14:paraId="404867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lang w:val="en-US" w:eastAsia="zh-CN"/>
                    </w:rPr>
                    <w:t>TP</w:t>
                  </w:r>
                </w:p>
              </w:tc>
              <w:tc>
                <w:tcPr>
                  <w:tcW w:w="949" w:type="pct"/>
                  <w:tcBorders>
                    <w:tl2br w:val="nil"/>
                    <w:tr2bl w:val="nil"/>
                  </w:tcBorders>
                  <w:noWrap w:val="0"/>
                  <w:vAlign w:val="center"/>
                </w:tcPr>
                <w:p w14:paraId="21ADAA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707" w:type="pct"/>
                  <w:tcBorders>
                    <w:tl2br w:val="nil"/>
                    <w:tr2bl w:val="nil"/>
                  </w:tcBorders>
                  <w:noWrap w:val="0"/>
                  <w:vAlign w:val="center"/>
                </w:tcPr>
                <w:p w14:paraId="6F3A90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2.92</w:t>
                  </w:r>
                </w:p>
              </w:tc>
              <w:tc>
                <w:tcPr>
                  <w:tcW w:w="601" w:type="pct"/>
                  <w:vMerge w:val="continue"/>
                  <w:tcBorders>
                    <w:tl2br w:val="nil"/>
                    <w:tr2bl w:val="nil"/>
                  </w:tcBorders>
                  <w:noWrap w:val="0"/>
                  <w:vAlign w:val="center"/>
                </w:tcPr>
                <w:p w14:paraId="3BCC73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878" w:type="pct"/>
                  <w:tcBorders>
                    <w:tl2br w:val="nil"/>
                    <w:tr2bl w:val="nil"/>
                  </w:tcBorders>
                  <w:noWrap w:val="0"/>
                  <w:vAlign w:val="center"/>
                </w:tcPr>
                <w:p w14:paraId="6BC084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w:t>
                  </w:r>
                </w:p>
              </w:tc>
              <w:tc>
                <w:tcPr>
                  <w:tcW w:w="711" w:type="pct"/>
                  <w:tcBorders>
                    <w:tl2br w:val="nil"/>
                    <w:tr2bl w:val="nil"/>
                  </w:tcBorders>
                  <w:noWrap w:val="0"/>
                  <w:vAlign w:val="center"/>
                </w:tcPr>
                <w:p w14:paraId="21634C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0.175</w:t>
                  </w:r>
                </w:p>
              </w:tc>
            </w:tr>
            <w:tr w14:paraId="5263729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2" w:type="pct"/>
                  <w:vMerge w:val="continue"/>
                  <w:tcBorders>
                    <w:tl2br w:val="nil"/>
                    <w:tr2bl w:val="nil"/>
                  </w:tcBorders>
                  <w:noWrap w:val="0"/>
                  <w:vAlign w:val="center"/>
                </w:tcPr>
                <w:p w14:paraId="07D2A1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528" w:type="pct"/>
                  <w:tcBorders>
                    <w:tl2br w:val="nil"/>
                    <w:tr2bl w:val="nil"/>
                  </w:tcBorders>
                  <w:noWrap w:val="0"/>
                  <w:vAlign w:val="center"/>
                </w:tcPr>
                <w:p w14:paraId="493E63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lang w:val="en-US" w:eastAsia="zh-CN"/>
                    </w:rPr>
                    <w:t>TN</w:t>
                  </w:r>
                </w:p>
              </w:tc>
              <w:tc>
                <w:tcPr>
                  <w:tcW w:w="949" w:type="pct"/>
                  <w:tcBorders>
                    <w:tl2br w:val="nil"/>
                    <w:tr2bl w:val="nil"/>
                  </w:tcBorders>
                  <w:noWrap w:val="0"/>
                  <w:vAlign w:val="center"/>
                </w:tcPr>
                <w:p w14:paraId="30347E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707" w:type="pct"/>
                  <w:tcBorders>
                    <w:tl2br w:val="nil"/>
                    <w:tr2bl w:val="nil"/>
                  </w:tcBorders>
                  <w:noWrap w:val="0"/>
                  <w:vAlign w:val="center"/>
                </w:tcPr>
                <w:p w14:paraId="19BF12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26.28</w:t>
                  </w:r>
                </w:p>
              </w:tc>
              <w:tc>
                <w:tcPr>
                  <w:tcW w:w="601" w:type="pct"/>
                  <w:vMerge w:val="continue"/>
                  <w:tcBorders>
                    <w:tl2br w:val="nil"/>
                    <w:tr2bl w:val="nil"/>
                  </w:tcBorders>
                  <w:noWrap w:val="0"/>
                  <w:vAlign w:val="center"/>
                </w:tcPr>
                <w:p w14:paraId="1FCEA0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878" w:type="pct"/>
                  <w:tcBorders>
                    <w:tl2br w:val="nil"/>
                    <w:tr2bl w:val="nil"/>
                  </w:tcBorders>
                  <w:noWrap w:val="0"/>
                  <w:vAlign w:val="center"/>
                </w:tcPr>
                <w:p w14:paraId="2D2B01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711" w:type="pct"/>
                  <w:tcBorders>
                    <w:tl2br w:val="nil"/>
                    <w:tr2bl w:val="nil"/>
                  </w:tcBorders>
                  <w:noWrap w:val="0"/>
                  <w:vAlign w:val="center"/>
                </w:tcPr>
                <w:p w14:paraId="050338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7.008</w:t>
                  </w:r>
                </w:p>
              </w:tc>
            </w:tr>
            <w:tr w14:paraId="67EA9E2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7"/>
                  <w:tcBorders>
                    <w:tl2br w:val="nil"/>
                    <w:tr2bl w:val="nil"/>
                  </w:tcBorders>
                  <w:noWrap w:val="0"/>
                  <w:vAlign w:val="center"/>
                </w:tcPr>
                <w:p w14:paraId="1F7F14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注：根据企业提供资料，项目每年11月15日至3月15日（4个月，120天）总排口水温</w:t>
                  </w:r>
                  <w:r>
                    <w:rPr>
                      <w:rFonts w:hint="default" w:ascii="Times New Roman" w:hAnsi="Times New Roman" w:eastAsia="宋体" w:cs="Times New Roman"/>
                      <w:b w:val="0"/>
                      <w:bCs/>
                      <w:color w:val="auto"/>
                      <w:spacing w:val="0"/>
                      <w:w w:val="100"/>
                      <w:sz w:val="21"/>
                      <w:szCs w:val="21"/>
                      <w:vertAlign w:val="baseline"/>
                      <w:lang w:val="en-US" w:eastAsia="zh-CN"/>
                    </w:rPr>
                    <w:t>≤12℃，</w:t>
                  </w:r>
                  <w:r>
                    <w:rPr>
                      <w:rFonts w:hint="default" w:ascii="Times New Roman" w:hAnsi="Times New Roman" w:eastAsia="宋体" w:cs="Times New Roman"/>
                      <w:b w:val="0"/>
                      <w:bCs/>
                      <w:color w:val="auto"/>
                      <w:spacing w:val="0"/>
                      <w:w w:val="100"/>
                      <w:sz w:val="21"/>
                      <w:szCs w:val="21"/>
                    </w:rPr>
                    <w:t>NH</w:t>
                  </w:r>
                  <w:r>
                    <w:rPr>
                      <w:rFonts w:hint="default" w:ascii="Times New Roman" w:hAnsi="Times New Roman" w:eastAsia="宋体" w:cs="Times New Roman"/>
                      <w:b w:val="0"/>
                      <w:bCs/>
                      <w:color w:val="auto"/>
                      <w:spacing w:val="0"/>
                      <w:w w:val="100"/>
                      <w:sz w:val="21"/>
                      <w:szCs w:val="21"/>
                      <w:vertAlign w:val="subscript"/>
                    </w:rPr>
                    <w:t>3</w:t>
                  </w:r>
                  <w:r>
                    <w:rPr>
                      <w:rFonts w:hint="default" w:ascii="Times New Roman" w:hAnsi="Times New Roman" w:eastAsia="宋体" w:cs="Times New Roman"/>
                      <w:b w:val="0"/>
                      <w:bCs/>
                      <w:color w:val="auto"/>
                      <w:spacing w:val="0"/>
                      <w:w w:val="100"/>
                      <w:sz w:val="21"/>
                      <w:szCs w:val="21"/>
                    </w:rPr>
                    <w:t>-N</w:t>
                  </w:r>
                  <w:r>
                    <w:rPr>
                      <w:rFonts w:hint="default" w:ascii="Times New Roman" w:hAnsi="Times New Roman" w:eastAsia="宋体" w:cs="Times New Roman"/>
                      <w:b w:val="0"/>
                      <w:bCs/>
                      <w:color w:val="auto"/>
                      <w:spacing w:val="0"/>
                      <w:w w:val="100"/>
                      <w:sz w:val="21"/>
                      <w:szCs w:val="21"/>
                      <w:lang w:eastAsia="zh-CN"/>
                    </w:rPr>
                    <w:t>排放指标执行括号内排放浓度限值（</w:t>
                  </w:r>
                  <w:r>
                    <w:rPr>
                      <w:rFonts w:hint="default" w:ascii="Times New Roman" w:hAnsi="Times New Roman" w:eastAsia="宋体" w:cs="Times New Roman"/>
                      <w:b w:val="0"/>
                      <w:bCs/>
                      <w:color w:val="auto"/>
                      <w:spacing w:val="0"/>
                      <w:w w:val="100"/>
                      <w:sz w:val="21"/>
                      <w:szCs w:val="21"/>
                      <w:lang w:val="en-US" w:eastAsia="zh-CN"/>
                    </w:rPr>
                    <w:t>3mg/L</w:t>
                  </w:r>
                  <w:r>
                    <w:rPr>
                      <w:rFonts w:hint="default" w:ascii="Times New Roman" w:hAnsi="Times New Roman" w:eastAsia="宋体" w:cs="Times New Roman"/>
                      <w:b w:val="0"/>
                      <w:bCs/>
                      <w:color w:val="auto"/>
                      <w:spacing w:val="0"/>
                      <w:w w:val="100"/>
                      <w:sz w:val="21"/>
                      <w:szCs w:val="21"/>
                      <w:lang w:eastAsia="zh-CN"/>
                    </w:rPr>
                    <w:t>）。</w:t>
                  </w:r>
                </w:p>
              </w:tc>
            </w:tr>
          </w:tbl>
          <w:p w14:paraId="33C401EF">
            <w:pPr>
              <w:keepNext w:val="0"/>
              <w:keepLines w:val="0"/>
              <w:suppressLineNumbers w:val="0"/>
              <w:tabs>
                <w:tab w:val="left" w:pos="4057"/>
              </w:tabs>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地表水环境影响预测结果</w:t>
            </w:r>
            <w:r>
              <w:rPr>
                <w:rFonts w:hint="eastAsia" w:ascii="Times New Roman" w:hAnsi="Times New Roman" w:eastAsia="宋体" w:cs="Times New Roman"/>
                <w:color w:val="auto"/>
                <w:spacing w:val="0"/>
                <w:w w:val="100"/>
                <w:kern w:val="0"/>
                <w:sz w:val="24"/>
                <w:szCs w:val="24"/>
                <w:lang w:val="en-US" w:eastAsia="zh-CN" w:bidi="ar"/>
              </w:rPr>
              <w:t>见下表</w:t>
            </w:r>
            <w:r>
              <w:rPr>
                <w:rFonts w:hint="default" w:ascii="Times New Roman" w:hAnsi="Times New Roman" w:eastAsia="宋体" w:cs="Times New Roman"/>
                <w:color w:val="auto"/>
                <w:spacing w:val="0"/>
                <w:w w:val="100"/>
                <w:kern w:val="0"/>
                <w:sz w:val="24"/>
                <w:szCs w:val="24"/>
                <w:lang w:val="en-US" w:eastAsia="zh-CN" w:bidi="ar"/>
              </w:rPr>
              <w:t>。</w:t>
            </w:r>
          </w:p>
          <w:p w14:paraId="362DD6BC">
            <w:pPr>
              <w:keepNext w:val="0"/>
              <w:keepLines w:val="0"/>
              <w:suppressLineNumbers w:val="0"/>
              <w:tabs>
                <w:tab w:val="center" w:pos="4778"/>
                <w:tab w:val="left" w:pos="7068"/>
              </w:tabs>
              <w:spacing w:before="0" w:beforeAutospacing="0" w:after="0" w:afterAutospacing="0"/>
              <w:ind w:left="0" w:right="0" w:firstLine="420" w:firstLineChars="20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表</w:t>
            </w:r>
            <w:r>
              <w:rPr>
                <w:rFonts w:hint="eastAsia" w:ascii="Times New Roman" w:hAnsi="Times New Roman" w:eastAsia="宋体" w:cs="Times New Roman"/>
                <w:color w:val="auto"/>
                <w:spacing w:val="0"/>
                <w:w w:val="100"/>
                <w:sz w:val="21"/>
                <w:szCs w:val="21"/>
                <w:lang w:val="en-US" w:eastAsia="zh-CN"/>
              </w:rPr>
              <w:t xml:space="preserve">4-11   </w:t>
            </w:r>
            <w:r>
              <w:rPr>
                <w:rFonts w:hint="default" w:ascii="Times New Roman" w:hAnsi="Times New Roman" w:eastAsia="宋体" w:cs="Times New Roman"/>
                <w:color w:val="auto"/>
                <w:spacing w:val="0"/>
                <w:w w:val="100"/>
                <w:sz w:val="21"/>
                <w:szCs w:val="21"/>
                <w:lang w:val="en-US" w:eastAsia="zh-CN"/>
              </w:rPr>
              <w:t>地表水影响预测结果</w:t>
            </w:r>
            <w:r>
              <w:rPr>
                <w:rFonts w:hint="eastAsia" w:ascii="Times New Roman" w:hAnsi="Times New Roman" w:eastAsia="宋体" w:cs="Times New Roman"/>
                <w:color w:val="auto"/>
                <w:spacing w:val="0"/>
                <w:w w:val="100"/>
                <w:sz w:val="21"/>
                <w:szCs w:val="21"/>
                <w:lang w:val="en-US" w:eastAsia="zh-CN"/>
              </w:rPr>
              <w:t xml:space="preserve">    </w:t>
            </w:r>
            <w:r>
              <w:rPr>
                <w:rFonts w:hint="default" w:ascii="Times New Roman" w:hAnsi="Times New Roman" w:eastAsia="宋体" w:cs="Times New Roman"/>
                <w:color w:val="auto"/>
                <w:spacing w:val="0"/>
                <w:w w:val="100"/>
                <w:sz w:val="21"/>
                <w:szCs w:val="21"/>
                <w:lang w:val="en-US" w:eastAsia="zh-CN"/>
              </w:rPr>
              <w:t>单位：mg/L</w:t>
            </w:r>
          </w:p>
          <w:tbl>
            <w:tblPr>
              <w:tblStyle w:val="21"/>
              <w:tblW w:w="48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70"/>
              <w:gridCol w:w="1304"/>
              <w:gridCol w:w="1610"/>
              <w:gridCol w:w="1728"/>
              <w:gridCol w:w="1385"/>
              <w:gridCol w:w="1385"/>
            </w:tblGrid>
            <w:tr w14:paraId="4F179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5" w:hRule="atLeast"/>
                <w:jc w:val="center"/>
              </w:trPr>
              <w:tc>
                <w:tcPr>
                  <w:tcW w:w="1482" w:type="pct"/>
                  <w:gridSpan w:val="2"/>
                  <w:shd w:val="clear" w:color="auto" w:fill="auto"/>
                  <w:vAlign w:val="center"/>
                </w:tcPr>
                <w:p w14:paraId="349A0E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断面及预测因子</w:t>
                  </w:r>
                </w:p>
              </w:tc>
              <w:tc>
                <w:tcPr>
                  <w:tcW w:w="1922" w:type="pct"/>
                  <w:gridSpan w:val="2"/>
                  <w:shd w:val="clear" w:color="auto" w:fill="auto"/>
                  <w:vAlign w:val="center"/>
                </w:tcPr>
                <w:p w14:paraId="63D08E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预测污染物浓度值</w:t>
                  </w:r>
                </w:p>
              </w:tc>
              <w:tc>
                <w:tcPr>
                  <w:tcW w:w="1594" w:type="pct"/>
                  <w:gridSpan w:val="2"/>
                  <w:shd w:val="clear" w:color="auto" w:fill="auto"/>
                  <w:vAlign w:val="center"/>
                </w:tcPr>
                <w:p w14:paraId="26206B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叠加背景值</w:t>
                  </w:r>
                </w:p>
              </w:tc>
            </w:tr>
            <w:tr w14:paraId="1637C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1482" w:type="pct"/>
                  <w:gridSpan w:val="2"/>
                  <w:shd w:val="clear" w:color="auto" w:fill="auto"/>
                  <w:vAlign w:val="center"/>
                </w:tcPr>
                <w:p w14:paraId="781D18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预测结果</w:t>
                  </w:r>
                </w:p>
              </w:tc>
              <w:tc>
                <w:tcPr>
                  <w:tcW w:w="927" w:type="pct"/>
                  <w:shd w:val="clear" w:color="auto" w:fill="auto"/>
                  <w:vAlign w:val="center"/>
                </w:tcPr>
                <w:p w14:paraId="626240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COD</w:t>
                  </w:r>
                </w:p>
              </w:tc>
              <w:tc>
                <w:tcPr>
                  <w:tcW w:w="994" w:type="pct"/>
                  <w:shd w:val="clear" w:color="auto" w:fill="auto"/>
                  <w:vAlign w:val="center"/>
                </w:tcPr>
                <w:p w14:paraId="0632A7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氨氮</w:t>
                  </w:r>
                </w:p>
              </w:tc>
              <w:tc>
                <w:tcPr>
                  <w:tcW w:w="797" w:type="pct"/>
                  <w:shd w:val="clear" w:color="auto" w:fill="auto"/>
                  <w:vAlign w:val="center"/>
                </w:tcPr>
                <w:p w14:paraId="21BAE9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COD</w:t>
                  </w:r>
                </w:p>
              </w:tc>
              <w:tc>
                <w:tcPr>
                  <w:tcW w:w="797" w:type="pct"/>
                  <w:shd w:val="clear" w:color="auto" w:fill="auto"/>
                  <w:vAlign w:val="center"/>
                </w:tcPr>
                <w:p w14:paraId="49F487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氨氮</w:t>
                  </w:r>
                </w:p>
              </w:tc>
            </w:tr>
            <w:tr w14:paraId="2B82D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5" w:hRule="atLeast"/>
                <w:jc w:val="center"/>
              </w:trPr>
              <w:tc>
                <w:tcPr>
                  <w:tcW w:w="731" w:type="pct"/>
                  <w:vMerge w:val="restart"/>
                  <w:shd w:val="clear" w:color="auto" w:fill="auto"/>
                  <w:vAlign w:val="center"/>
                </w:tcPr>
                <w:p w14:paraId="25A384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750" w:type="pct"/>
                  <w:shd w:val="clear" w:color="auto" w:fill="auto"/>
                  <w:vAlign w:val="center"/>
                </w:tcPr>
                <w:p w14:paraId="068E2D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084579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c>
                <w:tcPr>
                  <w:tcW w:w="994" w:type="pct"/>
                  <w:shd w:val="clear" w:color="auto" w:fill="auto"/>
                  <w:vAlign w:val="center"/>
                </w:tcPr>
                <w:p w14:paraId="12055F5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c>
                <w:tcPr>
                  <w:tcW w:w="797" w:type="pct"/>
                  <w:shd w:val="clear" w:color="auto" w:fill="auto"/>
                  <w:vAlign w:val="center"/>
                </w:tcPr>
                <w:p w14:paraId="31D742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50713D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47465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continue"/>
                  <w:shd w:val="clear" w:color="auto" w:fill="auto"/>
                  <w:vAlign w:val="center"/>
                </w:tcPr>
                <w:p w14:paraId="399D8CE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50" w:type="pct"/>
                  <w:shd w:val="clear" w:color="auto" w:fill="auto"/>
                  <w:vAlign w:val="center"/>
                </w:tcPr>
                <w:p w14:paraId="25EBFD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5A92C3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c>
                <w:tcPr>
                  <w:tcW w:w="994" w:type="pct"/>
                  <w:shd w:val="clear" w:color="auto" w:fill="auto"/>
                  <w:vAlign w:val="center"/>
                </w:tcPr>
                <w:p w14:paraId="092700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c>
                <w:tcPr>
                  <w:tcW w:w="797" w:type="pct"/>
                  <w:shd w:val="clear" w:color="auto" w:fill="auto"/>
                  <w:vAlign w:val="center"/>
                </w:tcPr>
                <w:p w14:paraId="51C3EA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6528CE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6B164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31" w:type="pct"/>
                  <w:vMerge w:val="restart"/>
                  <w:shd w:val="clear" w:color="auto" w:fill="auto"/>
                  <w:vAlign w:val="center"/>
                </w:tcPr>
                <w:p w14:paraId="5776B7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750" w:type="pct"/>
                  <w:shd w:val="clear" w:color="auto" w:fill="auto"/>
                  <w:vAlign w:val="center"/>
                </w:tcPr>
                <w:p w14:paraId="044E32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411E3C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9.025</w:t>
                  </w:r>
                </w:p>
              </w:tc>
              <w:tc>
                <w:tcPr>
                  <w:tcW w:w="994" w:type="pct"/>
                  <w:shd w:val="clear" w:color="auto" w:fill="auto"/>
                  <w:vAlign w:val="center"/>
                </w:tcPr>
                <w:p w14:paraId="244577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0.1745</w:t>
                  </w:r>
                </w:p>
              </w:tc>
              <w:tc>
                <w:tcPr>
                  <w:tcW w:w="797" w:type="pct"/>
                  <w:shd w:val="clear" w:color="auto" w:fill="auto"/>
                  <w:vAlign w:val="center"/>
                </w:tcPr>
                <w:p w14:paraId="70AA69D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18.025</w:t>
                  </w:r>
                </w:p>
              </w:tc>
              <w:tc>
                <w:tcPr>
                  <w:tcW w:w="797" w:type="pct"/>
                  <w:shd w:val="clear" w:color="auto" w:fill="auto"/>
                  <w:vAlign w:val="center"/>
                </w:tcPr>
                <w:p w14:paraId="4B6BD5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0.3245</w:t>
                  </w:r>
                </w:p>
              </w:tc>
            </w:tr>
            <w:tr w14:paraId="451C9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4" w:hRule="atLeast"/>
                <w:jc w:val="center"/>
              </w:trPr>
              <w:tc>
                <w:tcPr>
                  <w:tcW w:w="731" w:type="pct"/>
                  <w:vMerge w:val="continue"/>
                  <w:shd w:val="clear" w:color="auto" w:fill="auto"/>
                  <w:vAlign w:val="center"/>
                </w:tcPr>
                <w:p w14:paraId="439343F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50" w:type="pct"/>
                  <w:shd w:val="clear" w:color="auto" w:fill="auto"/>
                  <w:vAlign w:val="center"/>
                </w:tcPr>
                <w:p w14:paraId="47972B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5CBEF6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18.494</w:t>
                  </w:r>
                </w:p>
              </w:tc>
              <w:tc>
                <w:tcPr>
                  <w:tcW w:w="994" w:type="pct"/>
                  <w:shd w:val="clear" w:color="auto" w:fill="auto"/>
                  <w:vAlign w:val="center"/>
                </w:tcPr>
                <w:p w14:paraId="69C361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0.8486</w:t>
                  </w:r>
                </w:p>
              </w:tc>
              <w:tc>
                <w:tcPr>
                  <w:tcW w:w="797" w:type="pct"/>
                  <w:shd w:val="clear" w:color="auto" w:fill="auto"/>
                  <w:vAlign w:val="center"/>
                </w:tcPr>
                <w:p w14:paraId="4E2C1E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27.494</w:t>
                  </w:r>
                </w:p>
              </w:tc>
              <w:tc>
                <w:tcPr>
                  <w:tcW w:w="797" w:type="pct"/>
                  <w:shd w:val="clear" w:color="auto" w:fill="auto"/>
                  <w:vAlign w:val="center"/>
                </w:tcPr>
                <w:p w14:paraId="2FC255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0.9986</w:t>
                  </w:r>
                </w:p>
              </w:tc>
            </w:tr>
            <w:tr w14:paraId="67E52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31" w:type="pct"/>
                  <w:vMerge w:val="restart"/>
                  <w:shd w:val="clear" w:color="auto" w:fill="auto"/>
                  <w:vAlign w:val="center"/>
                </w:tcPr>
                <w:p w14:paraId="250689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750" w:type="pct"/>
                  <w:shd w:val="clear" w:color="auto" w:fill="auto"/>
                  <w:vAlign w:val="center"/>
                </w:tcPr>
                <w:p w14:paraId="60E5FD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727CF5F5">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0.0014553392 </w:t>
                  </w:r>
                </w:p>
              </w:tc>
              <w:tc>
                <w:tcPr>
                  <w:tcW w:w="994" w:type="pct"/>
                  <w:shd w:val="clear" w:color="auto" w:fill="auto"/>
                  <w:vAlign w:val="center"/>
                </w:tcPr>
                <w:p w14:paraId="6DC47056">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0.0000004953 </w:t>
                  </w:r>
                </w:p>
              </w:tc>
              <w:tc>
                <w:tcPr>
                  <w:tcW w:w="797" w:type="pct"/>
                  <w:shd w:val="clear" w:color="auto" w:fill="auto"/>
                  <w:vAlign w:val="center"/>
                </w:tcPr>
                <w:p w14:paraId="4F08FB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9.001455339</w:t>
                  </w:r>
                </w:p>
              </w:tc>
              <w:tc>
                <w:tcPr>
                  <w:tcW w:w="797" w:type="pct"/>
                  <w:shd w:val="clear" w:color="auto" w:fill="auto"/>
                  <w:vAlign w:val="center"/>
                </w:tcPr>
                <w:p w14:paraId="07A8BB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0.150000495</w:t>
                  </w:r>
                </w:p>
              </w:tc>
            </w:tr>
            <w:tr w14:paraId="20AE4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continue"/>
                  <w:shd w:val="clear" w:color="auto" w:fill="auto"/>
                  <w:vAlign w:val="center"/>
                </w:tcPr>
                <w:p w14:paraId="60CDE77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50" w:type="pct"/>
                  <w:shd w:val="clear" w:color="auto" w:fill="auto"/>
                  <w:vAlign w:val="center"/>
                </w:tcPr>
                <w:p w14:paraId="0C67C6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4A081B7D">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0.0029824456 </w:t>
                  </w:r>
                </w:p>
              </w:tc>
              <w:tc>
                <w:tcPr>
                  <w:tcW w:w="994" w:type="pct"/>
                  <w:shd w:val="clear" w:color="auto" w:fill="auto"/>
                  <w:vAlign w:val="center"/>
                </w:tcPr>
                <w:p w14:paraId="7D1F62BE">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0.0000122937 </w:t>
                  </w:r>
                </w:p>
              </w:tc>
              <w:tc>
                <w:tcPr>
                  <w:tcW w:w="797" w:type="pct"/>
                  <w:shd w:val="clear" w:color="auto" w:fill="auto"/>
                  <w:vAlign w:val="center"/>
                </w:tcPr>
                <w:p w14:paraId="01E796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9.002982446</w:t>
                  </w:r>
                </w:p>
              </w:tc>
              <w:tc>
                <w:tcPr>
                  <w:tcW w:w="797" w:type="pct"/>
                  <w:shd w:val="clear" w:color="auto" w:fill="auto"/>
                  <w:vAlign w:val="center"/>
                </w:tcPr>
                <w:p w14:paraId="481769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0.150012294</w:t>
                  </w:r>
                </w:p>
              </w:tc>
            </w:tr>
            <w:tr w14:paraId="0D9F7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731" w:type="pct"/>
                  <w:vMerge w:val="restart"/>
                  <w:shd w:val="clear" w:color="auto" w:fill="auto"/>
                  <w:vAlign w:val="center"/>
                </w:tcPr>
                <w:p w14:paraId="1405572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10.45（完全混合断面）</w:t>
                  </w:r>
                </w:p>
              </w:tc>
              <w:tc>
                <w:tcPr>
                  <w:tcW w:w="750" w:type="pct"/>
                  <w:shd w:val="clear" w:color="auto" w:fill="auto"/>
                  <w:vAlign w:val="center"/>
                </w:tcPr>
                <w:p w14:paraId="4E6904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57D05402">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0.0009827954 </w:t>
                  </w:r>
                </w:p>
              </w:tc>
              <w:tc>
                <w:tcPr>
                  <w:tcW w:w="994" w:type="pct"/>
                  <w:shd w:val="clear" w:color="auto" w:fill="auto"/>
                  <w:vAlign w:val="center"/>
                </w:tcPr>
                <w:p w14:paraId="4FB9A7E7">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0.00000074517 </w:t>
                  </w:r>
                </w:p>
              </w:tc>
              <w:tc>
                <w:tcPr>
                  <w:tcW w:w="797" w:type="pct"/>
                  <w:shd w:val="clear" w:color="auto" w:fill="auto"/>
                  <w:vAlign w:val="center"/>
                </w:tcPr>
                <w:p w14:paraId="3C8201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9.000982795</w:t>
                  </w:r>
                </w:p>
              </w:tc>
              <w:tc>
                <w:tcPr>
                  <w:tcW w:w="797" w:type="pct"/>
                  <w:shd w:val="clear" w:color="auto" w:fill="auto"/>
                  <w:vAlign w:val="center"/>
                </w:tcPr>
                <w:p w14:paraId="6AEE1E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0.150000745</w:t>
                  </w:r>
                </w:p>
              </w:tc>
            </w:tr>
            <w:tr w14:paraId="2107C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continue"/>
                  <w:shd w:val="clear" w:color="auto" w:fill="auto"/>
                  <w:vAlign w:val="center"/>
                </w:tcPr>
                <w:p w14:paraId="35A330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p>
              </w:tc>
              <w:tc>
                <w:tcPr>
                  <w:tcW w:w="750" w:type="pct"/>
                  <w:shd w:val="clear" w:color="auto" w:fill="auto"/>
                  <w:vAlign w:val="center"/>
                </w:tcPr>
                <w:p w14:paraId="7D48EDF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08E78D01">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0.0020140554 </w:t>
                  </w:r>
                </w:p>
              </w:tc>
              <w:tc>
                <w:tcPr>
                  <w:tcW w:w="994" w:type="pct"/>
                  <w:shd w:val="clear" w:color="auto" w:fill="auto"/>
                  <w:vAlign w:val="center"/>
                </w:tcPr>
                <w:p w14:paraId="107FB5D6">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0.00000691944 </w:t>
                  </w:r>
                </w:p>
              </w:tc>
              <w:tc>
                <w:tcPr>
                  <w:tcW w:w="797" w:type="pct"/>
                  <w:shd w:val="clear" w:color="auto" w:fill="auto"/>
                  <w:vAlign w:val="center"/>
                </w:tcPr>
                <w:p w14:paraId="56A120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9.002014055</w:t>
                  </w:r>
                </w:p>
              </w:tc>
              <w:tc>
                <w:tcPr>
                  <w:tcW w:w="797" w:type="pct"/>
                  <w:shd w:val="clear" w:color="auto" w:fill="auto"/>
                  <w:vAlign w:val="center"/>
                </w:tcPr>
                <w:p w14:paraId="225BF8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0.150006919</w:t>
                  </w:r>
                </w:p>
              </w:tc>
            </w:tr>
            <w:tr w14:paraId="25460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restart"/>
                  <w:shd w:val="clear" w:color="auto" w:fill="auto"/>
                  <w:vAlign w:val="center"/>
                </w:tcPr>
                <w:p w14:paraId="0DE232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20</w:t>
                  </w:r>
                </w:p>
              </w:tc>
              <w:tc>
                <w:tcPr>
                  <w:tcW w:w="750" w:type="pct"/>
                  <w:shd w:val="clear" w:color="auto" w:fill="auto"/>
                  <w:vAlign w:val="center"/>
                </w:tcPr>
                <w:p w14:paraId="16C7C8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72321AD5">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0.0000003343 </w:t>
                  </w:r>
                </w:p>
              </w:tc>
              <w:tc>
                <w:tcPr>
                  <w:tcW w:w="994" w:type="pct"/>
                  <w:shd w:val="clear" w:color="auto" w:fill="auto"/>
                  <w:vAlign w:val="center"/>
                </w:tcPr>
                <w:p w14:paraId="0CCBD76D">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4CFA37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9.000000334</w:t>
                  </w:r>
                </w:p>
              </w:tc>
              <w:tc>
                <w:tcPr>
                  <w:tcW w:w="797" w:type="pct"/>
                  <w:shd w:val="clear" w:color="auto" w:fill="auto"/>
                  <w:vAlign w:val="center"/>
                </w:tcPr>
                <w:p w14:paraId="54FDCB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46BB6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731" w:type="pct"/>
                  <w:vMerge w:val="continue"/>
                  <w:shd w:val="clear" w:color="auto" w:fill="auto"/>
                  <w:vAlign w:val="center"/>
                </w:tcPr>
                <w:p w14:paraId="7BA6BAF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50" w:type="pct"/>
                  <w:shd w:val="clear" w:color="auto" w:fill="auto"/>
                  <w:vAlign w:val="center"/>
                </w:tcPr>
                <w:p w14:paraId="719180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1410E2FF">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0.0000006851 </w:t>
                  </w:r>
                </w:p>
              </w:tc>
              <w:tc>
                <w:tcPr>
                  <w:tcW w:w="994" w:type="pct"/>
                  <w:shd w:val="clear" w:color="auto" w:fill="auto"/>
                  <w:vAlign w:val="center"/>
                </w:tcPr>
                <w:p w14:paraId="2C348526">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0CEF0A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9.000000685</w:t>
                  </w:r>
                </w:p>
              </w:tc>
              <w:tc>
                <w:tcPr>
                  <w:tcW w:w="797" w:type="pct"/>
                  <w:shd w:val="clear" w:color="auto" w:fill="auto"/>
                  <w:vAlign w:val="center"/>
                </w:tcPr>
                <w:p w14:paraId="7BCE41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71BC7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5" w:hRule="atLeast"/>
                <w:jc w:val="center"/>
              </w:trPr>
              <w:tc>
                <w:tcPr>
                  <w:tcW w:w="731" w:type="pct"/>
                  <w:vMerge w:val="restart"/>
                  <w:shd w:val="clear" w:color="auto" w:fill="auto"/>
                  <w:vAlign w:val="center"/>
                </w:tcPr>
                <w:p w14:paraId="5F37E9F5">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30</w:t>
                  </w:r>
                </w:p>
              </w:tc>
              <w:tc>
                <w:tcPr>
                  <w:tcW w:w="750" w:type="pct"/>
                  <w:shd w:val="clear" w:color="auto" w:fill="auto"/>
                  <w:vAlign w:val="center"/>
                </w:tcPr>
                <w:p w14:paraId="2BA969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6524191E">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0.0000000001 </w:t>
                  </w:r>
                </w:p>
              </w:tc>
              <w:tc>
                <w:tcPr>
                  <w:tcW w:w="994" w:type="pct"/>
                  <w:shd w:val="clear" w:color="auto" w:fill="auto"/>
                  <w:vAlign w:val="center"/>
                </w:tcPr>
                <w:p w14:paraId="1E2D3899">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11013A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2885DB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4E424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5" w:hRule="atLeast"/>
                <w:jc w:val="center"/>
              </w:trPr>
              <w:tc>
                <w:tcPr>
                  <w:tcW w:w="731" w:type="pct"/>
                  <w:vMerge w:val="continue"/>
                  <w:shd w:val="clear" w:color="auto" w:fill="auto"/>
                  <w:vAlign w:val="center"/>
                </w:tcPr>
                <w:p w14:paraId="73A3B2B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50" w:type="pct"/>
                  <w:shd w:val="clear" w:color="auto" w:fill="auto"/>
                  <w:vAlign w:val="center"/>
                </w:tcPr>
                <w:p w14:paraId="3510CF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3636697F">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0.0000000001 </w:t>
                  </w:r>
                </w:p>
              </w:tc>
              <w:tc>
                <w:tcPr>
                  <w:tcW w:w="994" w:type="pct"/>
                  <w:shd w:val="clear" w:color="auto" w:fill="auto"/>
                  <w:vAlign w:val="center"/>
                </w:tcPr>
                <w:p w14:paraId="4FF4769C">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6048DE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786FFA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27F77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restart"/>
                  <w:shd w:val="clear" w:color="auto" w:fill="auto"/>
                  <w:vAlign w:val="center"/>
                </w:tcPr>
                <w:p w14:paraId="600C4CB4">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40</w:t>
                  </w:r>
                </w:p>
              </w:tc>
              <w:tc>
                <w:tcPr>
                  <w:tcW w:w="750" w:type="pct"/>
                  <w:shd w:val="clear" w:color="auto" w:fill="auto"/>
                  <w:vAlign w:val="center"/>
                </w:tcPr>
                <w:p w14:paraId="72BD56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3D76C855">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2CAF2B65">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3526F8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0C13EA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213EB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continue"/>
                  <w:shd w:val="clear" w:color="auto" w:fill="auto"/>
                  <w:vAlign w:val="center"/>
                </w:tcPr>
                <w:p w14:paraId="2A3508D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50" w:type="pct"/>
                  <w:shd w:val="clear" w:color="auto" w:fill="auto"/>
                  <w:vAlign w:val="center"/>
                </w:tcPr>
                <w:p w14:paraId="0E832F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1B6B14FF">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7A649092">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4807AB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1E4BFD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771F1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restart"/>
                  <w:shd w:val="clear" w:color="auto" w:fill="auto"/>
                  <w:vAlign w:val="center"/>
                </w:tcPr>
                <w:p w14:paraId="2172BDCB">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750" w:type="pct"/>
                  <w:shd w:val="clear" w:color="auto" w:fill="auto"/>
                  <w:vAlign w:val="center"/>
                </w:tcPr>
                <w:p w14:paraId="123D56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1768A6EA">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5F78878D">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49CB86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43D11D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30255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continue"/>
                  <w:shd w:val="clear" w:color="auto" w:fill="auto"/>
                  <w:vAlign w:val="center"/>
                </w:tcPr>
                <w:p w14:paraId="17441E8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50" w:type="pct"/>
                  <w:shd w:val="clear" w:color="auto" w:fill="auto"/>
                  <w:vAlign w:val="center"/>
                </w:tcPr>
                <w:p w14:paraId="3F97F1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292EBAC8">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686145FD">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43E42E9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079920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69180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restart"/>
                  <w:shd w:val="clear" w:color="auto" w:fill="auto"/>
                  <w:vAlign w:val="center"/>
                </w:tcPr>
                <w:p w14:paraId="51509A12">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300</w:t>
                  </w:r>
                </w:p>
              </w:tc>
              <w:tc>
                <w:tcPr>
                  <w:tcW w:w="750" w:type="pct"/>
                  <w:shd w:val="clear" w:color="auto" w:fill="auto"/>
                  <w:vAlign w:val="center"/>
                </w:tcPr>
                <w:p w14:paraId="52AD94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676423F7">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573123DC">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7218CF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1F16C6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25966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continue"/>
                  <w:shd w:val="clear" w:color="auto" w:fill="auto"/>
                  <w:vAlign w:val="center"/>
                </w:tcPr>
                <w:p w14:paraId="481F7C1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50" w:type="pct"/>
                  <w:shd w:val="clear" w:color="auto" w:fill="auto"/>
                  <w:vAlign w:val="center"/>
                </w:tcPr>
                <w:p w14:paraId="7315E4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363E09D8">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714B58EF">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6EA114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67B3A0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3338D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restart"/>
                  <w:shd w:val="clear" w:color="auto" w:fill="auto"/>
                  <w:vAlign w:val="center"/>
                </w:tcPr>
                <w:p w14:paraId="21748E7E">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500</w:t>
                  </w:r>
                </w:p>
              </w:tc>
              <w:tc>
                <w:tcPr>
                  <w:tcW w:w="750" w:type="pct"/>
                  <w:shd w:val="clear" w:color="auto" w:fill="auto"/>
                  <w:vAlign w:val="center"/>
                </w:tcPr>
                <w:p w14:paraId="42187D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33B78F17">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7E5E0DD3">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2E1E3D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19FB31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1D897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5" w:hRule="atLeast"/>
                <w:jc w:val="center"/>
              </w:trPr>
              <w:tc>
                <w:tcPr>
                  <w:tcW w:w="731" w:type="pct"/>
                  <w:vMerge w:val="continue"/>
                  <w:shd w:val="clear" w:color="auto" w:fill="auto"/>
                  <w:vAlign w:val="center"/>
                </w:tcPr>
                <w:p w14:paraId="7F8134B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50" w:type="pct"/>
                  <w:shd w:val="clear" w:color="auto" w:fill="auto"/>
                  <w:vAlign w:val="center"/>
                </w:tcPr>
                <w:p w14:paraId="284EE2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48F6B0DF">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6018F817">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5AA32D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730718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3E0EB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731" w:type="pct"/>
                  <w:vMerge w:val="restart"/>
                  <w:shd w:val="clear" w:color="auto" w:fill="auto"/>
                  <w:vAlign w:val="center"/>
                </w:tcPr>
                <w:p w14:paraId="14DC311C">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1000</w:t>
                  </w:r>
                </w:p>
              </w:tc>
              <w:tc>
                <w:tcPr>
                  <w:tcW w:w="750" w:type="pct"/>
                  <w:shd w:val="clear" w:color="auto" w:fill="auto"/>
                  <w:vAlign w:val="center"/>
                </w:tcPr>
                <w:p w14:paraId="5FAFF3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46D25A26">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640E190F">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60EB7D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76869B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2C07A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continue"/>
                  <w:shd w:val="clear" w:color="auto" w:fill="auto"/>
                  <w:vAlign w:val="center"/>
                </w:tcPr>
                <w:p w14:paraId="73E9377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50" w:type="pct"/>
                  <w:shd w:val="clear" w:color="auto" w:fill="auto"/>
                  <w:vAlign w:val="center"/>
                </w:tcPr>
                <w:p w14:paraId="60D549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6195258B">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1F2E96C8">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203F22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635FB0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38562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5" w:hRule="atLeast"/>
                <w:jc w:val="center"/>
              </w:trPr>
              <w:tc>
                <w:tcPr>
                  <w:tcW w:w="731" w:type="pct"/>
                  <w:vMerge w:val="restart"/>
                  <w:shd w:val="clear" w:color="auto" w:fill="auto"/>
                  <w:vAlign w:val="center"/>
                </w:tcPr>
                <w:p w14:paraId="4B8E98B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1500</w:t>
                  </w:r>
                  <w:r>
                    <w:rPr>
                      <w:rStyle w:val="66"/>
                      <w:rFonts w:hint="default" w:ascii="Times New Roman" w:hAnsi="Times New Roman" w:cs="Times New Roman"/>
                      <w:color w:val="auto"/>
                      <w:lang w:val="en-US" w:eastAsia="zh-CN" w:bidi="ar"/>
                    </w:rPr>
                    <w:t>（评价断面处）</w:t>
                  </w:r>
                </w:p>
              </w:tc>
              <w:tc>
                <w:tcPr>
                  <w:tcW w:w="750" w:type="pct"/>
                  <w:shd w:val="clear" w:color="auto" w:fill="auto"/>
                  <w:vAlign w:val="center"/>
                </w:tcPr>
                <w:p w14:paraId="49E1CA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7FED8019">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5E05EAEC">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696C6F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0CC3AF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4D657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31" w:type="pct"/>
                  <w:vMerge w:val="continue"/>
                  <w:shd w:val="clear" w:color="auto" w:fill="auto"/>
                  <w:vAlign w:val="center"/>
                </w:tcPr>
                <w:p w14:paraId="1BEFBCB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p>
              </w:tc>
              <w:tc>
                <w:tcPr>
                  <w:tcW w:w="750" w:type="pct"/>
                  <w:shd w:val="clear" w:color="auto" w:fill="auto"/>
                  <w:vAlign w:val="center"/>
                </w:tcPr>
                <w:p w14:paraId="42F5BB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4215B58C">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4" w:type="pct"/>
                  <w:shd w:val="clear" w:color="auto" w:fill="auto"/>
                  <w:vAlign w:val="center"/>
                </w:tcPr>
                <w:p w14:paraId="08C7DA3C">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797" w:type="pct"/>
                  <w:shd w:val="clear" w:color="auto" w:fill="auto"/>
                  <w:vAlign w:val="center"/>
                </w:tcPr>
                <w:p w14:paraId="2EF1FF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7" w:type="pct"/>
                  <w:shd w:val="clear" w:color="auto" w:fill="auto"/>
                  <w:vAlign w:val="center"/>
                </w:tcPr>
                <w:p w14:paraId="5F9926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3CA44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7" w:hRule="atLeast"/>
                <w:jc w:val="center"/>
              </w:trPr>
              <w:tc>
                <w:tcPr>
                  <w:tcW w:w="1482" w:type="pct"/>
                  <w:gridSpan w:val="2"/>
                  <w:shd w:val="clear" w:color="auto" w:fill="auto"/>
                  <w:vAlign w:val="center"/>
                </w:tcPr>
                <w:p w14:paraId="30C321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《陕西省黄河流域污水综合排放标准》（</w:t>
                  </w:r>
                  <w:r>
                    <w:rPr>
                      <w:rStyle w:val="67"/>
                      <w:rFonts w:hint="default" w:ascii="Times New Roman" w:hAnsi="Times New Roman" w:eastAsia="宋体" w:cs="Times New Roman"/>
                      <w:color w:val="auto"/>
                      <w:lang w:val="en-US" w:eastAsia="zh-CN" w:bidi="ar"/>
                    </w:rPr>
                    <w:t>DB6/224--2018</w:t>
                  </w:r>
                  <w:r>
                    <w:rPr>
                      <w:rStyle w:val="66"/>
                      <w:rFonts w:hint="default" w:ascii="Times New Roman" w:hAnsi="Times New Roman" w:cs="Times New Roman"/>
                      <w:color w:val="auto"/>
                      <w:lang w:val="en-US" w:eastAsia="zh-CN" w:bidi="ar"/>
                    </w:rPr>
                    <w:t>）表</w:t>
                  </w:r>
                  <w:r>
                    <w:rPr>
                      <w:rStyle w:val="67"/>
                      <w:rFonts w:hint="default" w:ascii="Times New Roman" w:hAnsi="Times New Roman" w:eastAsia="宋体" w:cs="Times New Roman"/>
                      <w:color w:val="auto"/>
                      <w:lang w:val="en-US" w:eastAsia="zh-CN" w:bidi="ar"/>
                    </w:rPr>
                    <w:t>1</w:t>
                  </w:r>
                  <w:r>
                    <w:rPr>
                      <w:rStyle w:val="66"/>
                      <w:rFonts w:hint="default" w:ascii="Times New Roman" w:hAnsi="Times New Roman" w:cs="Times New Roman"/>
                      <w:color w:val="auto"/>
                      <w:lang w:val="en-US" w:eastAsia="zh-CN" w:bidi="ar"/>
                    </w:rPr>
                    <w:t>中</w:t>
                  </w:r>
                  <w:r>
                    <w:rPr>
                      <w:rStyle w:val="67"/>
                      <w:rFonts w:hint="default" w:ascii="Times New Roman" w:hAnsi="Times New Roman" w:eastAsia="宋体" w:cs="Times New Roman"/>
                      <w:color w:val="auto"/>
                      <w:lang w:val="en-US" w:eastAsia="zh-CN" w:bidi="ar"/>
                    </w:rPr>
                    <w:t>A</w:t>
                  </w:r>
                  <w:r>
                    <w:rPr>
                      <w:rStyle w:val="66"/>
                      <w:rFonts w:hint="default" w:ascii="Times New Roman" w:hAnsi="Times New Roman" w:cs="Times New Roman"/>
                      <w:color w:val="auto"/>
                      <w:lang w:val="en-US" w:eastAsia="zh-CN" w:bidi="ar"/>
                    </w:rPr>
                    <w:t>标准</w:t>
                  </w:r>
                </w:p>
              </w:tc>
              <w:tc>
                <w:tcPr>
                  <w:tcW w:w="927" w:type="pct"/>
                  <w:shd w:val="clear" w:color="auto" w:fill="auto"/>
                  <w:vAlign w:val="center"/>
                </w:tcPr>
                <w:p w14:paraId="3FDDEE2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2"/>
                      <w:szCs w:val="22"/>
                      <w:u w:val="none"/>
                      <w:lang w:val="en-US" w:eastAsia="zh-CN"/>
                    </w:rPr>
                    <w:t>/</w:t>
                  </w:r>
                </w:p>
              </w:tc>
              <w:tc>
                <w:tcPr>
                  <w:tcW w:w="994" w:type="pct"/>
                  <w:shd w:val="clear" w:color="auto" w:fill="auto"/>
                  <w:vAlign w:val="center"/>
                </w:tcPr>
                <w:p w14:paraId="374ADFD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2"/>
                      <w:szCs w:val="22"/>
                      <w:u w:val="none"/>
                      <w:lang w:val="en-US" w:eastAsia="zh-CN"/>
                    </w:rPr>
                    <w:t>/</w:t>
                  </w:r>
                </w:p>
              </w:tc>
              <w:tc>
                <w:tcPr>
                  <w:tcW w:w="797" w:type="pct"/>
                  <w:shd w:val="clear" w:color="auto" w:fill="auto"/>
                  <w:vAlign w:val="center"/>
                </w:tcPr>
                <w:p w14:paraId="00BD8C4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30</w:t>
                  </w:r>
                </w:p>
              </w:tc>
              <w:tc>
                <w:tcPr>
                  <w:tcW w:w="797" w:type="pct"/>
                  <w:shd w:val="clear" w:color="auto" w:fill="auto"/>
                  <w:vAlign w:val="center"/>
                </w:tcPr>
                <w:p w14:paraId="79DFAF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1.5</w:t>
                  </w:r>
                </w:p>
              </w:tc>
            </w:tr>
            <w:tr w14:paraId="084A4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482" w:type="pct"/>
                  <w:gridSpan w:val="2"/>
                  <w:shd w:val="clear" w:color="auto" w:fill="auto"/>
                  <w:vAlign w:val="center"/>
                </w:tcPr>
                <w:p w14:paraId="78263D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《地表水环境质量标准》（</w:t>
                  </w:r>
                  <w:r>
                    <w:rPr>
                      <w:rStyle w:val="67"/>
                      <w:rFonts w:hint="default" w:ascii="Times New Roman" w:hAnsi="Times New Roman" w:eastAsia="宋体" w:cs="Times New Roman"/>
                      <w:color w:val="auto"/>
                      <w:lang w:val="en-US" w:eastAsia="zh-CN" w:bidi="ar"/>
                    </w:rPr>
                    <w:t>GB3838-2002</w:t>
                  </w:r>
                  <w:r>
                    <w:rPr>
                      <w:rStyle w:val="66"/>
                      <w:rFonts w:hint="default" w:ascii="Times New Roman" w:hAnsi="Times New Roman" w:cs="Times New Roman"/>
                      <w:color w:val="auto"/>
                      <w:lang w:val="en-US" w:eastAsia="zh-CN" w:bidi="ar"/>
                    </w:rPr>
                    <w:t>）的Ⅲ类标准</w:t>
                  </w:r>
                </w:p>
              </w:tc>
              <w:tc>
                <w:tcPr>
                  <w:tcW w:w="927" w:type="pct"/>
                  <w:shd w:val="clear" w:color="auto" w:fill="auto"/>
                  <w:noWrap/>
                  <w:vAlign w:val="center"/>
                </w:tcPr>
                <w:p w14:paraId="16E399D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2"/>
                      <w:szCs w:val="22"/>
                      <w:u w:val="none"/>
                      <w:lang w:val="en-US" w:eastAsia="zh-CN"/>
                    </w:rPr>
                  </w:pPr>
                  <w:r>
                    <w:rPr>
                      <w:rFonts w:hint="default" w:ascii="Times New Roman" w:hAnsi="Times New Roman" w:eastAsia="宋体" w:cs="Times New Roman"/>
                      <w:i w:val="0"/>
                      <w:iCs w:val="0"/>
                      <w:color w:val="auto"/>
                      <w:sz w:val="22"/>
                      <w:szCs w:val="22"/>
                      <w:u w:val="none"/>
                      <w:lang w:val="en-US" w:eastAsia="zh-CN"/>
                    </w:rPr>
                    <w:t>/</w:t>
                  </w:r>
                </w:p>
              </w:tc>
              <w:tc>
                <w:tcPr>
                  <w:tcW w:w="994" w:type="pct"/>
                  <w:shd w:val="clear" w:color="auto" w:fill="auto"/>
                  <w:noWrap/>
                  <w:vAlign w:val="center"/>
                </w:tcPr>
                <w:p w14:paraId="04C2865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2"/>
                      <w:szCs w:val="22"/>
                      <w:u w:val="none"/>
                      <w:lang w:val="en-US" w:eastAsia="zh-CN"/>
                    </w:rPr>
                  </w:pPr>
                  <w:r>
                    <w:rPr>
                      <w:rFonts w:hint="default" w:ascii="Times New Roman" w:hAnsi="Times New Roman" w:eastAsia="宋体" w:cs="Times New Roman"/>
                      <w:i w:val="0"/>
                      <w:iCs w:val="0"/>
                      <w:color w:val="auto"/>
                      <w:sz w:val="22"/>
                      <w:szCs w:val="22"/>
                      <w:u w:val="none"/>
                      <w:lang w:val="en-US" w:eastAsia="zh-CN"/>
                    </w:rPr>
                    <w:t>/</w:t>
                  </w:r>
                </w:p>
              </w:tc>
              <w:tc>
                <w:tcPr>
                  <w:tcW w:w="797" w:type="pct"/>
                  <w:shd w:val="clear" w:color="auto" w:fill="auto"/>
                  <w:vAlign w:val="center"/>
                </w:tcPr>
                <w:p w14:paraId="1CEE9F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797" w:type="pct"/>
                  <w:shd w:val="clear" w:color="auto" w:fill="auto"/>
                  <w:vAlign w:val="center"/>
                </w:tcPr>
                <w:p w14:paraId="138C13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w:t>
                  </w:r>
                </w:p>
              </w:tc>
            </w:tr>
          </w:tbl>
          <w:p w14:paraId="519DB38B">
            <w:pPr>
              <w:keepNext w:val="0"/>
              <w:keepLines w:val="0"/>
              <w:pageBreakBefore w:val="0"/>
              <w:widowControl w:val="0"/>
              <w:suppressLineNumbers w:val="0"/>
              <w:tabs>
                <w:tab w:val="left" w:pos="4057"/>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rPr>
              <w:t>从上表可以看出，</w:t>
            </w:r>
            <w:r>
              <w:rPr>
                <w:rFonts w:hint="eastAsia" w:ascii="Times New Roman" w:hAnsi="Times New Roman" w:eastAsia="宋体" w:cs="Times New Roman"/>
                <w:color w:val="auto"/>
                <w:spacing w:val="0"/>
                <w:w w:val="100"/>
                <w:sz w:val="24"/>
                <w:szCs w:val="24"/>
                <w:lang w:eastAsia="zh-CN"/>
              </w:rPr>
              <w:t>项目排污口上游</w:t>
            </w:r>
            <w:r>
              <w:rPr>
                <w:rFonts w:hint="eastAsia" w:ascii="Times New Roman" w:hAnsi="Times New Roman" w:eastAsia="宋体" w:cs="Times New Roman"/>
                <w:color w:val="auto"/>
                <w:spacing w:val="0"/>
                <w:w w:val="100"/>
                <w:sz w:val="24"/>
                <w:szCs w:val="24"/>
                <w:lang w:val="en-US" w:eastAsia="zh-CN"/>
              </w:rPr>
              <w:t>10m处</w:t>
            </w:r>
            <w:r>
              <w:rPr>
                <w:rFonts w:hint="eastAsia" w:ascii="Times New Roman" w:hAnsi="Times New Roman" w:eastAsia="宋体" w:cs="Times New Roman"/>
                <w:color w:val="auto"/>
                <w:spacing w:val="0"/>
                <w:w w:val="100"/>
                <w:sz w:val="24"/>
                <w:szCs w:val="24"/>
                <w:lang w:eastAsia="zh-CN"/>
              </w:rPr>
              <w:t>排水相较河水流量极小，基本不受尾水排放回水影响。</w:t>
            </w:r>
            <w:r>
              <w:rPr>
                <w:rFonts w:hint="default" w:ascii="Times New Roman" w:hAnsi="Times New Roman" w:eastAsia="宋体" w:cs="Times New Roman"/>
                <w:color w:val="auto"/>
                <w:spacing w:val="0"/>
                <w:w w:val="100"/>
                <w:sz w:val="24"/>
                <w:szCs w:val="24"/>
              </w:rPr>
              <w:t>项目污水处理厂正常工况下</w:t>
            </w:r>
            <w:r>
              <w:rPr>
                <w:rFonts w:hint="eastAsia" w:ascii="Times New Roman" w:hAnsi="Times New Roman" w:eastAsia="宋体" w:cs="Times New Roman"/>
                <w:color w:val="auto"/>
                <w:spacing w:val="0"/>
                <w:w w:val="100"/>
                <w:sz w:val="24"/>
                <w:szCs w:val="24"/>
                <w:lang w:eastAsia="zh-CN"/>
              </w:rPr>
              <w:t>项目</w:t>
            </w:r>
            <w:r>
              <w:rPr>
                <w:rFonts w:hint="default" w:ascii="Times New Roman" w:hAnsi="Times New Roman" w:eastAsia="宋体" w:cs="Times New Roman"/>
                <w:color w:val="auto"/>
                <w:spacing w:val="0"/>
                <w:w w:val="100"/>
                <w:sz w:val="24"/>
                <w:szCs w:val="24"/>
              </w:rPr>
              <w:t>排污口处</w:t>
            </w:r>
            <w:r>
              <w:rPr>
                <w:rFonts w:hint="default" w:ascii="Times New Roman" w:hAnsi="Times New Roman" w:eastAsia="Times New Roman" w:cs="Times New Roman"/>
                <w:color w:val="auto"/>
                <w:spacing w:val="0"/>
                <w:w w:val="100"/>
                <w:sz w:val="24"/>
                <w:szCs w:val="24"/>
              </w:rPr>
              <w:t>COD</w:t>
            </w:r>
            <w:r>
              <w:rPr>
                <w:rFonts w:hint="default" w:ascii="Times New Roman" w:hAnsi="Times New Roman" w:eastAsia="宋体" w:cs="Times New Roman"/>
                <w:color w:val="auto"/>
                <w:spacing w:val="0"/>
                <w:w w:val="100"/>
                <w:sz w:val="24"/>
                <w:szCs w:val="24"/>
              </w:rPr>
              <w:t>和氨氮浓度均满足《陕西省黄河流域污水综合排放标准》（</w:t>
            </w:r>
            <w:r>
              <w:rPr>
                <w:rFonts w:hint="eastAsia" w:ascii="Times New Roman" w:hAnsi="Times New Roman" w:eastAsia="宋体" w:cs="Times New Roman"/>
                <w:color w:val="auto"/>
                <w:spacing w:val="0"/>
                <w:w w:val="100"/>
                <w:sz w:val="24"/>
                <w:szCs w:val="24"/>
                <w:lang w:eastAsia="zh-CN"/>
              </w:rPr>
              <w:t>DB61/224-2018</w:t>
            </w:r>
            <w:r>
              <w:rPr>
                <w:rFonts w:hint="default" w:ascii="Times New Roman" w:hAnsi="Times New Roman" w:eastAsia="宋体" w:cs="Times New Roman"/>
                <w:color w:val="auto"/>
                <w:spacing w:val="0"/>
                <w:w w:val="100"/>
                <w:sz w:val="24"/>
                <w:szCs w:val="24"/>
              </w:rPr>
              <w:t>）表</w:t>
            </w:r>
            <w:r>
              <w:rPr>
                <w:rFonts w:hint="default" w:ascii="Times New Roman" w:hAnsi="Times New Roman" w:eastAsia="Times New Roman" w:cs="Times New Roman"/>
                <w:color w:val="auto"/>
                <w:spacing w:val="0"/>
                <w:w w:val="100"/>
                <w:sz w:val="24"/>
                <w:szCs w:val="24"/>
              </w:rPr>
              <w:t>1</w:t>
            </w:r>
            <w:r>
              <w:rPr>
                <w:rFonts w:hint="default" w:ascii="Times New Roman" w:hAnsi="Times New Roman" w:eastAsia="宋体" w:cs="Times New Roman"/>
                <w:color w:val="auto"/>
                <w:spacing w:val="0"/>
                <w:w w:val="100"/>
                <w:sz w:val="24"/>
                <w:szCs w:val="24"/>
              </w:rPr>
              <w:t>中</w:t>
            </w:r>
            <w:r>
              <w:rPr>
                <w:rFonts w:hint="default" w:ascii="Times New Roman" w:hAnsi="Times New Roman" w:eastAsia="Times New Roman" w:cs="Times New Roman"/>
                <w:color w:val="auto"/>
                <w:spacing w:val="0"/>
                <w:w w:val="100"/>
                <w:sz w:val="24"/>
                <w:szCs w:val="24"/>
              </w:rPr>
              <w:t>A</w:t>
            </w:r>
            <w:r>
              <w:rPr>
                <w:rFonts w:hint="default" w:ascii="Times New Roman" w:hAnsi="Times New Roman" w:eastAsia="宋体" w:cs="Times New Roman"/>
                <w:color w:val="auto"/>
                <w:spacing w:val="0"/>
                <w:w w:val="100"/>
                <w:sz w:val="24"/>
                <w:szCs w:val="24"/>
              </w:rPr>
              <w:t>标准；排污口</w:t>
            </w:r>
            <w:r>
              <w:rPr>
                <w:rFonts w:hint="eastAsia" w:ascii="Times New Roman" w:hAnsi="Times New Roman" w:eastAsia="宋体" w:cs="Times New Roman"/>
                <w:color w:val="auto"/>
                <w:spacing w:val="0"/>
                <w:w w:val="100"/>
                <w:sz w:val="24"/>
                <w:szCs w:val="24"/>
                <w:lang w:eastAsia="zh-CN"/>
              </w:rPr>
              <w:t>上游</w:t>
            </w:r>
            <w:r>
              <w:rPr>
                <w:rFonts w:hint="eastAsia" w:ascii="Times New Roman" w:hAnsi="Times New Roman" w:eastAsia="宋体" w:cs="Times New Roman"/>
                <w:color w:val="auto"/>
                <w:spacing w:val="0"/>
                <w:w w:val="100"/>
                <w:sz w:val="24"/>
                <w:szCs w:val="24"/>
                <w:lang w:val="en-US" w:eastAsia="zh-CN"/>
              </w:rPr>
              <w:t>10m处、</w:t>
            </w:r>
            <w:r>
              <w:rPr>
                <w:rFonts w:hint="default" w:ascii="Times New Roman" w:hAnsi="Times New Roman" w:eastAsia="宋体" w:cs="Times New Roman"/>
                <w:color w:val="auto"/>
                <w:spacing w:val="0"/>
                <w:w w:val="100"/>
                <w:sz w:val="24"/>
                <w:szCs w:val="24"/>
                <w:lang w:eastAsia="zh-CN"/>
              </w:rPr>
              <w:t>下游</w:t>
            </w:r>
            <w:r>
              <w:rPr>
                <w:rFonts w:hint="eastAsia" w:ascii="Times New Roman" w:hAnsi="Times New Roman" w:eastAsia="宋体" w:cs="Times New Roman"/>
                <w:color w:val="auto"/>
                <w:spacing w:val="0"/>
                <w:w w:val="100"/>
                <w:sz w:val="24"/>
                <w:szCs w:val="24"/>
                <w:lang w:eastAsia="zh-CN"/>
              </w:rPr>
              <w:t>完全混合断面</w:t>
            </w:r>
            <w:r>
              <w:rPr>
                <w:rFonts w:hint="eastAsia" w:ascii="Times New Roman" w:hAnsi="Times New Roman" w:eastAsia="宋体" w:cs="Times New Roman"/>
                <w:color w:val="auto"/>
                <w:spacing w:val="0"/>
                <w:w w:val="100"/>
                <w:sz w:val="24"/>
                <w:szCs w:val="24"/>
                <w:lang w:val="en-US" w:eastAsia="zh-CN"/>
              </w:rPr>
              <w:t>10.45m处及</w:t>
            </w:r>
            <w:r>
              <w:rPr>
                <w:rFonts w:hint="default" w:ascii="Times New Roman" w:hAnsi="Times New Roman" w:eastAsia="宋体" w:cs="Times New Roman"/>
                <w:color w:val="auto"/>
                <w:spacing w:val="0"/>
                <w:w w:val="100"/>
                <w:sz w:val="24"/>
                <w:szCs w:val="24"/>
                <w:lang w:eastAsia="zh-CN"/>
              </w:rPr>
              <w:t>1500m处的COD浓度和氨</w:t>
            </w:r>
            <w:r>
              <w:rPr>
                <w:rFonts w:hint="default" w:ascii="Times New Roman" w:hAnsi="Times New Roman" w:eastAsia="宋体" w:cs="Times New Roman"/>
                <w:color w:val="auto"/>
                <w:spacing w:val="0"/>
                <w:w w:val="100"/>
                <w:sz w:val="24"/>
                <w:szCs w:val="24"/>
              </w:rPr>
              <w:t>氮浓度</w:t>
            </w:r>
            <w:r>
              <w:rPr>
                <w:rFonts w:hint="eastAsia" w:ascii="Times New Roman" w:hAnsi="Times New Roman" w:eastAsia="宋体" w:cs="Times New Roman"/>
                <w:color w:val="auto"/>
                <w:spacing w:val="0"/>
                <w:w w:val="100"/>
                <w:sz w:val="24"/>
                <w:szCs w:val="24"/>
                <w:lang w:eastAsia="zh-CN"/>
              </w:rPr>
              <w:t>均</w:t>
            </w:r>
            <w:r>
              <w:rPr>
                <w:rFonts w:hint="default" w:ascii="Times New Roman" w:hAnsi="Times New Roman" w:eastAsia="宋体" w:cs="Times New Roman"/>
                <w:color w:val="auto"/>
                <w:spacing w:val="0"/>
                <w:w w:val="100"/>
                <w:sz w:val="24"/>
                <w:szCs w:val="24"/>
              </w:rPr>
              <w:t>满足《地表水环境质量标准》（</w:t>
            </w:r>
            <w:r>
              <w:rPr>
                <w:rFonts w:hint="default" w:ascii="Times New Roman" w:hAnsi="Times New Roman" w:eastAsia="Times New Roman" w:cs="Times New Roman"/>
                <w:color w:val="auto"/>
                <w:spacing w:val="0"/>
                <w:w w:val="100"/>
                <w:sz w:val="24"/>
                <w:szCs w:val="24"/>
              </w:rPr>
              <w:t>GB3838-2002</w:t>
            </w:r>
            <w:r>
              <w:rPr>
                <w:rFonts w:hint="default" w:ascii="Times New Roman" w:hAnsi="Times New Roman" w:eastAsia="宋体" w:cs="Times New Roman"/>
                <w:color w:val="auto"/>
                <w:spacing w:val="0"/>
                <w:w w:val="100"/>
                <w:sz w:val="24"/>
                <w:szCs w:val="24"/>
              </w:rPr>
              <w:t>）的</w:t>
            </w:r>
            <w:r>
              <w:rPr>
                <w:rFonts w:hint="eastAsia" w:ascii="Times New Roman" w:hAnsi="Times New Roman" w:eastAsia="宋体" w:cs="Times New Roman"/>
                <w:color w:val="auto"/>
                <w:spacing w:val="0"/>
                <w:w w:val="100"/>
                <w:sz w:val="24"/>
                <w:szCs w:val="24"/>
                <w:lang w:eastAsia="zh-CN"/>
              </w:rPr>
              <w:t>Ⅲ类</w:t>
            </w:r>
            <w:r>
              <w:rPr>
                <w:rFonts w:hint="default" w:ascii="Times New Roman" w:hAnsi="Times New Roman" w:eastAsia="宋体" w:cs="Times New Roman"/>
                <w:color w:val="auto"/>
                <w:spacing w:val="0"/>
                <w:w w:val="100"/>
                <w:sz w:val="24"/>
                <w:szCs w:val="24"/>
              </w:rPr>
              <w:t>标准</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非正常工况下排污口处</w:t>
            </w:r>
            <w:r>
              <w:rPr>
                <w:rFonts w:hint="default" w:ascii="Times New Roman" w:hAnsi="Times New Roman" w:eastAsia="Times New Roman" w:cs="Times New Roman"/>
                <w:color w:val="auto"/>
                <w:spacing w:val="0"/>
                <w:w w:val="100"/>
                <w:sz w:val="24"/>
                <w:szCs w:val="24"/>
              </w:rPr>
              <w:t>COD</w:t>
            </w:r>
            <w:r>
              <w:rPr>
                <w:rFonts w:hint="default" w:ascii="Times New Roman" w:hAnsi="Times New Roman" w:eastAsia="宋体" w:cs="Times New Roman"/>
                <w:color w:val="auto"/>
                <w:spacing w:val="0"/>
                <w:w w:val="100"/>
                <w:sz w:val="24"/>
                <w:szCs w:val="24"/>
              </w:rPr>
              <w:t>浓度</w:t>
            </w:r>
            <w:r>
              <w:rPr>
                <w:rFonts w:hint="eastAsia" w:ascii="Times New Roman" w:hAnsi="Times New Roman" w:eastAsia="宋体" w:cs="Times New Roman"/>
                <w:color w:val="auto"/>
                <w:spacing w:val="0"/>
                <w:w w:val="100"/>
                <w:sz w:val="24"/>
                <w:szCs w:val="24"/>
                <w:lang w:eastAsia="zh-CN"/>
              </w:rPr>
              <w:t>超过</w:t>
            </w:r>
            <w:r>
              <w:rPr>
                <w:rFonts w:hint="default" w:ascii="Times New Roman" w:hAnsi="Times New Roman" w:eastAsia="宋体" w:cs="Times New Roman"/>
                <w:color w:val="auto"/>
                <w:spacing w:val="0"/>
                <w:w w:val="100"/>
                <w:sz w:val="24"/>
                <w:szCs w:val="24"/>
              </w:rPr>
              <w:t>《陕西省黄河流域污水综合排放标准》（</w:t>
            </w:r>
            <w:r>
              <w:rPr>
                <w:rFonts w:hint="eastAsia" w:ascii="Times New Roman" w:hAnsi="Times New Roman" w:eastAsia="宋体" w:cs="Times New Roman"/>
                <w:color w:val="auto"/>
                <w:spacing w:val="0"/>
                <w:w w:val="100"/>
                <w:sz w:val="24"/>
                <w:szCs w:val="24"/>
                <w:lang w:eastAsia="zh-CN"/>
              </w:rPr>
              <w:t>DB61/224-2018</w:t>
            </w:r>
            <w:r>
              <w:rPr>
                <w:rFonts w:hint="default" w:ascii="Times New Roman" w:hAnsi="Times New Roman" w:eastAsia="宋体" w:cs="Times New Roman"/>
                <w:color w:val="auto"/>
                <w:spacing w:val="0"/>
                <w:w w:val="100"/>
                <w:sz w:val="24"/>
                <w:szCs w:val="24"/>
              </w:rPr>
              <w:t>）表</w:t>
            </w:r>
            <w:r>
              <w:rPr>
                <w:rFonts w:hint="default" w:ascii="Times New Roman" w:hAnsi="Times New Roman" w:eastAsia="Times New Roman" w:cs="Times New Roman"/>
                <w:color w:val="auto"/>
                <w:spacing w:val="0"/>
                <w:w w:val="100"/>
                <w:sz w:val="24"/>
                <w:szCs w:val="24"/>
              </w:rPr>
              <w:t>1</w:t>
            </w:r>
            <w:r>
              <w:rPr>
                <w:rFonts w:hint="default" w:ascii="Times New Roman" w:hAnsi="Times New Roman" w:eastAsia="宋体" w:cs="Times New Roman"/>
                <w:color w:val="auto"/>
                <w:spacing w:val="0"/>
                <w:w w:val="100"/>
                <w:sz w:val="24"/>
                <w:szCs w:val="24"/>
              </w:rPr>
              <w:t>中</w:t>
            </w:r>
            <w:r>
              <w:rPr>
                <w:rFonts w:hint="default" w:ascii="Times New Roman" w:hAnsi="Times New Roman" w:eastAsia="Times New Roman" w:cs="Times New Roman"/>
                <w:color w:val="auto"/>
                <w:spacing w:val="0"/>
                <w:w w:val="100"/>
                <w:sz w:val="24"/>
                <w:szCs w:val="24"/>
              </w:rPr>
              <w:t>A</w:t>
            </w:r>
            <w:r>
              <w:rPr>
                <w:rFonts w:hint="default" w:ascii="Times New Roman" w:hAnsi="Times New Roman" w:eastAsia="宋体" w:cs="Times New Roman"/>
                <w:color w:val="auto"/>
                <w:spacing w:val="0"/>
                <w:w w:val="100"/>
                <w:sz w:val="24"/>
                <w:szCs w:val="24"/>
              </w:rPr>
              <w:t>标准</w:t>
            </w:r>
            <w:r>
              <w:rPr>
                <w:rFonts w:hint="eastAsia" w:ascii="Times New Roman" w:hAnsi="Times New Roman" w:eastAsia="宋体" w:cs="Times New Roman"/>
                <w:color w:val="auto"/>
                <w:spacing w:val="0"/>
                <w:w w:val="100"/>
                <w:sz w:val="24"/>
                <w:szCs w:val="24"/>
                <w:lang w:eastAsia="zh-CN"/>
              </w:rPr>
              <w:t>，超标排放，但削减至</w:t>
            </w:r>
            <w:r>
              <w:rPr>
                <w:rFonts w:hint="default" w:ascii="Times New Roman" w:hAnsi="Times New Roman" w:eastAsia="宋体" w:cs="Times New Roman"/>
                <w:color w:val="auto"/>
                <w:spacing w:val="0"/>
                <w:w w:val="100"/>
                <w:sz w:val="24"/>
                <w:szCs w:val="24"/>
              </w:rPr>
              <w:t>下游</w:t>
            </w:r>
            <w:r>
              <w:rPr>
                <w:rFonts w:hint="eastAsia" w:ascii="Times New Roman" w:hAnsi="Times New Roman" w:eastAsia="宋体" w:cs="Times New Roman"/>
                <w:color w:val="auto"/>
                <w:spacing w:val="0"/>
                <w:w w:val="100"/>
                <w:sz w:val="24"/>
                <w:szCs w:val="24"/>
                <w:lang w:val="en-US" w:eastAsia="zh-CN"/>
              </w:rPr>
              <w:t>10</w:t>
            </w:r>
            <w:r>
              <w:rPr>
                <w:rFonts w:hint="default" w:ascii="Times New Roman" w:hAnsi="Times New Roman" w:eastAsia="Times New Roman" w:cs="Times New Roman"/>
                <w:color w:val="auto"/>
                <w:spacing w:val="0"/>
                <w:w w:val="100"/>
                <w:sz w:val="24"/>
                <w:szCs w:val="24"/>
              </w:rPr>
              <w:t>m</w:t>
            </w:r>
            <w:r>
              <w:rPr>
                <w:rFonts w:hint="default" w:ascii="Times New Roman" w:hAnsi="Times New Roman" w:eastAsia="宋体" w:cs="Times New Roman"/>
                <w:color w:val="auto"/>
                <w:spacing w:val="0"/>
                <w:w w:val="100"/>
                <w:sz w:val="24"/>
                <w:szCs w:val="24"/>
              </w:rPr>
              <w:t>处</w:t>
            </w:r>
            <w:r>
              <w:rPr>
                <w:rFonts w:hint="default" w:ascii="Times New Roman" w:hAnsi="Times New Roman" w:eastAsia="Times New Roman" w:cs="Times New Roman"/>
                <w:color w:val="auto"/>
                <w:spacing w:val="0"/>
                <w:w w:val="100"/>
                <w:sz w:val="24"/>
                <w:szCs w:val="24"/>
              </w:rPr>
              <w:t>COD</w:t>
            </w:r>
            <w:r>
              <w:rPr>
                <w:rFonts w:hint="default" w:ascii="Times New Roman" w:hAnsi="Times New Roman" w:eastAsia="宋体" w:cs="Times New Roman"/>
                <w:color w:val="auto"/>
                <w:spacing w:val="0"/>
                <w:w w:val="100"/>
                <w:sz w:val="24"/>
                <w:szCs w:val="24"/>
              </w:rPr>
              <w:t>和氨氮浓度</w:t>
            </w:r>
            <w:r>
              <w:rPr>
                <w:rFonts w:hint="eastAsia" w:ascii="Times New Roman" w:hAnsi="Times New Roman" w:eastAsia="宋体" w:cs="Times New Roman"/>
                <w:color w:val="auto"/>
                <w:spacing w:val="0"/>
                <w:w w:val="100"/>
                <w:sz w:val="24"/>
                <w:szCs w:val="24"/>
                <w:lang w:eastAsia="zh-CN"/>
              </w:rPr>
              <w:t>均满足</w:t>
            </w:r>
            <w:r>
              <w:rPr>
                <w:rFonts w:hint="default" w:ascii="Times New Roman" w:hAnsi="Times New Roman" w:eastAsia="宋体" w:cs="Times New Roman"/>
                <w:color w:val="auto"/>
                <w:spacing w:val="0"/>
                <w:w w:val="100"/>
                <w:sz w:val="24"/>
                <w:szCs w:val="24"/>
              </w:rPr>
              <w:t>《地表水环境质量标准》的</w:t>
            </w:r>
            <w:r>
              <w:rPr>
                <w:rFonts w:hint="eastAsia" w:ascii="Times New Roman" w:hAnsi="Times New Roman" w:eastAsia="宋体" w:cs="Times New Roman"/>
                <w:color w:val="auto"/>
                <w:spacing w:val="0"/>
                <w:w w:val="100"/>
                <w:sz w:val="24"/>
                <w:szCs w:val="24"/>
                <w:lang w:eastAsia="zh-CN"/>
              </w:rPr>
              <w:t>Ⅲ类</w:t>
            </w:r>
            <w:r>
              <w:rPr>
                <w:rFonts w:hint="default" w:ascii="Times New Roman" w:hAnsi="Times New Roman" w:eastAsia="宋体" w:cs="Times New Roman"/>
                <w:color w:val="auto"/>
                <w:spacing w:val="0"/>
                <w:w w:val="100"/>
                <w:sz w:val="24"/>
                <w:szCs w:val="24"/>
              </w:rPr>
              <w:t>标准，</w:t>
            </w:r>
            <w:r>
              <w:rPr>
                <w:rFonts w:hint="eastAsia" w:ascii="Times New Roman" w:hAnsi="Times New Roman" w:eastAsia="宋体" w:cs="Times New Roman"/>
                <w:color w:val="auto"/>
                <w:spacing w:val="0"/>
                <w:w w:val="100"/>
                <w:sz w:val="24"/>
                <w:szCs w:val="24"/>
                <w:lang w:eastAsia="zh-CN"/>
              </w:rPr>
              <w:t>因此评价范围内完全可以降解达标。</w:t>
            </w:r>
          </w:p>
          <w:p w14:paraId="55723647">
            <w:pPr>
              <w:keepNext w:val="0"/>
              <w:keepLines w:val="0"/>
              <w:pageBreakBefore w:val="0"/>
              <w:widowControl w:val="0"/>
              <w:suppressLineNumbers w:val="0"/>
              <w:tabs>
                <w:tab w:val="left" w:pos="4057"/>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eastAsia="zh-CN"/>
              </w:rPr>
              <w:t>正常情况及非正常情况下，</w:t>
            </w:r>
            <w:r>
              <w:rPr>
                <w:rFonts w:hint="eastAsia" w:ascii="Times New Roman" w:hAnsi="Times New Roman" w:eastAsia="宋体" w:cs="Times New Roman"/>
                <w:color w:val="auto"/>
                <w:spacing w:val="0"/>
                <w:w w:val="100"/>
                <w:sz w:val="24"/>
                <w:szCs w:val="24"/>
                <w:lang w:val="en-US" w:eastAsia="zh-CN"/>
              </w:rPr>
              <w:t>1500m处（评价断面）</w:t>
            </w:r>
            <w:r>
              <w:rPr>
                <w:rFonts w:hint="default" w:ascii="Times New Roman" w:hAnsi="Times New Roman" w:eastAsia="宋体" w:cs="Times New Roman"/>
                <w:color w:val="auto"/>
                <w:spacing w:val="0"/>
                <w:w w:val="100"/>
                <w:sz w:val="24"/>
                <w:szCs w:val="24"/>
                <w:lang w:eastAsia="zh-CN"/>
              </w:rPr>
              <w:t>的COD浓度和氨</w:t>
            </w:r>
            <w:r>
              <w:rPr>
                <w:rFonts w:hint="default" w:ascii="Times New Roman" w:hAnsi="Times New Roman" w:eastAsia="宋体" w:cs="Times New Roman"/>
                <w:color w:val="auto"/>
                <w:spacing w:val="0"/>
                <w:w w:val="100"/>
                <w:sz w:val="24"/>
                <w:szCs w:val="24"/>
              </w:rPr>
              <w:t>氮浓度</w:t>
            </w:r>
            <w:r>
              <w:rPr>
                <w:rFonts w:hint="eastAsia" w:ascii="Times New Roman" w:hAnsi="Times New Roman" w:eastAsia="宋体" w:cs="Times New Roman"/>
                <w:color w:val="auto"/>
                <w:spacing w:val="0"/>
                <w:w w:val="100"/>
                <w:sz w:val="24"/>
                <w:szCs w:val="24"/>
                <w:lang w:eastAsia="zh-CN"/>
              </w:rPr>
              <w:t>均</w:t>
            </w:r>
            <w:r>
              <w:rPr>
                <w:rFonts w:hint="default" w:ascii="Times New Roman" w:hAnsi="Times New Roman" w:eastAsia="宋体" w:cs="Times New Roman"/>
                <w:color w:val="auto"/>
                <w:spacing w:val="0"/>
                <w:w w:val="100"/>
                <w:sz w:val="24"/>
                <w:szCs w:val="24"/>
              </w:rPr>
              <w:t>满足《地表水环境质量标准》（GB3838-2002）的</w:t>
            </w:r>
            <w:r>
              <w:rPr>
                <w:rFonts w:hint="eastAsia" w:ascii="Times New Roman" w:hAnsi="Times New Roman" w:eastAsia="宋体" w:cs="Times New Roman"/>
                <w:color w:val="auto"/>
                <w:spacing w:val="0"/>
                <w:w w:val="100"/>
                <w:sz w:val="24"/>
                <w:szCs w:val="24"/>
                <w:lang w:eastAsia="zh-CN"/>
              </w:rPr>
              <w:t>Ⅲ类</w:t>
            </w:r>
            <w:r>
              <w:rPr>
                <w:rFonts w:hint="default" w:ascii="Times New Roman" w:hAnsi="Times New Roman" w:eastAsia="宋体" w:cs="Times New Roman"/>
                <w:color w:val="auto"/>
                <w:spacing w:val="0"/>
                <w:w w:val="100"/>
                <w:sz w:val="24"/>
                <w:szCs w:val="24"/>
              </w:rPr>
              <w:t>标准</w:t>
            </w:r>
            <w:r>
              <w:rPr>
                <w:rFonts w:hint="eastAsia" w:ascii="Times New Roman" w:hAnsi="Times New Roman" w:eastAsia="宋体" w:cs="Times New Roman"/>
                <w:color w:val="auto"/>
                <w:spacing w:val="0"/>
                <w:w w:val="100"/>
                <w:sz w:val="24"/>
                <w:szCs w:val="24"/>
                <w:lang w:eastAsia="zh-CN"/>
              </w:rPr>
              <w:t>，因此，项目尾水排放不会对</w:t>
            </w:r>
            <w:r>
              <w:rPr>
                <w:rFonts w:hint="eastAsia" w:ascii="Times New Roman" w:hAnsi="Times New Roman" w:eastAsia="宋体" w:cs="Times New Roman"/>
                <w:color w:val="auto"/>
                <w:spacing w:val="0"/>
                <w:w w:val="100"/>
                <w:sz w:val="24"/>
                <w:szCs w:val="24"/>
                <w:lang w:val="en-US" w:eastAsia="zh-CN"/>
              </w:rPr>
              <w:t>千河水质</w:t>
            </w:r>
            <w:r>
              <w:rPr>
                <w:rFonts w:hint="eastAsia" w:ascii="Times New Roman" w:hAnsi="Times New Roman" w:eastAsia="宋体" w:cs="Times New Roman"/>
                <w:color w:val="auto"/>
                <w:spacing w:val="0"/>
                <w:w w:val="100"/>
                <w:sz w:val="24"/>
                <w:szCs w:val="24"/>
                <w:lang w:eastAsia="zh-CN"/>
              </w:rPr>
              <w:t>产生影响。</w:t>
            </w:r>
          </w:p>
          <w:p w14:paraId="18793018">
            <w:pPr>
              <w:keepNext w:val="0"/>
              <w:keepLines w:val="0"/>
              <w:pageBreakBefore w:val="0"/>
              <w:widowControl w:val="0"/>
              <w:suppressLineNumbers w:val="0"/>
              <w:tabs>
                <w:tab w:val="left" w:pos="4057"/>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由此可见，一旦发生非正常排放，将会加剧</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水质的污染程度，</w:t>
            </w:r>
            <w:r>
              <w:rPr>
                <w:rFonts w:hint="eastAsia" w:ascii="Times New Roman" w:hAnsi="Times New Roman" w:eastAsia="宋体" w:cs="Times New Roman"/>
                <w:color w:val="auto"/>
                <w:spacing w:val="0"/>
                <w:w w:val="100"/>
                <w:sz w:val="24"/>
                <w:szCs w:val="24"/>
                <w:lang w:eastAsia="zh-CN"/>
              </w:rPr>
              <w:t>但于</w:t>
            </w:r>
            <w:r>
              <w:rPr>
                <w:rFonts w:hint="eastAsia" w:ascii="Times New Roman" w:hAnsi="Times New Roman" w:eastAsia="宋体" w:cs="Times New Roman"/>
                <w:color w:val="auto"/>
                <w:spacing w:val="0"/>
                <w:w w:val="100"/>
                <w:sz w:val="24"/>
                <w:szCs w:val="24"/>
                <w:lang w:val="en-US" w:eastAsia="zh-CN"/>
              </w:rPr>
              <w:t>10m处即可降解达标，</w:t>
            </w:r>
            <w:r>
              <w:rPr>
                <w:rFonts w:hint="default" w:ascii="Times New Roman" w:hAnsi="Times New Roman" w:eastAsia="宋体" w:cs="Times New Roman"/>
                <w:color w:val="auto"/>
                <w:spacing w:val="0"/>
                <w:w w:val="100"/>
                <w:sz w:val="24"/>
                <w:szCs w:val="24"/>
              </w:rPr>
              <w:t>对地表水</w:t>
            </w:r>
            <w:r>
              <w:rPr>
                <w:rFonts w:hint="default" w:ascii="Times New Roman" w:hAnsi="Times New Roman" w:eastAsia="宋体" w:cs="Times New Roman"/>
                <w:color w:val="auto"/>
                <w:spacing w:val="0"/>
                <w:w w:val="100"/>
                <w:sz w:val="24"/>
                <w:szCs w:val="24"/>
                <w:lang w:eastAsia="zh-CN"/>
              </w:rPr>
              <w:t>环境</w:t>
            </w:r>
            <w:r>
              <w:rPr>
                <w:rFonts w:hint="default" w:ascii="Times New Roman" w:hAnsi="Times New Roman" w:eastAsia="宋体" w:cs="Times New Roman"/>
                <w:color w:val="auto"/>
                <w:spacing w:val="0"/>
                <w:w w:val="100"/>
                <w:sz w:val="24"/>
                <w:szCs w:val="24"/>
              </w:rPr>
              <w:t>影响程度</w:t>
            </w:r>
            <w:r>
              <w:rPr>
                <w:rFonts w:hint="eastAsia" w:ascii="Times New Roman" w:hAnsi="Times New Roman" w:eastAsia="宋体" w:cs="Times New Roman"/>
                <w:color w:val="auto"/>
                <w:spacing w:val="0"/>
                <w:w w:val="100"/>
                <w:sz w:val="24"/>
                <w:szCs w:val="24"/>
                <w:lang w:eastAsia="zh-CN"/>
              </w:rPr>
              <w:t>较小，因此</w:t>
            </w:r>
            <w:r>
              <w:rPr>
                <w:rFonts w:hint="eastAsia" w:ascii="Times New Roman" w:hAnsi="Times New Roman" w:eastAsia="宋体" w:cs="Times New Roman"/>
                <w:color w:val="auto"/>
                <w:spacing w:val="0"/>
                <w:w w:val="100"/>
                <w:sz w:val="24"/>
                <w:szCs w:val="24"/>
                <w:lang w:val="en-US" w:eastAsia="zh-CN"/>
              </w:rPr>
              <w:t>应严格控制，避免非正常排放</w:t>
            </w:r>
            <w:r>
              <w:rPr>
                <w:rFonts w:hint="default" w:ascii="Times New Roman" w:hAnsi="Times New Roman" w:eastAsia="宋体" w:cs="Times New Roman"/>
                <w:color w:val="auto"/>
                <w:spacing w:val="0"/>
                <w:w w:val="100"/>
                <w:sz w:val="24"/>
                <w:szCs w:val="24"/>
              </w:rPr>
              <w:t>。</w:t>
            </w:r>
          </w:p>
          <w:p w14:paraId="3E0E6DBA">
            <w:pPr>
              <w:keepNext w:val="0"/>
              <w:keepLines w:val="0"/>
              <w:pageBreakBefore w:val="0"/>
              <w:widowControl w:val="0"/>
              <w:suppressLineNumbers w:val="0"/>
              <w:tabs>
                <w:tab w:val="left" w:pos="4057"/>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随着本工程的建成运行，工程收水范围内的污废水将经过处理后达标排放，使周边区域污水得到有效处理，防止污水直接流入千河，其中污染物</w:t>
            </w:r>
            <w:r>
              <w:rPr>
                <w:rFonts w:hint="default" w:ascii="Times New Roman" w:hAnsi="Times New Roman" w:eastAsia="宋体" w:cs="Times New Roman"/>
                <w:color w:val="auto"/>
                <w:spacing w:val="0"/>
                <w:w w:val="100"/>
                <w:sz w:val="24"/>
                <w:szCs w:val="24"/>
                <w:lang w:val="en-US" w:eastAsia="zh-CN"/>
              </w:rPr>
              <w:t>COD</w:t>
            </w:r>
            <w:r>
              <w:rPr>
                <w:rFonts w:hint="eastAsia" w:ascii="Times New Roman" w:hAnsi="Times New Roman" w:eastAsia="宋体" w:cs="Times New Roman"/>
                <w:color w:val="auto"/>
                <w:spacing w:val="0"/>
                <w:w w:val="100"/>
                <w:sz w:val="24"/>
                <w:szCs w:val="24"/>
                <w:lang w:val="en-US" w:eastAsia="zh-CN"/>
              </w:rPr>
              <w:t>和氨氮的消减量分别为292</w:t>
            </w:r>
            <w:r>
              <w:rPr>
                <w:rFonts w:hint="default" w:ascii="Times New Roman" w:hAnsi="Times New Roman" w:eastAsia="宋体" w:cs="Times New Roman"/>
                <w:color w:val="auto"/>
                <w:spacing w:val="0"/>
                <w:w w:val="100"/>
                <w:sz w:val="24"/>
                <w:szCs w:val="24"/>
                <w:lang w:val="en-US" w:eastAsia="zh-CN"/>
              </w:rPr>
              <w:t>t/a</w:t>
            </w:r>
            <w:r>
              <w:rPr>
                <w:rFonts w:hint="eastAsia" w:ascii="Times New Roman" w:hAnsi="Times New Roman" w:eastAsia="宋体" w:cs="Times New Roman"/>
                <w:color w:val="auto"/>
                <w:spacing w:val="0"/>
                <w:w w:val="100"/>
                <w:sz w:val="24"/>
                <w:szCs w:val="24"/>
                <w:lang w:val="en-US" w:eastAsia="zh-CN"/>
              </w:rPr>
              <w:t>和131.4</w:t>
            </w:r>
            <w:r>
              <w:rPr>
                <w:rFonts w:hint="default" w:ascii="Times New Roman" w:hAnsi="Times New Roman" w:eastAsia="宋体" w:cs="Times New Roman"/>
                <w:color w:val="auto"/>
                <w:spacing w:val="0"/>
                <w:w w:val="100"/>
                <w:sz w:val="24"/>
                <w:szCs w:val="24"/>
                <w:lang w:val="en-US" w:eastAsia="zh-CN"/>
              </w:rPr>
              <w:t>t/a</w:t>
            </w:r>
            <w:r>
              <w:rPr>
                <w:rFonts w:hint="eastAsia" w:ascii="Times New Roman" w:hAnsi="Times New Roman" w:eastAsia="宋体" w:cs="Times New Roman"/>
                <w:color w:val="auto"/>
                <w:spacing w:val="0"/>
                <w:w w:val="100"/>
                <w:sz w:val="24"/>
                <w:szCs w:val="24"/>
                <w:lang w:val="en-US" w:eastAsia="zh-CN"/>
              </w:rPr>
              <w:t>，减轻了千河的污染负荷。</w:t>
            </w:r>
          </w:p>
          <w:p w14:paraId="6EC5F781">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3、噪声</w:t>
            </w:r>
          </w:p>
          <w:p w14:paraId="3777577E">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pacing w:val="0"/>
                <w:w w:val="100"/>
                <w:position w:val="0"/>
                <w:sz w:val="24"/>
                <w:szCs w:val="24"/>
                <w:lang w:eastAsia="zh-CN"/>
              </w:rPr>
            </w:pPr>
            <w:r>
              <w:rPr>
                <w:rFonts w:hint="default" w:ascii="Times New Roman" w:hAnsi="Times New Roman" w:cs="Times New Roman"/>
                <w:color w:val="auto"/>
                <w:spacing w:val="0"/>
                <w:w w:val="100"/>
                <w:position w:val="0"/>
                <w:sz w:val="24"/>
                <w:szCs w:val="24"/>
                <w:lang w:eastAsia="zh-CN"/>
              </w:rPr>
              <w:t>（</w:t>
            </w:r>
            <w:r>
              <w:rPr>
                <w:rFonts w:hint="default" w:ascii="Times New Roman" w:hAnsi="Times New Roman" w:cs="Times New Roman"/>
                <w:color w:val="auto"/>
                <w:spacing w:val="0"/>
                <w:w w:val="100"/>
                <w:position w:val="0"/>
                <w:sz w:val="24"/>
                <w:szCs w:val="24"/>
              </w:rPr>
              <w:t>1）设备噪声</w:t>
            </w:r>
            <w:r>
              <w:rPr>
                <w:rFonts w:hint="default" w:ascii="Times New Roman" w:hAnsi="Times New Roman" w:cs="Times New Roman"/>
                <w:color w:val="auto"/>
                <w:spacing w:val="0"/>
                <w:w w:val="100"/>
                <w:position w:val="0"/>
                <w:sz w:val="24"/>
                <w:szCs w:val="24"/>
                <w:lang w:eastAsia="zh-CN"/>
              </w:rPr>
              <w:t>源强</w:t>
            </w:r>
          </w:p>
          <w:p w14:paraId="6CBE6C86">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cs="Times New Roman"/>
                <w:color w:val="auto"/>
                <w:spacing w:val="0"/>
                <w:w w:val="100"/>
                <w:position w:val="0"/>
                <w:sz w:val="24"/>
                <w:szCs w:val="24"/>
              </w:rPr>
              <w:t>该项目运营期噪声设备有循环泵、污泥泵、回流泵等各种泵类</w:t>
            </w:r>
            <w:r>
              <w:rPr>
                <w:rFonts w:hint="default" w:ascii="Times New Roman" w:hAnsi="Times New Roman" w:cs="Times New Roman"/>
                <w:color w:val="auto"/>
                <w:spacing w:val="0"/>
                <w:w w:val="100"/>
                <w:position w:val="0"/>
                <w:sz w:val="24"/>
                <w:szCs w:val="24"/>
                <w:lang w:eastAsia="zh-CN"/>
              </w:rPr>
              <w:t>、输送机、搅拌器</w:t>
            </w:r>
            <w:r>
              <w:rPr>
                <w:rFonts w:hint="default" w:ascii="Times New Roman" w:hAnsi="Times New Roman" w:cs="Times New Roman"/>
                <w:color w:val="auto"/>
                <w:spacing w:val="0"/>
                <w:w w:val="100"/>
                <w:position w:val="0"/>
                <w:sz w:val="24"/>
                <w:szCs w:val="24"/>
              </w:rPr>
              <w:t>以及风机等，单机噪声源源强在</w:t>
            </w:r>
            <w:r>
              <w:rPr>
                <w:rFonts w:hint="default" w:ascii="Times New Roman" w:hAnsi="Times New Roman" w:eastAsia="Times New Roman" w:cs="Times New Roman"/>
                <w:color w:val="auto"/>
                <w:spacing w:val="0"/>
                <w:w w:val="100"/>
                <w:position w:val="0"/>
                <w:sz w:val="24"/>
                <w:szCs w:val="24"/>
              </w:rPr>
              <w:t>80</w:t>
            </w:r>
            <w:r>
              <w:rPr>
                <w:rFonts w:hint="default" w:ascii="Times New Roman" w:hAnsi="Times New Roman" w:cs="Times New Roman"/>
                <w:color w:val="auto"/>
                <w:spacing w:val="0"/>
                <w:w w:val="100"/>
                <w:position w:val="0"/>
                <w:sz w:val="24"/>
                <w:szCs w:val="24"/>
              </w:rPr>
              <w:t>〜</w:t>
            </w:r>
            <w:r>
              <w:rPr>
                <w:rFonts w:hint="default" w:ascii="Times New Roman" w:hAnsi="Times New Roman" w:eastAsia="Times New Roman" w:cs="Times New Roman"/>
                <w:color w:val="auto"/>
                <w:spacing w:val="0"/>
                <w:w w:val="100"/>
                <w:position w:val="0"/>
                <w:sz w:val="24"/>
                <w:szCs w:val="24"/>
                <w:lang w:val="en-US" w:eastAsia="en-US" w:bidi="en-US"/>
              </w:rPr>
              <w:t>105dB（A</w:t>
            </w:r>
            <w:r>
              <w:rPr>
                <w:rFonts w:hint="default" w:ascii="Times New Roman" w:hAnsi="Times New Roman" w:eastAsia="Times New Roman" w:cs="Times New Roman"/>
                <w:color w:val="auto"/>
                <w:spacing w:val="0"/>
                <w:w w:val="100"/>
                <w:position w:val="0"/>
                <w:sz w:val="24"/>
                <w:szCs w:val="24"/>
              </w:rPr>
              <w:t>）</w:t>
            </w:r>
            <w:r>
              <w:rPr>
                <w:rFonts w:hint="default" w:ascii="Times New Roman" w:hAnsi="Times New Roman" w:cs="Times New Roman"/>
                <w:color w:val="auto"/>
                <w:spacing w:val="0"/>
                <w:w w:val="100"/>
                <w:position w:val="0"/>
                <w:sz w:val="24"/>
                <w:szCs w:val="24"/>
              </w:rPr>
              <w:t>之间。其中泵类大部分安置于地下或泵房内，降噪效果显著，</w:t>
            </w:r>
            <w:r>
              <w:rPr>
                <w:rFonts w:hint="eastAsia" w:ascii="Times New Roman" w:hAnsi="Times New Roman" w:cs="Times New Roman"/>
                <w:color w:val="auto"/>
                <w:spacing w:val="0"/>
                <w:w w:val="100"/>
                <w:position w:val="0"/>
                <w:sz w:val="24"/>
                <w:szCs w:val="24"/>
                <w:lang w:eastAsia="zh-CN"/>
              </w:rPr>
              <w:t>其他</w:t>
            </w:r>
            <w:r>
              <w:rPr>
                <w:rFonts w:hint="default" w:ascii="Times New Roman" w:hAnsi="Times New Roman" w:cs="Times New Roman"/>
                <w:color w:val="auto"/>
                <w:spacing w:val="0"/>
                <w:w w:val="100"/>
                <w:position w:val="0"/>
                <w:sz w:val="24"/>
                <w:szCs w:val="24"/>
              </w:rPr>
              <w:t>设备在设计中均采取相应减振、消音、隔音措施。</w:t>
            </w:r>
            <w:r>
              <w:rPr>
                <w:rFonts w:hint="eastAsia" w:ascii="Times New Roman" w:hAnsi="Times New Roman" w:cs="Times New Roman"/>
                <w:color w:val="auto"/>
                <w:spacing w:val="0"/>
                <w:w w:val="100"/>
                <w:position w:val="0"/>
                <w:sz w:val="24"/>
                <w:szCs w:val="24"/>
                <w:lang w:val="en-US" w:eastAsia="zh-CN"/>
              </w:rPr>
              <w:t>本次以厂区西南角为原点，</w:t>
            </w:r>
            <w:r>
              <w:rPr>
                <w:rFonts w:hint="default" w:ascii="Times New Roman" w:hAnsi="Times New Roman" w:cs="Times New Roman"/>
                <w:color w:val="auto"/>
                <w:spacing w:val="0"/>
                <w:w w:val="100"/>
                <w:position w:val="0"/>
                <w:sz w:val="24"/>
                <w:szCs w:val="24"/>
              </w:rPr>
              <w:t>根据</w:t>
            </w:r>
            <w:r>
              <w:rPr>
                <w:rFonts w:hint="eastAsia" w:ascii="Times New Roman" w:hAnsi="Times New Roman" w:cs="Times New Roman"/>
                <w:color w:val="auto"/>
                <w:spacing w:val="0"/>
                <w:w w:val="100"/>
                <w:position w:val="0"/>
                <w:sz w:val="24"/>
                <w:szCs w:val="24"/>
                <w:lang w:val="en-US" w:eastAsia="zh-CN"/>
              </w:rPr>
              <w:t>资料分析</w:t>
            </w:r>
            <w:r>
              <w:rPr>
                <w:rFonts w:hint="default" w:ascii="Times New Roman" w:hAnsi="Times New Roman" w:cs="Times New Roman"/>
                <w:color w:val="auto"/>
                <w:spacing w:val="0"/>
                <w:w w:val="100"/>
                <w:position w:val="0"/>
                <w:sz w:val="24"/>
                <w:szCs w:val="24"/>
              </w:rPr>
              <w:t>，</w:t>
            </w:r>
            <w:r>
              <w:rPr>
                <w:rFonts w:hint="default" w:ascii="Times New Roman" w:hAnsi="Times New Roman" w:cs="Times New Roman"/>
                <w:color w:val="auto"/>
                <w:spacing w:val="0"/>
                <w:w w:val="100"/>
                <w:sz w:val="24"/>
                <w:szCs w:val="24"/>
                <w:lang w:eastAsia="zh-CN"/>
              </w:rPr>
              <w:t>项目建成</w:t>
            </w:r>
            <w:r>
              <w:rPr>
                <w:rFonts w:hint="default" w:ascii="Times New Roman" w:hAnsi="Times New Roman" w:cs="Times New Roman"/>
                <w:color w:val="auto"/>
                <w:spacing w:val="0"/>
                <w:w w:val="100"/>
                <w:sz w:val="24"/>
                <w:szCs w:val="24"/>
              </w:rPr>
              <w:t>后，</w:t>
            </w:r>
            <w:r>
              <w:rPr>
                <w:rFonts w:hint="default" w:ascii="Times New Roman" w:hAnsi="Times New Roman" w:cs="Times New Roman"/>
                <w:color w:val="auto"/>
                <w:spacing w:val="0"/>
                <w:w w:val="100"/>
                <w:position w:val="0"/>
                <w:sz w:val="24"/>
                <w:szCs w:val="24"/>
              </w:rPr>
              <w:t>噪声污染源源强核算结果</w:t>
            </w:r>
            <w:r>
              <w:rPr>
                <w:rFonts w:hint="default" w:ascii="Times New Roman" w:hAnsi="Times New Roman" w:eastAsia="宋体" w:cs="Times New Roman"/>
                <w:color w:val="auto"/>
                <w:spacing w:val="0"/>
                <w:w w:val="100"/>
                <w:position w:val="0"/>
                <w:sz w:val="24"/>
                <w:szCs w:val="24"/>
                <w:lang w:eastAsia="zh-CN"/>
              </w:rPr>
              <w:t>见下表</w:t>
            </w:r>
            <w:r>
              <w:rPr>
                <w:rFonts w:hint="default" w:ascii="Times New Roman" w:hAnsi="Times New Roman" w:eastAsia="宋体" w:cs="Times New Roman"/>
                <w:color w:val="auto"/>
                <w:spacing w:val="0"/>
                <w:w w:val="100"/>
                <w:sz w:val="24"/>
                <w:szCs w:val="24"/>
              </w:rPr>
              <w:t>。</w:t>
            </w:r>
          </w:p>
          <w:p w14:paraId="50B5B871">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表</w:t>
            </w:r>
            <w:r>
              <w:rPr>
                <w:rFonts w:hint="eastAsia" w:ascii="Times New Roman" w:hAnsi="Times New Roman" w:eastAsia="宋体" w:cs="Times New Roman"/>
                <w:b w:val="0"/>
                <w:bCs/>
                <w:color w:val="auto"/>
                <w:spacing w:val="0"/>
                <w:w w:val="100"/>
                <w:sz w:val="21"/>
                <w:szCs w:val="21"/>
                <w:lang w:val="en-US" w:eastAsia="zh-CN"/>
              </w:rPr>
              <w:t>4-12</w:t>
            </w:r>
            <w:r>
              <w:rPr>
                <w:rFonts w:hint="default" w:ascii="Times New Roman" w:hAnsi="Times New Roman" w:eastAsia="宋体" w:cs="Times New Roman"/>
                <w:b w:val="0"/>
                <w:bCs/>
                <w:color w:val="auto"/>
                <w:spacing w:val="0"/>
                <w:w w:val="100"/>
                <w:sz w:val="21"/>
                <w:szCs w:val="21"/>
                <w:lang w:val="en-US" w:eastAsia="zh-CN"/>
              </w:rPr>
              <w:t xml:space="preserve">   项目主要噪声源一览表  单位：dB(A)</w:t>
            </w:r>
          </w:p>
          <w:tbl>
            <w:tblPr>
              <w:tblStyle w:val="21"/>
              <w:tblW w:w="89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39"/>
              <w:gridCol w:w="719"/>
              <w:gridCol w:w="1468"/>
              <w:gridCol w:w="632"/>
              <w:gridCol w:w="721"/>
              <w:gridCol w:w="510"/>
              <w:gridCol w:w="558"/>
              <w:gridCol w:w="383"/>
              <w:gridCol w:w="489"/>
              <w:gridCol w:w="501"/>
              <w:gridCol w:w="704"/>
              <w:gridCol w:w="643"/>
              <w:gridCol w:w="552"/>
              <w:gridCol w:w="635"/>
            </w:tblGrid>
            <w:tr w14:paraId="60E1D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7" w:hRule="atLeast"/>
              </w:trPr>
              <w:tc>
                <w:tcPr>
                  <w:tcW w:w="245" w:type="pct"/>
                  <w:vMerge w:val="restart"/>
                  <w:shd w:val="clear" w:color="auto" w:fill="auto"/>
                  <w:vAlign w:val="center"/>
                </w:tcPr>
                <w:p w14:paraId="6B0A4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序号</w:t>
                  </w:r>
                </w:p>
              </w:tc>
              <w:tc>
                <w:tcPr>
                  <w:tcW w:w="401" w:type="pct"/>
                  <w:vMerge w:val="restart"/>
                  <w:shd w:val="clear" w:color="auto" w:fill="auto"/>
                  <w:vAlign w:val="center"/>
                </w:tcPr>
                <w:p w14:paraId="24FAD1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装置</w:t>
                  </w:r>
                </w:p>
              </w:tc>
              <w:tc>
                <w:tcPr>
                  <w:tcW w:w="819" w:type="pct"/>
                  <w:vMerge w:val="restart"/>
                  <w:shd w:val="clear" w:color="auto" w:fill="auto"/>
                  <w:vAlign w:val="center"/>
                </w:tcPr>
                <w:p w14:paraId="39A355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设备名称</w:t>
                  </w:r>
                </w:p>
              </w:tc>
              <w:tc>
                <w:tcPr>
                  <w:tcW w:w="352" w:type="pct"/>
                  <w:vMerge w:val="restart"/>
                  <w:shd w:val="clear" w:color="auto" w:fill="auto"/>
                  <w:vAlign w:val="center"/>
                </w:tcPr>
                <w:p w14:paraId="61F4D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平均声级</w:t>
                  </w:r>
                  <w:r>
                    <w:rPr>
                      <w:rStyle w:val="73"/>
                      <w:rFonts w:hint="default" w:ascii="Times New Roman" w:hAnsi="Times New Roman" w:eastAsia="宋体" w:cs="Times New Roman"/>
                      <w:sz w:val="21"/>
                      <w:szCs w:val="21"/>
                      <w:lang w:val="en-US" w:eastAsia="zh-CN" w:bidi="ar"/>
                    </w:rPr>
                    <w:t>dB</w:t>
                  </w:r>
                  <w:r>
                    <w:rPr>
                      <w:rStyle w:val="66"/>
                      <w:rFonts w:hint="default" w:ascii="Times New Roman" w:hAnsi="Times New Roman" w:eastAsia="宋体" w:cs="Times New Roman"/>
                      <w:sz w:val="21"/>
                      <w:szCs w:val="21"/>
                      <w:lang w:val="en-US" w:eastAsia="zh-CN" w:bidi="ar"/>
                    </w:rPr>
                    <w:t>（</w:t>
                  </w:r>
                  <w:r>
                    <w:rPr>
                      <w:rStyle w:val="73"/>
                      <w:rFonts w:hint="default" w:ascii="Times New Roman" w:hAnsi="Times New Roman" w:eastAsia="宋体" w:cs="Times New Roman"/>
                      <w:sz w:val="21"/>
                      <w:szCs w:val="21"/>
                      <w:lang w:val="en-US" w:eastAsia="zh-CN" w:bidi="ar"/>
                    </w:rPr>
                    <w:t>A</w:t>
                  </w:r>
                  <w:r>
                    <w:rPr>
                      <w:rStyle w:val="66"/>
                      <w:rFonts w:hint="default" w:ascii="Times New Roman" w:hAnsi="Times New Roman" w:eastAsia="宋体" w:cs="Times New Roman"/>
                      <w:sz w:val="21"/>
                      <w:szCs w:val="21"/>
                      <w:lang w:val="en-US" w:eastAsia="zh-CN" w:bidi="ar"/>
                    </w:rPr>
                    <w:t>）</w:t>
                  </w:r>
                </w:p>
              </w:tc>
              <w:tc>
                <w:tcPr>
                  <w:tcW w:w="402" w:type="pct"/>
                  <w:vMerge w:val="restart"/>
                  <w:shd w:val="clear" w:color="auto" w:fill="auto"/>
                  <w:vAlign w:val="center"/>
                </w:tcPr>
                <w:p w14:paraId="5F7EBE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7"/>
                      <w:rFonts w:hint="default" w:ascii="Times New Roman" w:hAnsi="Times New Roman" w:eastAsia="宋体" w:cs="Times New Roman"/>
                      <w:sz w:val="21"/>
                      <w:szCs w:val="21"/>
                      <w:lang w:val="en-US" w:eastAsia="zh-CN" w:bidi="ar"/>
                    </w:rPr>
                    <w:t>声源控制措施</w:t>
                  </w:r>
                </w:p>
              </w:tc>
              <w:tc>
                <w:tcPr>
                  <w:tcW w:w="810" w:type="pct"/>
                  <w:gridSpan w:val="3"/>
                  <w:shd w:val="clear" w:color="auto" w:fill="auto"/>
                  <w:vAlign w:val="center"/>
                </w:tcPr>
                <w:p w14:paraId="3FAE3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7"/>
                      <w:rFonts w:hint="default" w:ascii="Times New Roman" w:hAnsi="Times New Roman" w:eastAsia="宋体" w:cs="Times New Roman"/>
                      <w:sz w:val="21"/>
                      <w:szCs w:val="21"/>
                      <w:lang w:val="en-US" w:eastAsia="zh-CN" w:bidi="ar"/>
                    </w:rPr>
                    <w:t>空间相对位置</w:t>
                  </w:r>
                  <w:r>
                    <w:rPr>
                      <w:rStyle w:val="72"/>
                      <w:rFonts w:hint="default" w:ascii="Times New Roman" w:hAnsi="Times New Roman" w:eastAsia="宋体" w:cs="Times New Roman"/>
                      <w:sz w:val="21"/>
                      <w:szCs w:val="21"/>
                      <w:vertAlign w:val="baseline"/>
                      <w:lang w:val="en-US" w:eastAsia="zh-CN" w:bidi="ar"/>
                    </w:rPr>
                    <w:t>/m</w:t>
                  </w:r>
                </w:p>
              </w:tc>
              <w:tc>
                <w:tcPr>
                  <w:tcW w:w="273" w:type="pct"/>
                  <w:vMerge w:val="restart"/>
                  <w:shd w:val="clear" w:color="auto" w:fill="auto"/>
                  <w:vAlign w:val="center"/>
                </w:tcPr>
                <w:p w14:paraId="5C3A4B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vertAlign w:val="baseline"/>
                    </w:rPr>
                  </w:pPr>
                  <w:r>
                    <w:rPr>
                      <w:rStyle w:val="67"/>
                      <w:rFonts w:hint="default" w:ascii="Times New Roman" w:hAnsi="Times New Roman" w:eastAsia="宋体" w:cs="Times New Roman"/>
                      <w:sz w:val="21"/>
                      <w:szCs w:val="21"/>
                      <w:vertAlign w:val="baseline"/>
                      <w:lang w:val="en-US" w:eastAsia="zh-CN" w:bidi="ar"/>
                    </w:rPr>
                    <w:t>距室内边界距离</w:t>
                  </w:r>
                  <w:r>
                    <w:rPr>
                      <w:rStyle w:val="72"/>
                      <w:rFonts w:hint="default" w:ascii="Times New Roman" w:hAnsi="Times New Roman" w:eastAsia="宋体" w:cs="Times New Roman"/>
                      <w:sz w:val="21"/>
                      <w:szCs w:val="21"/>
                      <w:vertAlign w:val="baseline"/>
                      <w:lang w:val="en-US" w:eastAsia="zh-CN" w:bidi="ar"/>
                    </w:rPr>
                    <w:t>/m</w:t>
                  </w:r>
                </w:p>
              </w:tc>
              <w:tc>
                <w:tcPr>
                  <w:tcW w:w="279" w:type="pct"/>
                  <w:vMerge w:val="restart"/>
                  <w:shd w:val="clear" w:color="auto" w:fill="auto"/>
                  <w:vAlign w:val="center"/>
                </w:tcPr>
                <w:p w14:paraId="0BBA7C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vertAlign w:val="baseline"/>
                    </w:rPr>
                  </w:pPr>
                  <w:r>
                    <w:rPr>
                      <w:rStyle w:val="66"/>
                      <w:rFonts w:hint="default" w:ascii="Times New Roman" w:hAnsi="Times New Roman" w:eastAsia="宋体" w:cs="Times New Roman"/>
                      <w:sz w:val="21"/>
                      <w:szCs w:val="21"/>
                      <w:vertAlign w:val="baseline"/>
                      <w:lang w:val="en-US" w:eastAsia="zh-CN" w:bidi="ar"/>
                    </w:rPr>
                    <w:t>处理后声级</w:t>
                  </w:r>
                  <w:r>
                    <w:rPr>
                      <w:rStyle w:val="73"/>
                      <w:rFonts w:hint="default" w:ascii="Times New Roman" w:hAnsi="Times New Roman" w:eastAsia="宋体" w:cs="Times New Roman"/>
                      <w:sz w:val="21"/>
                      <w:szCs w:val="21"/>
                      <w:vertAlign w:val="baseline"/>
                      <w:lang w:val="en-US" w:eastAsia="zh-CN" w:bidi="ar"/>
                    </w:rPr>
                    <w:t>dB</w:t>
                  </w:r>
                  <w:r>
                    <w:rPr>
                      <w:rStyle w:val="66"/>
                      <w:rFonts w:hint="default" w:ascii="Times New Roman" w:hAnsi="Times New Roman" w:eastAsia="宋体" w:cs="Times New Roman"/>
                      <w:sz w:val="21"/>
                      <w:szCs w:val="21"/>
                      <w:vertAlign w:val="baseline"/>
                      <w:lang w:val="en-US" w:eastAsia="zh-CN" w:bidi="ar"/>
                    </w:rPr>
                    <w:t>（</w:t>
                  </w:r>
                  <w:r>
                    <w:rPr>
                      <w:rStyle w:val="73"/>
                      <w:rFonts w:hint="default" w:ascii="Times New Roman" w:hAnsi="Times New Roman" w:eastAsia="宋体" w:cs="Times New Roman"/>
                      <w:sz w:val="21"/>
                      <w:szCs w:val="21"/>
                      <w:vertAlign w:val="baseline"/>
                      <w:lang w:val="en-US" w:eastAsia="zh-CN" w:bidi="ar"/>
                    </w:rPr>
                    <w:t>A</w:t>
                  </w:r>
                  <w:r>
                    <w:rPr>
                      <w:rStyle w:val="66"/>
                      <w:rFonts w:hint="default" w:ascii="Times New Roman" w:hAnsi="Times New Roman" w:eastAsia="宋体" w:cs="Times New Roman"/>
                      <w:sz w:val="21"/>
                      <w:szCs w:val="21"/>
                      <w:vertAlign w:val="baseline"/>
                      <w:lang w:val="en-US" w:eastAsia="zh-CN" w:bidi="ar"/>
                    </w:rPr>
                    <w:t>）</w:t>
                  </w:r>
                </w:p>
              </w:tc>
              <w:tc>
                <w:tcPr>
                  <w:tcW w:w="393" w:type="pct"/>
                  <w:vMerge w:val="restart"/>
                  <w:shd w:val="clear" w:color="auto" w:fill="auto"/>
                  <w:vAlign w:val="center"/>
                </w:tcPr>
                <w:p w14:paraId="446EF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vertAlign w:val="baseline"/>
                    </w:rPr>
                  </w:pPr>
                  <w:r>
                    <w:rPr>
                      <w:rStyle w:val="67"/>
                      <w:rFonts w:hint="default" w:ascii="Times New Roman" w:hAnsi="Times New Roman" w:eastAsia="宋体" w:cs="Times New Roman"/>
                      <w:sz w:val="21"/>
                      <w:szCs w:val="21"/>
                      <w:vertAlign w:val="baseline"/>
                      <w:lang w:val="en-US" w:eastAsia="zh-CN" w:bidi="ar"/>
                    </w:rPr>
                    <w:t>运行时段</w:t>
                  </w:r>
                </w:p>
              </w:tc>
              <w:tc>
                <w:tcPr>
                  <w:tcW w:w="359" w:type="pct"/>
                  <w:vMerge w:val="restart"/>
                  <w:shd w:val="clear" w:color="auto" w:fill="auto"/>
                  <w:vAlign w:val="center"/>
                </w:tcPr>
                <w:p w14:paraId="0655DE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vertAlign w:val="baseline"/>
                    </w:rPr>
                  </w:pPr>
                  <w:r>
                    <w:rPr>
                      <w:rStyle w:val="67"/>
                      <w:rFonts w:hint="default" w:ascii="Times New Roman" w:hAnsi="Times New Roman" w:eastAsia="宋体" w:cs="Times New Roman"/>
                      <w:sz w:val="21"/>
                      <w:szCs w:val="21"/>
                      <w:vertAlign w:val="baseline"/>
                      <w:lang w:val="en-US" w:eastAsia="zh-CN" w:bidi="ar"/>
                    </w:rPr>
                    <w:t>建筑物插入损失</w:t>
                  </w:r>
                  <w:r>
                    <w:rPr>
                      <w:rStyle w:val="72"/>
                      <w:rFonts w:hint="default" w:ascii="Times New Roman" w:hAnsi="Times New Roman" w:eastAsia="宋体" w:cs="Times New Roman"/>
                      <w:sz w:val="21"/>
                      <w:szCs w:val="21"/>
                      <w:vertAlign w:val="baseline"/>
                      <w:lang w:val="en-US" w:eastAsia="zh-CN" w:bidi="ar"/>
                    </w:rPr>
                    <w:t>/</w:t>
                  </w:r>
                  <w:r>
                    <w:rPr>
                      <w:rStyle w:val="73"/>
                      <w:rFonts w:hint="default" w:ascii="Times New Roman" w:hAnsi="Times New Roman" w:eastAsia="宋体" w:cs="Times New Roman"/>
                      <w:sz w:val="21"/>
                      <w:szCs w:val="21"/>
                      <w:vertAlign w:val="baseline"/>
                      <w:lang w:val="en-US" w:eastAsia="zh-CN" w:bidi="ar"/>
                    </w:rPr>
                    <w:t>dB</w:t>
                  </w:r>
                  <w:r>
                    <w:rPr>
                      <w:rStyle w:val="66"/>
                      <w:rFonts w:hint="default" w:ascii="Times New Roman" w:hAnsi="Times New Roman" w:eastAsia="宋体" w:cs="Times New Roman"/>
                      <w:sz w:val="21"/>
                      <w:szCs w:val="21"/>
                      <w:vertAlign w:val="baseline"/>
                      <w:lang w:val="en-US" w:eastAsia="zh-CN" w:bidi="ar"/>
                    </w:rPr>
                    <w:t>（</w:t>
                  </w:r>
                  <w:r>
                    <w:rPr>
                      <w:rStyle w:val="73"/>
                      <w:rFonts w:hint="default" w:ascii="Times New Roman" w:hAnsi="Times New Roman" w:eastAsia="宋体" w:cs="Times New Roman"/>
                      <w:sz w:val="21"/>
                      <w:szCs w:val="21"/>
                      <w:vertAlign w:val="baseline"/>
                      <w:lang w:val="en-US" w:eastAsia="zh-CN" w:bidi="ar"/>
                    </w:rPr>
                    <w:t>A</w:t>
                  </w:r>
                  <w:r>
                    <w:rPr>
                      <w:rStyle w:val="66"/>
                      <w:rFonts w:hint="default" w:ascii="Times New Roman" w:hAnsi="Times New Roman" w:eastAsia="宋体" w:cs="Times New Roman"/>
                      <w:sz w:val="21"/>
                      <w:szCs w:val="21"/>
                      <w:vertAlign w:val="baseline"/>
                      <w:lang w:val="en-US" w:eastAsia="zh-CN" w:bidi="ar"/>
                    </w:rPr>
                    <w:t>）</w:t>
                  </w:r>
                </w:p>
              </w:tc>
              <w:tc>
                <w:tcPr>
                  <w:tcW w:w="662" w:type="pct"/>
                  <w:gridSpan w:val="2"/>
                  <w:vMerge w:val="restart"/>
                  <w:shd w:val="clear" w:color="auto" w:fill="auto"/>
                  <w:vAlign w:val="center"/>
                </w:tcPr>
                <w:p w14:paraId="15790F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vertAlign w:val="baseline"/>
                    </w:rPr>
                  </w:pPr>
                  <w:r>
                    <w:rPr>
                      <w:rStyle w:val="67"/>
                      <w:rFonts w:hint="default" w:ascii="Times New Roman" w:hAnsi="Times New Roman" w:eastAsia="宋体" w:cs="Times New Roman"/>
                      <w:sz w:val="21"/>
                      <w:szCs w:val="21"/>
                      <w:vertAlign w:val="baseline"/>
                      <w:lang w:val="en-US" w:eastAsia="zh-CN" w:bidi="ar"/>
                    </w:rPr>
                    <w:t>建筑物外噪声</w:t>
                  </w:r>
                </w:p>
              </w:tc>
            </w:tr>
            <w:tr w14:paraId="415D3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45" w:type="pct"/>
                  <w:vMerge w:val="continue"/>
                  <w:shd w:val="clear" w:color="auto" w:fill="auto"/>
                  <w:vAlign w:val="center"/>
                </w:tcPr>
                <w:p w14:paraId="11FFDA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401" w:type="pct"/>
                  <w:vMerge w:val="continue"/>
                  <w:shd w:val="clear" w:color="auto" w:fill="auto"/>
                  <w:vAlign w:val="center"/>
                </w:tcPr>
                <w:p w14:paraId="27B275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vMerge w:val="continue"/>
                  <w:shd w:val="clear" w:color="auto" w:fill="auto"/>
                  <w:vAlign w:val="center"/>
                </w:tcPr>
                <w:p w14:paraId="49129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352" w:type="pct"/>
                  <w:vMerge w:val="continue"/>
                  <w:shd w:val="clear" w:color="auto" w:fill="auto"/>
                  <w:vAlign w:val="center"/>
                </w:tcPr>
                <w:p w14:paraId="23311A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402" w:type="pct"/>
                  <w:vMerge w:val="continue"/>
                  <w:shd w:val="clear" w:color="auto" w:fill="auto"/>
                  <w:vAlign w:val="center"/>
                </w:tcPr>
                <w:p w14:paraId="62CB8C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vMerge w:val="restart"/>
                  <w:shd w:val="clear" w:color="auto" w:fill="auto"/>
                  <w:vAlign w:val="center"/>
                </w:tcPr>
                <w:p w14:paraId="4CB389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vertAlign w:val="baseline"/>
                    </w:rPr>
                  </w:pPr>
                  <w:r>
                    <w:rPr>
                      <w:rStyle w:val="72"/>
                      <w:rFonts w:hint="eastAsia" w:ascii="Times New Roman" w:hAnsi="Times New Roman" w:eastAsia="宋体" w:cs="Times New Roman"/>
                      <w:sz w:val="21"/>
                      <w:szCs w:val="21"/>
                      <w:vertAlign w:val="baseline"/>
                      <w:lang w:val="en-US" w:eastAsia="zh-CN" w:bidi="ar"/>
                    </w:rPr>
                    <w:t>X</w:t>
                  </w:r>
                </w:p>
              </w:tc>
              <w:tc>
                <w:tcPr>
                  <w:tcW w:w="311" w:type="pct"/>
                  <w:vMerge w:val="restart"/>
                  <w:shd w:val="clear" w:color="auto" w:fill="auto"/>
                  <w:vAlign w:val="center"/>
                </w:tcPr>
                <w:p w14:paraId="1AFF3F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vertAlign w:val="baseline"/>
                    </w:rPr>
                  </w:pPr>
                  <w:r>
                    <w:rPr>
                      <w:rStyle w:val="72"/>
                      <w:rFonts w:hint="eastAsia" w:ascii="Times New Roman" w:hAnsi="Times New Roman" w:eastAsia="宋体" w:cs="Times New Roman"/>
                      <w:sz w:val="21"/>
                      <w:szCs w:val="21"/>
                      <w:vertAlign w:val="baseline"/>
                      <w:lang w:val="en-US" w:eastAsia="zh-CN" w:bidi="ar"/>
                    </w:rPr>
                    <w:t>Y</w:t>
                  </w:r>
                </w:p>
              </w:tc>
              <w:tc>
                <w:tcPr>
                  <w:tcW w:w="213" w:type="pct"/>
                  <w:vMerge w:val="restart"/>
                  <w:shd w:val="clear" w:color="auto" w:fill="auto"/>
                  <w:vAlign w:val="center"/>
                </w:tcPr>
                <w:p w14:paraId="3B9A9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vertAlign w:val="baseline"/>
                    </w:rPr>
                  </w:pPr>
                  <w:r>
                    <w:rPr>
                      <w:rStyle w:val="72"/>
                      <w:rFonts w:hint="eastAsia" w:ascii="Times New Roman" w:hAnsi="Times New Roman" w:eastAsia="宋体" w:cs="Times New Roman"/>
                      <w:sz w:val="21"/>
                      <w:szCs w:val="21"/>
                      <w:vertAlign w:val="baseline"/>
                      <w:lang w:val="en-US" w:eastAsia="zh-CN" w:bidi="ar"/>
                    </w:rPr>
                    <w:t>Z</w:t>
                  </w:r>
                </w:p>
              </w:tc>
              <w:tc>
                <w:tcPr>
                  <w:tcW w:w="273" w:type="pct"/>
                  <w:vMerge w:val="continue"/>
                  <w:shd w:val="clear" w:color="auto" w:fill="auto"/>
                  <w:vAlign w:val="center"/>
                </w:tcPr>
                <w:p w14:paraId="664583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vertAlign w:val="baseline"/>
                    </w:rPr>
                  </w:pPr>
                </w:p>
              </w:tc>
              <w:tc>
                <w:tcPr>
                  <w:tcW w:w="279" w:type="pct"/>
                  <w:vMerge w:val="continue"/>
                  <w:shd w:val="clear" w:color="auto" w:fill="auto"/>
                  <w:vAlign w:val="center"/>
                </w:tcPr>
                <w:p w14:paraId="5A301A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vertAlign w:val="baseline"/>
                    </w:rPr>
                  </w:pPr>
                </w:p>
              </w:tc>
              <w:tc>
                <w:tcPr>
                  <w:tcW w:w="393" w:type="pct"/>
                  <w:vMerge w:val="continue"/>
                  <w:shd w:val="clear" w:color="auto" w:fill="auto"/>
                  <w:vAlign w:val="center"/>
                </w:tcPr>
                <w:p w14:paraId="0901E7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vertAlign w:val="baseline"/>
                    </w:rPr>
                  </w:pPr>
                </w:p>
              </w:tc>
              <w:tc>
                <w:tcPr>
                  <w:tcW w:w="359" w:type="pct"/>
                  <w:vMerge w:val="continue"/>
                  <w:shd w:val="clear" w:color="auto" w:fill="auto"/>
                  <w:vAlign w:val="center"/>
                </w:tcPr>
                <w:p w14:paraId="3BC54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vertAlign w:val="baseline"/>
                    </w:rPr>
                  </w:pPr>
                </w:p>
              </w:tc>
              <w:tc>
                <w:tcPr>
                  <w:tcW w:w="662" w:type="pct"/>
                  <w:gridSpan w:val="2"/>
                  <w:vMerge w:val="continue"/>
                  <w:shd w:val="clear" w:color="auto" w:fill="auto"/>
                  <w:vAlign w:val="center"/>
                </w:tcPr>
                <w:p w14:paraId="39AD9D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vertAlign w:val="baseline"/>
                    </w:rPr>
                  </w:pPr>
                </w:p>
              </w:tc>
            </w:tr>
            <w:tr w14:paraId="4C274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5" w:hRule="atLeast"/>
              </w:trPr>
              <w:tc>
                <w:tcPr>
                  <w:tcW w:w="245" w:type="pct"/>
                  <w:vMerge w:val="continue"/>
                  <w:shd w:val="clear" w:color="auto" w:fill="auto"/>
                  <w:vAlign w:val="center"/>
                </w:tcPr>
                <w:p w14:paraId="7B2145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401" w:type="pct"/>
                  <w:vMerge w:val="continue"/>
                  <w:shd w:val="clear" w:color="auto" w:fill="auto"/>
                  <w:vAlign w:val="center"/>
                </w:tcPr>
                <w:p w14:paraId="19BC00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p>
              </w:tc>
              <w:tc>
                <w:tcPr>
                  <w:tcW w:w="819" w:type="pct"/>
                  <w:vMerge w:val="continue"/>
                  <w:shd w:val="clear" w:color="auto" w:fill="auto"/>
                  <w:vAlign w:val="center"/>
                </w:tcPr>
                <w:p w14:paraId="31A55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352" w:type="pct"/>
                  <w:vMerge w:val="continue"/>
                  <w:shd w:val="clear" w:color="auto" w:fill="auto"/>
                  <w:vAlign w:val="center"/>
                </w:tcPr>
                <w:p w14:paraId="36379F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402" w:type="pct"/>
                  <w:vMerge w:val="continue"/>
                  <w:shd w:val="clear" w:color="auto" w:fill="auto"/>
                  <w:vAlign w:val="center"/>
                </w:tcPr>
                <w:p w14:paraId="21EA23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vMerge w:val="continue"/>
                  <w:shd w:val="clear" w:color="auto" w:fill="auto"/>
                  <w:vAlign w:val="center"/>
                </w:tcPr>
                <w:p w14:paraId="6243CD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311" w:type="pct"/>
                  <w:vMerge w:val="continue"/>
                  <w:shd w:val="clear" w:color="auto" w:fill="auto"/>
                  <w:vAlign w:val="center"/>
                </w:tcPr>
                <w:p w14:paraId="2D1BE8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13" w:type="pct"/>
                  <w:vMerge w:val="continue"/>
                  <w:shd w:val="clear" w:color="auto" w:fill="auto"/>
                  <w:vAlign w:val="center"/>
                </w:tcPr>
                <w:p w14:paraId="774A17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73" w:type="pct"/>
                  <w:vMerge w:val="continue"/>
                  <w:shd w:val="clear" w:color="auto" w:fill="auto"/>
                  <w:vAlign w:val="center"/>
                </w:tcPr>
                <w:p w14:paraId="006BF4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vertAlign w:val="baseline"/>
                    </w:rPr>
                  </w:pPr>
                </w:p>
              </w:tc>
              <w:tc>
                <w:tcPr>
                  <w:tcW w:w="279" w:type="pct"/>
                  <w:vMerge w:val="continue"/>
                  <w:shd w:val="clear" w:color="auto" w:fill="auto"/>
                  <w:vAlign w:val="center"/>
                </w:tcPr>
                <w:p w14:paraId="57F05B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vertAlign w:val="baseline"/>
                    </w:rPr>
                  </w:pPr>
                </w:p>
              </w:tc>
              <w:tc>
                <w:tcPr>
                  <w:tcW w:w="393" w:type="pct"/>
                  <w:vMerge w:val="continue"/>
                  <w:shd w:val="clear" w:color="auto" w:fill="auto"/>
                  <w:vAlign w:val="center"/>
                </w:tcPr>
                <w:p w14:paraId="0DCA7F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vertAlign w:val="baseline"/>
                    </w:rPr>
                  </w:pPr>
                </w:p>
              </w:tc>
              <w:tc>
                <w:tcPr>
                  <w:tcW w:w="359" w:type="pct"/>
                  <w:vMerge w:val="continue"/>
                  <w:shd w:val="clear" w:color="auto" w:fill="auto"/>
                  <w:vAlign w:val="center"/>
                </w:tcPr>
                <w:p w14:paraId="1BC90F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vertAlign w:val="baseline"/>
                    </w:rPr>
                  </w:pPr>
                </w:p>
              </w:tc>
              <w:tc>
                <w:tcPr>
                  <w:tcW w:w="308" w:type="pct"/>
                  <w:shd w:val="clear" w:color="auto" w:fill="auto"/>
                  <w:vAlign w:val="center"/>
                </w:tcPr>
                <w:p w14:paraId="7F976F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vertAlign w:val="baseline"/>
                    </w:rPr>
                  </w:pPr>
                  <w:r>
                    <w:rPr>
                      <w:rStyle w:val="67"/>
                      <w:rFonts w:hint="default" w:ascii="Times New Roman" w:hAnsi="Times New Roman" w:eastAsia="宋体" w:cs="Times New Roman"/>
                      <w:sz w:val="21"/>
                      <w:szCs w:val="21"/>
                      <w:vertAlign w:val="baseline"/>
                      <w:lang w:val="en-US" w:eastAsia="zh-CN" w:bidi="ar"/>
                    </w:rPr>
                    <w:t>声压级</w:t>
                  </w:r>
                  <w:r>
                    <w:rPr>
                      <w:rStyle w:val="72"/>
                      <w:rFonts w:hint="default" w:ascii="Times New Roman" w:hAnsi="Times New Roman" w:eastAsia="宋体" w:cs="Times New Roman"/>
                      <w:sz w:val="21"/>
                      <w:szCs w:val="21"/>
                      <w:vertAlign w:val="baseline"/>
                      <w:lang w:val="en-US" w:eastAsia="zh-CN" w:bidi="ar"/>
                    </w:rPr>
                    <w:t>/</w:t>
                  </w:r>
                  <w:r>
                    <w:rPr>
                      <w:rStyle w:val="73"/>
                      <w:rFonts w:hint="default" w:ascii="Times New Roman" w:hAnsi="Times New Roman" w:eastAsia="宋体" w:cs="Times New Roman"/>
                      <w:sz w:val="21"/>
                      <w:szCs w:val="21"/>
                      <w:vertAlign w:val="baseline"/>
                      <w:lang w:val="en-US" w:eastAsia="zh-CN" w:bidi="ar"/>
                    </w:rPr>
                    <w:t>dB</w:t>
                  </w:r>
                  <w:r>
                    <w:rPr>
                      <w:rStyle w:val="66"/>
                      <w:rFonts w:hint="default" w:ascii="Times New Roman" w:hAnsi="Times New Roman" w:eastAsia="宋体" w:cs="Times New Roman"/>
                      <w:sz w:val="21"/>
                      <w:szCs w:val="21"/>
                      <w:vertAlign w:val="baseline"/>
                      <w:lang w:val="en-US" w:eastAsia="zh-CN" w:bidi="ar"/>
                    </w:rPr>
                    <w:t>（</w:t>
                  </w:r>
                  <w:r>
                    <w:rPr>
                      <w:rStyle w:val="73"/>
                      <w:rFonts w:hint="default" w:ascii="Times New Roman" w:hAnsi="Times New Roman" w:eastAsia="宋体" w:cs="Times New Roman"/>
                      <w:sz w:val="21"/>
                      <w:szCs w:val="21"/>
                      <w:vertAlign w:val="baseline"/>
                      <w:lang w:val="en-US" w:eastAsia="zh-CN" w:bidi="ar"/>
                    </w:rPr>
                    <w:t>A</w:t>
                  </w:r>
                  <w:r>
                    <w:rPr>
                      <w:rStyle w:val="66"/>
                      <w:rFonts w:hint="default" w:ascii="Times New Roman" w:hAnsi="Times New Roman" w:eastAsia="宋体" w:cs="Times New Roman"/>
                      <w:sz w:val="21"/>
                      <w:szCs w:val="21"/>
                      <w:vertAlign w:val="baseline"/>
                      <w:lang w:val="en-US" w:eastAsia="zh-CN" w:bidi="ar"/>
                    </w:rPr>
                    <w:t>）</w:t>
                  </w:r>
                </w:p>
              </w:tc>
              <w:tc>
                <w:tcPr>
                  <w:tcW w:w="354" w:type="pct"/>
                  <w:shd w:val="clear" w:color="auto" w:fill="auto"/>
                  <w:vAlign w:val="center"/>
                </w:tcPr>
                <w:p w14:paraId="58EFD2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vertAlign w:val="baseline"/>
                    </w:rPr>
                  </w:pPr>
                  <w:r>
                    <w:rPr>
                      <w:rStyle w:val="67"/>
                      <w:rFonts w:hint="default" w:ascii="Times New Roman" w:hAnsi="Times New Roman" w:eastAsia="宋体" w:cs="Times New Roman"/>
                      <w:sz w:val="21"/>
                      <w:szCs w:val="21"/>
                      <w:vertAlign w:val="baseline"/>
                      <w:lang w:val="en-US" w:eastAsia="zh-CN" w:bidi="ar"/>
                    </w:rPr>
                    <w:t>建筑物外距离</w:t>
                  </w:r>
                </w:p>
              </w:tc>
            </w:tr>
            <w:tr w14:paraId="06D3F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3" w:hRule="atLeast"/>
              </w:trPr>
              <w:tc>
                <w:tcPr>
                  <w:tcW w:w="245" w:type="pct"/>
                  <w:shd w:val="clear" w:color="auto" w:fill="auto"/>
                  <w:vAlign w:val="center"/>
                </w:tcPr>
                <w:p w14:paraId="0C9107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01" w:type="pct"/>
                  <w:vMerge w:val="restart"/>
                  <w:shd w:val="clear" w:color="auto" w:fill="auto"/>
                  <w:noWrap/>
                  <w:vAlign w:val="center"/>
                </w:tcPr>
                <w:p w14:paraId="1C4B19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格栅井</w:t>
                  </w:r>
                </w:p>
              </w:tc>
              <w:tc>
                <w:tcPr>
                  <w:tcW w:w="819" w:type="pct"/>
                  <w:shd w:val="clear" w:color="auto" w:fill="auto"/>
                  <w:noWrap/>
                  <w:vAlign w:val="center"/>
                </w:tcPr>
                <w:p w14:paraId="3FD49D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栅渣输送机1</w:t>
                  </w:r>
                </w:p>
              </w:tc>
              <w:tc>
                <w:tcPr>
                  <w:tcW w:w="352" w:type="pct"/>
                  <w:shd w:val="clear" w:color="auto" w:fill="auto"/>
                  <w:noWrap/>
                  <w:vAlign w:val="center"/>
                </w:tcPr>
                <w:p w14:paraId="2BE0C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402" w:type="pct"/>
                  <w:vMerge w:val="restart"/>
                  <w:shd w:val="clear" w:color="auto" w:fill="auto"/>
                  <w:vAlign w:val="center"/>
                </w:tcPr>
                <w:p w14:paraId="181064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Style w:val="66"/>
                      <w:rFonts w:hint="default" w:ascii="Times New Roman" w:hAnsi="Times New Roman" w:eastAsia="宋体" w:cs="Times New Roman"/>
                      <w:sz w:val="21"/>
                      <w:szCs w:val="21"/>
                      <w:lang w:val="en-US" w:eastAsia="zh-CN" w:bidi="ar"/>
                    </w:rPr>
                    <w:t>基础减振</w:t>
                  </w:r>
                  <w:r>
                    <w:rPr>
                      <w:rStyle w:val="66"/>
                      <w:rFonts w:hint="eastAsia" w:ascii="Times New Roman" w:hAnsi="Times New Roman" w:eastAsia="宋体" w:cs="Times New Roman"/>
                      <w:sz w:val="21"/>
                      <w:szCs w:val="21"/>
                      <w:lang w:val="en-US" w:eastAsia="zh-CN" w:bidi="ar"/>
                    </w:rPr>
                    <w:t>，隔声</w:t>
                  </w:r>
                </w:p>
              </w:tc>
              <w:tc>
                <w:tcPr>
                  <w:tcW w:w="284" w:type="pct"/>
                  <w:shd w:val="clear" w:color="auto" w:fill="auto"/>
                  <w:vAlign w:val="center"/>
                </w:tcPr>
                <w:p w14:paraId="16FA7B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w:t>
                  </w:r>
                </w:p>
              </w:tc>
              <w:tc>
                <w:tcPr>
                  <w:tcW w:w="311" w:type="pct"/>
                  <w:shd w:val="clear" w:color="auto" w:fill="auto"/>
                  <w:vAlign w:val="center"/>
                </w:tcPr>
                <w:p w14:paraId="1D9AB8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210</w:t>
                  </w:r>
                </w:p>
              </w:tc>
              <w:tc>
                <w:tcPr>
                  <w:tcW w:w="213" w:type="pct"/>
                  <w:shd w:val="clear" w:color="auto" w:fill="auto"/>
                  <w:vAlign w:val="center"/>
                </w:tcPr>
                <w:p w14:paraId="4889F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60B71F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9" w:type="pct"/>
                  <w:shd w:val="clear" w:color="auto" w:fill="auto"/>
                  <w:vAlign w:val="center"/>
                </w:tcPr>
                <w:p w14:paraId="52B38B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393" w:type="pct"/>
                  <w:shd w:val="clear" w:color="auto" w:fill="auto"/>
                  <w:vAlign w:val="center"/>
                </w:tcPr>
                <w:p w14:paraId="601EFA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5ED950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4C719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354" w:type="pct"/>
                  <w:shd w:val="clear" w:color="auto" w:fill="auto"/>
                  <w:vAlign w:val="center"/>
                </w:tcPr>
                <w:p w14:paraId="789E1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27</w:t>
                  </w:r>
                </w:p>
              </w:tc>
            </w:tr>
            <w:tr w14:paraId="163E4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245" w:type="pct"/>
                  <w:shd w:val="clear" w:color="auto" w:fill="auto"/>
                  <w:vAlign w:val="center"/>
                </w:tcPr>
                <w:p w14:paraId="61262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401" w:type="pct"/>
                  <w:vMerge w:val="continue"/>
                  <w:shd w:val="clear" w:color="auto" w:fill="auto"/>
                  <w:noWrap/>
                  <w:vAlign w:val="center"/>
                </w:tcPr>
                <w:p w14:paraId="6BA997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15879D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栅渣输送机2</w:t>
                  </w:r>
                </w:p>
              </w:tc>
              <w:tc>
                <w:tcPr>
                  <w:tcW w:w="352" w:type="pct"/>
                  <w:shd w:val="clear" w:color="auto" w:fill="auto"/>
                  <w:noWrap/>
                  <w:vAlign w:val="center"/>
                </w:tcPr>
                <w:p w14:paraId="1CFE72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402" w:type="pct"/>
                  <w:vMerge w:val="continue"/>
                  <w:shd w:val="clear" w:color="auto" w:fill="auto"/>
                  <w:vAlign w:val="center"/>
                </w:tcPr>
                <w:p w14:paraId="4E3C68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064A51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w:t>
                  </w:r>
                </w:p>
              </w:tc>
              <w:tc>
                <w:tcPr>
                  <w:tcW w:w="311" w:type="pct"/>
                  <w:shd w:val="clear" w:color="auto" w:fill="auto"/>
                  <w:vAlign w:val="center"/>
                </w:tcPr>
                <w:p w14:paraId="7F5787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210</w:t>
                  </w:r>
                </w:p>
              </w:tc>
              <w:tc>
                <w:tcPr>
                  <w:tcW w:w="213" w:type="pct"/>
                  <w:shd w:val="clear" w:color="auto" w:fill="auto"/>
                  <w:vAlign w:val="center"/>
                </w:tcPr>
                <w:p w14:paraId="082B2E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55B2D6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79" w:type="pct"/>
                  <w:shd w:val="clear" w:color="auto" w:fill="auto"/>
                  <w:vAlign w:val="center"/>
                </w:tcPr>
                <w:p w14:paraId="4AC9D7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393" w:type="pct"/>
                  <w:shd w:val="clear" w:color="auto" w:fill="auto"/>
                  <w:vAlign w:val="center"/>
                </w:tcPr>
                <w:p w14:paraId="51F39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5E4E23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187C7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354" w:type="pct"/>
                  <w:shd w:val="clear" w:color="auto" w:fill="auto"/>
                  <w:vAlign w:val="center"/>
                </w:tcPr>
                <w:p w14:paraId="3B5982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sz w:val="21"/>
                      <w:szCs w:val="21"/>
                      <w:u w:val="none"/>
                      <w:lang w:val="en-US" w:eastAsia="zh-CN"/>
                    </w:rPr>
                    <w:t>27</w:t>
                  </w:r>
                </w:p>
              </w:tc>
            </w:tr>
            <w:tr w14:paraId="79354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245" w:type="pct"/>
                  <w:shd w:val="clear" w:color="auto" w:fill="auto"/>
                  <w:vAlign w:val="center"/>
                </w:tcPr>
                <w:p w14:paraId="4F277C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401" w:type="pct"/>
                  <w:vMerge w:val="restart"/>
                  <w:shd w:val="clear" w:color="auto" w:fill="auto"/>
                  <w:noWrap/>
                  <w:vAlign w:val="center"/>
                </w:tcPr>
                <w:p w14:paraId="5DC2D5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沉砂池</w:t>
                  </w:r>
                </w:p>
              </w:tc>
              <w:tc>
                <w:tcPr>
                  <w:tcW w:w="819" w:type="pct"/>
                  <w:shd w:val="clear" w:color="auto" w:fill="auto"/>
                  <w:noWrap/>
                  <w:vAlign w:val="center"/>
                </w:tcPr>
                <w:p w14:paraId="331314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吸砂机</w:t>
                  </w:r>
                </w:p>
              </w:tc>
              <w:tc>
                <w:tcPr>
                  <w:tcW w:w="352" w:type="pct"/>
                  <w:shd w:val="clear" w:color="auto" w:fill="auto"/>
                  <w:noWrap/>
                  <w:vAlign w:val="center"/>
                </w:tcPr>
                <w:p w14:paraId="579B5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7F9132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6982F4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w:t>
                  </w:r>
                </w:p>
              </w:tc>
              <w:tc>
                <w:tcPr>
                  <w:tcW w:w="311" w:type="pct"/>
                  <w:shd w:val="clear" w:color="auto" w:fill="auto"/>
                  <w:vAlign w:val="center"/>
                </w:tcPr>
                <w:p w14:paraId="1BC236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226</w:t>
                  </w:r>
                </w:p>
              </w:tc>
              <w:tc>
                <w:tcPr>
                  <w:tcW w:w="213" w:type="pct"/>
                  <w:shd w:val="clear" w:color="auto" w:fill="auto"/>
                  <w:vAlign w:val="center"/>
                </w:tcPr>
                <w:p w14:paraId="630E4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6B34D5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279" w:type="pct"/>
                  <w:shd w:val="clear" w:color="auto" w:fill="auto"/>
                  <w:vAlign w:val="center"/>
                </w:tcPr>
                <w:p w14:paraId="2B56CC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09C23D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706B1C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7CA6C8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08F975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sz w:val="21"/>
                      <w:szCs w:val="21"/>
                      <w:u w:val="none"/>
                      <w:lang w:val="en-US" w:eastAsia="zh-CN"/>
                    </w:rPr>
                    <w:t>7</w:t>
                  </w:r>
                </w:p>
              </w:tc>
            </w:tr>
            <w:tr w14:paraId="2FAEE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245" w:type="pct"/>
                  <w:shd w:val="clear" w:color="auto" w:fill="auto"/>
                  <w:vAlign w:val="center"/>
                </w:tcPr>
                <w:p w14:paraId="7D299A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401" w:type="pct"/>
                  <w:vMerge w:val="continue"/>
                  <w:shd w:val="clear" w:color="auto" w:fill="auto"/>
                  <w:noWrap/>
                  <w:vAlign w:val="center"/>
                </w:tcPr>
                <w:p w14:paraId="05A70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12AA7B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污水提升泵1</w:t>
                  </w:r>
                </w:p>
              </w:tc>
              <w:tc>
                <w:tcPr>
                  <w:tcW w:w="352" w:type="pct"/>
                  <w:shd w:val="clear" w:color="auto" w:fill="auto"/>
                  <w:noWrap/>
                  <w:vAlign w:val="center"/>
                </w:tcPr>
                <w:p w14:paraId="3F0F7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restart"/>
                  <w:shd w:val="clear" w:color="auto" w:fill="auto"/>
                  <w:vAlign w:val="center"/>
                </w:tcPr>
                <w:p w14:paraId="49065A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lang w:val="en-US" w:eastAsia="zh-CN"/>
                    </w:rPr>
                  </w:pPr>
                  <w:r>
                    <w:rPr>
                      <w:rStyle w:val="66"/>
                      <w:rFonts w:hint="default" w:ascii="Times New Roman" w:hAnsi="Times New Roman" w:eastAsia="宋体" w:cs="Times New Roman"/>
                      <w:sz w:val="21"/>
                      <w:szCs w:val="21"/>
                      <w:lang w:val="en-US" w:eastAsia="zh-CN" w:bidi="ar"/>
                    </w:rPr>
                    <w:t>基础减振、</w:t>
                  </w:r>
                  <w:r>
                    <w:rPr>
                      <w:rStyle w:val="66"/>
                      <w:rFonts w:hint="eastAsia" w:ascii="Times New Roman" w:hAnsi="Times New Roman" w:eastAsia="宋体" w:cs="Times New Roman"/>
                      <w:sz w:val="21"/>
                      <w:szCs w:val="21"/>
                      <w:lang w:val="en-US" w:eastAsia="zh-CN" w:bidi="ar"/>
                    </w:rPr>
                    <w:t>放置于地下</w:t>
                  </w:r>
                </w:p>
              </w:tc>
              <w:tc>
                <w:tcPr>
                  <w:tcW w:w="284" w:type="pct"/>
                  <w:shd w:val="clear" w:color="auto" w:fill="auto"/>
                  <w:vAlign w:val="center"/>
                </w:tcPr>
                <w:p w14:paraId="0A765B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311" w:type="pct"/>
                  <w:shd w:val="clear" w:color="auto" w:fill="auto"/>
                  <w:vAlign w:val="center"/>
                </w:tcPr>
                <w:p w14:paraId="589B4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205</w:t>
                  </w:r>
                </w:p>
              </w:tc>
              <w:tc>
                <w:tcPr>
                  <w:tcW w:w="213" w:type="pct"/>
                  <w:shd w:val="clear" w:color="auto" w:fill="auto"/>
                  <w:vAlign w:val="center"/>
                </w:tcPr>
                <w:p w14:paraId="256D5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242BA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9" w:type="pct"/>
                  <w:shd w:val="clear" w:color="auto" w:fill="auto"/>
                  <w:vAlign w:val="center"/>
                </w:tcPr>
                <w:p w14:paraId="58229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37EC2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32FA69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290304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014283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7</w:t>
                  </w:r>
                </w:p>
              </w:tc>
            </w:tr>
            <w:tr w14:paraId="04C26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245" w:type="pct"/>
                  <w:shd w:val="clear" w:color="auto" w:fill="auto"/>
                  <w:vAlign w:val="center"/>
                </w:tcPr>
                <w:p w14:paraId="5C814D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401" w:type="pct"/>
                  <w:vMerge w:val="restart"/>
                  <w:shd w:val="clear" w:color="auto" w:fill="auto"/>
                  <w:noWrap/>
                  <w:vAlign w:val="center"/>
                </w:tcPr>
                <w:p w14:paraId="5350D1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调节池</w:t>
                  </w:r>
                </w:p>
              </w:tc>
              <w:tc>
                <w:tcPr>
                  <w:tcW w:w="819" w:type="pct"/>
                  <w:shd w:val="clear" w:color="auto" w:fill="auto"/>
                  <w:noWrap/>
                  <w:vAlign w:val="center"/>
                </w:tcPr>
                <w:p w14:paraId="04F5FE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污水提升泵2</w:t>
                  </w:r>
                </w:p>
              </w:tc>
              <w:tc>
                <w:tcPr>
                  <w:tcW w:w="352" w:type="pct"/>
                  <w:shd w:val="clear" w:color="auto" w:fill="auto"/>
                  <w:noWrap/>
                  <w:vAlign w:val="center"/>
                </w:tcPr>
                <w:p w14:paraId="18DD0B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3634A5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6349E5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w:t>
                  </w:r>
                </w:p>
              </w:tc>
              <w:tc>
                <w:tcPr>
                  <w:tcW w:w="311" w:type="pct"/>
                  <w:shd w:val="clear" w:color="auto" w:fill="auto"/>
                  <w:vAlign w:val="center"/>
                </w:tcPr>
                <w:p w14:paraId="54741B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203</w:t>
                  </w:r>
                </w:p>
              </w:tc>
              <w:tc>
                <w:tcPr>
                  <w:tcW w:w="213" w:type="pct"/>
                  <w:shd w:val="clear" w:color="auto" w:fill="auto"/>
                  <w:vAlign w:val="center"/>
                </w:tcPr>
                <w:p w14:paraId="6BB7CB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12E8A9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79" w:type="pct"/>
                  <w:shd w:val="clear" w:color="auto" w:fill="auto"/>
                  <w:vAlign w:val="center"/>
                </w:tcPr>
                <w:p w14:paraId="63066D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1428B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719B45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4EFF69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5659A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10</w:t>
                  </w:r>
                </w:p>
              </w:tc>
            </w:tr>
            <w:tr w14:paraId="57CB4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245" w:type="pct"/>
                  <w:shd w:val="clear" w:color="auto" w:fill="auto"/>
                  <w:vAlign w:val="center"/>
                </w:tcPr>
                <w:p w14:paraId="3E3FF3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401" w:type="pct"/>
                  <w:vMerge w:val="continue"/>
                  <w:shd w:val="clear" w:color="auto" w:fill="auto"/>
                  <w:noWrap/>
                  <w:vAlign w:val="center"/>
                </w:tcPr>
                <w:p w14:paraId="62A7FD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2B8C31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污水提升泵3</w:t>
                  </w:r>
                </w:p>
              </w:tc>
              <w:tc>
                <w:tcPr>
                  <w:tcW w:w="352" w:type="pct"/>
                  <w:shd w:val="clear" w:color="auto" w:fill="auto"/>
                  <w:noWrap/>
                  <w:vAlign w:val="center"/>
                </w:tcPr>
                <w:p w14:paraId="4124E6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683D24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1AE14C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w:t>
                  </w:r>
                </w:p>
              </w:tc>
              <w:tc>
                <w:tcPr>
                  <w:tcW w:w="311" w:type="pct"/>
                  <w:shd w:val="clear" w:color="auto" w:fill="auto"/>
                  <w:vAlign w:val="center"/>
                </w:tcPr>
                <w:p w14:paraId="38C8B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209</w:t>
                  </w:r>
                </w:p>
              </w:tc>
              <w:tc>
                <w:tcPr>
                  <w:tcW w:w="213" w:type="pct"/>
                  <w:shd w:val="clear" w:color="auto" w:fill="auto"/>
                  <w:vAlign w:val="center"/>
                </w:tcPr>
                <w:p w14:paraId="090724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4AE3CE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79" w:type="pct"/>
                  <w:shd w:val="clear" w:color="auto" w:fill="auto"/>
                  <w:vAlign w:val="center"/>
                </w:tcPr>
                <w:p w14:paraId="20E02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261453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595A46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47681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65BDF9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13</w:t>
                  </w:r>
                </w:p>
              </w:tc>
            </w:tr>
            <w:tr w14:paraId="1C262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9" w:hRule="atLeast"/>
              </w:trPr>
              <w:tc>
                <w:tcPr>
                  <w:tcW w:w="245" w:type="pct"/>
                  <w:shd w:val="clear" w:color="auto" w:fill="auto"/>
                  <w:vAlign w:val="center"/>
                </w:tcPr>
                <w:p w14:paraId="3C95BE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401" w:type="pct"/>
                  <w:vMerge w:val="restart"/>
                  <w:shd w:val="clear" w:color="auto" w:fill="auto"/>
                  <w:noWrap/>
                  <w:vAlign w:val="center"/>
                </w:tcPr>
                <w:p w14:paraId="082FDE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厌氧反应池</w:t>
                  </w:r>
                </w:p>
              </w:tc>
              <w:tc>
                <w:tcPr>
                  <w:tcW w:w="819" w:type="pct"/>
                  <w:shd w:val="clear" w:color="auto" w:fill="auto"/>
                  <w:noWrap/>
                  <w:vAlign w:val="center"/>
                </w:tcPr>
                <w:p w14:paraId="4C5571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潜水搅拌机1</w:t>
                  </w:r>
                </w:p>
              </w:tc>
              <w:tc>
                <w:tcPr>
                  <w:tcW w:w="352" w:type="pct"/>
                  <w:shd w:val="clear" w:color="auto" w:fill="auto"/>
                  <w:noWrap/>
                  <w:vAlign w:val="center"/>
                </w:tcPr>
                <w:p w14:paraId="3A51B8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402" w:type="pct"/>
                  <w:vMerge w:val="restart"/>
                  <w:shd w:val="clear" w:color="auto" w:fill="auto"/>
                  <w:vAlign w:val="center"/>
                </w:tcPr>
                <w:p w14:paraId="5F87AA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基础减振</w:t>
                  </w:r>
                  <w:r>
                    <w:rPr>
                      <w:rStyle w:val="66"/>
                      <w:rFonts w:hint="eastAsia" w:ascii="Times New Roman" w:hAnsi="Times New Roman" w:eastAsia="宋体" w:cs="Times New Roman"/>
                      <w:sz w:val="21"/>
                      <w:szCs w:val="21"/>
                      <w:lang w:val="en-US" w:eastAsia="zh-CN" w:bidi="ar"/>
                    </w:rPr>
                    <w:t>，隔声</w:t>
                  </w:r>
                </w:p>
              </w:tc>
              <w:tc>
                <w:tcPr>
                  <w:tcW w:w="284" w:type="pct"/>
                  <w:shd w:val="clear" w:color="auto" w:fill="auto"/>
                  <w:vAlign w:val="center"/>
                </w:tcPr>
                <w:p w14:paraId="00AA98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74</w:t>
                  </w:r>
                </w:p>
              </w:tc>
              <w:tc>
                <w:tcPr>
                  <w:tcW w:w="311" w:type="pct"/>
                  <w:shd w:val="clear" w:color="auto" w:fill="auto"/>
                  <w:vAlign w:val="center"/>
                </w:tcPr>
                <w:p w14:paraId="1FF4A7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164</w:t>
                  </w:r>
                </w:p>
              </w:tc>
              <w:tc>
                <w:tcPr>
                  <w:tcW w:w="213" w:type="pct"/>
                  <w:shd w:val="clear" w:color="auto" w:fill="auto"/>
                  <w:vAlign w:val="center"/>
                </w:tcPr>
                <w:p w14:paraId="5BF8F6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585247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279" w:type="pct"/>
                  <w:shd w:val="clear" w:color="auto" w:fill="auto"/>
                  <w:vAlign w:val="center"/>
                </w:tcPr>
                <w:p w14:paraId="1C7862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393" w:type="pct"/>
                  <w:shd w:val="clear" w:color="auto" w:fill="auto"/>
                  <w:vAlign w:val="center"/>
                </w:tcPr>
                <w:p w14:paraId="5416E9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4F4D06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39B2B7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354" w:type="pct"/>
                  <w:shd w:val="clear" w:color="auto" w:fill="auto"/>
                  <w:vAlign w:val="center"/>
                </w:tcPr>
                <w:p w14:paraId="546453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sz w:val="21"/>
                      <w:szCs w:val="21"/>
                      <w:u w:val="none"/>
                      <w:lang w:val="en-US" w:eastAsia="zh-CN"/>
                    </w:rPr>
                    <w:t>3</w:t>
                  </w:r>
                </w:p>
              </w:tc>
            </w:tr>
            <w:tr w14:paraId="3D684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245" w:type="pct"/>
                  <w:shd w:val="clear" w:color="auto" w:fill="auto"/>
                  <w:vAlign w:val="center"/>
                </w:tcPr>
                <w:p w14:paraId="531742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401" w:type="pct"/>
                  <w:vMerge w:val="continue"/>
                  <w:shd w:val="clear" w:color="auto" w:fill="auto"/>
                  <w:noWrap/>
                  <w:vAlign w:val="center"/>
                </w:tcPr>
                <w:p w14:paraId="754977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5536D0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潜水搅拌机2</w:t>
                  </w:r>
                </w:p>
              </w:tc>
              <w:tc>
                <w:tcPr>
                  <w:tcW w:w="352" w:type="pct"/>
                  <w:shd w:val="clear" w:color="auto" w:fill="auto"/>
                  <w:noWrap/>
                  <w:vAlign w:val="center"/>
                </w:tcPr>
                <w:p w14:paraId="06E88D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402" w:type="pct"/>
                  <w:vMerge w:val="continue"/>
                  <w:shd w:val="clear" w:color="auto" w:fill="auto"/>
                  <w:vAlign w:val="center"/>
                </w:tcPr>
                <w:p w14:paraId="379F71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7CCDDB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311" w:type="pct"/>
                  <w:shd w:val="clear" w:color="auto" w:fill="auto"/>
                  <w:vAlign w:val="center"/>
                </w:tcPr>
                <w:p w14:paraId="6815D9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180</w:t>
                  </w:r>
                </w:p>
              </w:tc>
              <w:tc>
                <w:tcPr>
                  <w:tcW w:w="213" w:type="pct"/>
                  <w:shd w:val="clear" w:color="auto" w:fill="auto"/>
                  <w:vAlign w:val="center"/>
                </w:tcPr>
                <w:p w14:paraId="7848EF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0B9C1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9" w:type="pct"/>
                  <w:shd w:val="clear" w:color="auto" w:fill="auto"/>
                  <w:vAlign w:val="center"/>
                </w:tcPr>
                <w:p w14:paraId="2E70B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393" w:type="pct"/>
                  <w:shd w:val="clear" w:color="auto" w:fill="auto"/>
                  <w:vAlign w:val="center"/>
                </w:tcPr>
                <w:p w14:paraId="03D27B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65887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64E3D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354" w:type="pct"/>
                  <w:shd w:val="clear" w:color="auto" w:fill="auto"/>
                  <w:vAlign w:val="center"/>
                </w:tcPr>
                <w:p w14:paraId="3C5B9A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3</w:t>
                  </w:r>
                </w:p>
              </w:tc>
            </w:tr>
            <w:tr w14:paraId="6093E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245" w:type="pct"/>
                  <w:shd w:val="clear" w:color="auto" w:fill="auto"/>
                  <w:vAlign w:val="center"/>
                </w:tcPr>
                <w:p w14:paraId="31E4A1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401" w:type="pct"/>
                  <w:vMerge w:val="restart"/>
                  <w:shd w:val="clear" w:color="auto" w:fill="auto"/>
                  <w:vAlign w:val="center"/>
                </w:tcPr>
                <w:p w14:paraId="32AE8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缺氧反应池</w:t>
                  </w:r>
                </w:p>
              </w:tc>
              <w:tc>
                <w:tcPr>
                  <w:tcW w:w="819" w:type="pct"/>
                  <w:shd w:val="clear" w:color="auto" w:fill="auto"/>
                  <w:vAlign w:val="center"/>
                </w:tcPr>
                <w:p w14:paraId="2CBBBF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缺氧池潜水搅拌机1</w:t>
                  </w:r>
                </w:p>
              </w:tc>
              <w:tc>
                <w:tcPr>
                  <w:tcW w:w="352" w:type="pct"/>
                  <w:shd w:val="clear" w:color="auto" w:fill="auto"/>
                  <w:noWrap/>
                  <w:vAlign w:val="center"/>
                </w:tcPr>
                <w:p w14:paraId="77D75B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0FB05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4624B0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311" w:type="pct"/>
                  <w:shd w:val="clear" w:color="auto" w:fill="auto"/>
                  <w:vAlign w:val="center"/>
                </w:tcPr>
                <w:p w14:paraId="522F4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186</w:t>
                  </w:r>
                </w:p>
              </w:tc>
              <w:tc>
                <w:tcPr>
                  <w:tcW w:w="213" w:type="pct"/>
                  <w:shd w:val="clear" w:color="auto" w:fill="auto"/>
                  <w:vAlign w:val="center"/>
                </w:tcPr>
                <w:p w14:paraId="210C44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2C55E8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9" w:type="pct"/>
                  <w:shd w:val="clear" w:color="auto" w:fill="auto"/>
                  <w:vAlign w:val="center"/>
                </w:tcPr>
                <w:p w14:paraId="74470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2EBE75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60739B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457723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4FC5DF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sz w:val="21"/>
                      <w:szCs w:val="21"/>
                      <w:u w:val="none"/>
                      <w:lang w:val="en-US" w:eastAsia="zh-CN"/>
                    </w:rPr>
                    <w:t>15</w:t>
                  </w:r>
                </w:p>
              </w:tc>
            </w:tr>
            <w:tr w14:paraId="63E45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7" w:hRule="atLeast"/>
              </w:trPr>
              <w:tc>
                <w:tcPr>
                  <w:tcW w:w="245" w:type="pct"/>
                  <w:shd w:val="clear" w:color="auto" w:fill="auto"/>
                  <w:vAlign w:val="center"/>
                </w:tcPr>
                <w:p w14:paraId="4B5F5B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01" w:type="pct"/>
                  <w:vMerge w:val="continue"/>
                  <w:shd w:val="clear" w:color="auto" w:fill="auto"/>
                  <w:vAlign w:val="center"/>
                </w:tcPr>
                <w:p w14:paraId="774443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vAlign w:val="center"/>
                </w:tcPr>
                <w:p w14:paraId="4E76AC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缺氧池潜水搅拌机2</w:t>
                  </w:r>
                </w:p>
              </w:tc>
              <w:tc>
                <w:tcPr>
                  <w:tcW w:w="352" w:type="pct"/>
                  <w:shd w:val="clear" w:color="auto" w:fill="auto"/>
                  <w:noWrap/>
                  <w:vAlign w:val="center"/>
                </w:tcPr>
                <w:p w14:paraId="0487C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49176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13472A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311" w:type="pct"/>
                  <w:shd w:val="clear" w:color="auto" w:fill="auto"/>
                  <w:vAlign w:val="center"/>
                </w:tcPr>
                <w:p w14:paraId="0D806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177</w:t>
                  </w:r>
                </w:p>
              </w:tc>
              <w:tc>
                <w:tcPr>
                  <w:tcW w:w="213" w:type="pct"/>
                  <w:shd w:val="clear" w:color="auto" w:fill="auto"/>
                  <w:vAlign w:val="center"/>
                </w:tcPr>
                <w:p w14:paraId="00E08C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371DDE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279" w:type="pct"/>
                  <w:shd w:val="clear" w:color="auto" w:fill="auto"/>
                  <w:vAlign w:val="center"/>
                </w:tcPr>
                <w:p w14:paraId="368FAE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7E1008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1B87BA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0844A2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6C2D5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15</w:t>
                  </w:r>
                </w:p>
              </w:tc>
            </w:tr>
            <w:tr w14:paraId="1A44D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245" w:type="pct"/>
                  <w:shd w:val="clear" w:color="auto" w:fill="auto"/>
                  <w:vAlign w:val="center"/>
                </w:tcPr>
                <w:p w14:paraId="63611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401" w:type="pct"/>
                  <w:vMerge w:val="continue"/>
                  <w:shd w:val="clear" w:color="auto" w:fill="auto"/>
                  <w:vAlign w:val="center"/>
                </w:tcPr>
                <w:p w14:paraId="5B413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vAlign w:val="center"/>
                </w:tcPr>
                <w:p w14:paraId="4633F7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缺氧池潜水搅拌机3</w:t>
                  </w:r>
                </w:p>
              </w:tc>
              <w:tc>
                <w:tcPr>
                  <w:tcW w:w="352" w:type="pct"/>
                  <w:shd w:val="clear" w:color="auto" w:fill="auto"/>
                  <w:noWrap/>
                  <w:vAlign w:val="center"/>
                </w:tcPr>
                <w:p w14:paraId="2B18E2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30581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2B5016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59</w:t>
                  </w:r>
                </w:p>
              </w:tc>
              <w:tc>
                <w:tcPr>
                  <w:tcW w:w="311" w:type="pct"/>
                  <w:shd w:val="clear" w:color="auto" w:fill="auto"/>
                  <w:vAlign w:val="center"/>
                </w:tcPr>
                <w:p w14:paraId="15E467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194</w:t>
                  </w:r>
                </w:p>
              </w:tc>
              <w:tc>
                <w:tcPr>
                  <w:tcW w:w="213" w:type="pct"/>
                  <w:shd w:val="clear" w:color="auto" w:fill="auto"/>
                  <w:vAlign w:val="center"/>
                </w:tcPr>
                <w:p w14:paraId="197BDB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6C5674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9" w:type="pct"/>
                  <w:shd w:val="clear" w:color="auto" w:fill="auto"/>
                  <w:vAlign w:val="center"/>
                </w:tcPr>
                <w:p w14:paraId="22FD6A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37504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2550A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54390F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349C2D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eastAsia" w:ascii="Times New Roman" w:hAnsi="Times New Roman" w:eastAsia="宋体" w:cs="Times New Roman"/>
                      <w:i w:val="0"/>
                      <w:iCs w:val="0"/>
                      <w:color w:val="000000"/>
                      <w:sz w:val="21"/>
                      <w:szCs w:val="21"/>
                      <w:u w:val="none"/>
                      <w:lang w:val="en-US" w:eastAsia="zh-CN"/>
                    </w:rPr>
                    <w:t>15</w:t>
                  </w:r>
                </w:p>
              </w:tc>
            </w:tr>
            <w:tr w14:paraId="5193E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245" w:type="pct"/>
                  <w:shd w:val="clear" w:color="auto" w:fill="auto"/>
                  <w:vAlign w:val="center"/>
                </w:tcPr>
                <w:p w14:paraId="2BAC6C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401" w:type="pct"/>
                  <w:vMerge w:val="continue"/>
                  <w:shd w:val="clear" w:color="auto" w:fill="auto"/>
                  <w:vAlign w:val="center"/>
                </w:tcPr>
                <w:p w14:paraId="5866BA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vAlign w:val="center"/>
                </w:tcPr>
                <w:p w14:paraId="22D716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缺氧池潜水搅拌机4</w:t>
                  </w:r>
                </w:p>
              </w:tc>
              <w:tc>
                <w:tcPr>
                  <w:tcW w:w="352" w:type="pct"/>
                  <w:shd w:val="clear" w:color="auto" w:fill="auto"/>
                  <w:noWrap/>
                  <w:vAlign w:val="center"/>
                </w:tcPr>
                <w:p w14:paraId="77E48C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18A6B8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166E0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64</w:t>
                  </w:r>
                </w:p>
              </w:tc>
              <w:tc>
                <w:tcPr>
                  <w:tcW w:w="311" w:type="pct"/>
                  <w:shd w:val="clear" w:color="auto" w:fill="auto"/>
                  <w:vAlign w:val="center"/>
                </w:tcPr>
                <w:p w14:paraId="115CB1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172</w:t>
                  </w:r>
                </w:p>
              </w:tc>
              <w:tc>
                <w:tcPr>
                  <w:tcW w:w="213" w:type="pct"/>
                  <w:shd w:val="clear" w:color="auto" w:fill="auto"/>
                  <w:vAlign w:val="center"/>
                </w:tcPr>
                <w:p w14:paraId="78D08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7D1CE5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9" w:type="pct"/>
                  <w:shd w:val="clear" w:color="auto" w:fill="auto"/>
                  <w:vAlign w:val="center"/>
                </w:tcPr>
                <w:p w14:paraId="6A3EDF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13B98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63EFC2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2184CF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097DFE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eastAsia" w:ascii="Times New Roman" w:hAnsi="Times New Roman" w:eastAsia="宋体" w:cs="Times New Roman"/>
                      <w:i w:val="0"/>
                      <w:iCs w:val="0"/>
                      <w:color w:val="000000"/>
                      <w:sz w:val="21"/>
                      <w:szCs w:val="21"/>
                      <w:u w:val="none"/>
                      <w:lang w:val="en-US" w:eastAsia="zh-CN"/>
                    </w:rPr>
                    <w:t>16</w:t>
                  </w:r>
                </w:p>
              </w:tc>
            </w:tr>
            <w:tr w14:paraId="48CC2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245" w:type="pct"/>
                  <w:shd w:val="clear" w:color="auto" w:fill="auto"/>
                  <w:vAlign w:val="center"/>
                </w:tcPr>
                <w:p w14:paraId="5F2076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401" w:type="pct"/>
                  <w:vMerge w:val="restart"/>
                  <w:shd w:val="clear" w:color="auto" w:fill="auto"/>
                  <w:noWrap/>
                  <w:vAlign w:val="center"/>
                </w:tcPr>
                <w:p w14:paraId="339201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好氧反应池</w:t>
                  </w:r>
                </w:p>
              </w:tc>
              <w:tc>
                <w:tcPr>
                  <w:tcW w:w="819" w:type="pct"/>
                  <w:shd w:val="clear" w:color="auto" w:fill="auto"/>
                  <w:noWrap/>
                  <w:vAlign w:val="center"/>
                </w:tcPr>
                <w:p w14:paraId="61632B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混合液回流泵1</w:t>
                  </w:r>
                </w:p>
              </w:tc>
              <w:tc>
                <w:tcPr>
                  <w:tcW w:w="352" w:type="pct"/>
                  <w:shd w:val="clear" w:color="auto" w:fill="auto"/>
                  <w:noWrap/>
                  <w:vAlign w:val="center"/>
                </w:tcPr>
                <w:p w14:paraId="0C21D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restart"/>
                  <w:shd w:val="clear" w:color="auto" w:fill="auto"/>
                  <w:vAlign w:val="center"/>
                </w:tcPr>
                <w:p w14:paraId="3A1CBB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基础减振、</w:t>
                  </w:r>
                  <w:r>
                    <w:rPr>
                      <w:rStyle w:val="66"/>
                      <w:rFonts w:hint="eastAsia" w:ascii="Times New Roman" w:hAnsi="Times New Roman" w:eastAsia="宋体" w:cs="Times New Roman"/>
                      <w:sz w:val="21"/>
                      <w:szCs w:val="21"/>
                      <w:lang w:val="en-US" w:eastAsia="zh-CN" w:bidi="ar"/>
                    </w:rPr>
                    <w:t>放置于地下</w:t>
                  </w:r>
                </w:p>
              </w:tc>
              <w:tc>
                <w:tcPr>
                  <w:tcW w:w="284" w:type="pct"/>
                  <w:shd w:val="clear" w:color="auto" w:fill="auto"/>
                  <w:vAlign w:val="center"/>
                </w:tcPr>
                <w:p w14:paraId="19872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59</w:t>
                  </w:r>
                </w:p>
              </w:tc>
              <w:tc>
                <w:tcPr>
                  <w:tcW w:w="311" w:type="pct"/>
                  <w:shd w:val="clear" w:color="auto" w:fill="auto"/>
                  <w:vAlign w:val="center"/>
                </w:tcPr>
                <w:p w14:paraId="29856A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199</w:t>
                  </w:r>
                </w:p>
              </w:tc>
              <w:tc>
                <w:tcPr>
                  <w:tcW w:w="213" w:type="pct"/>
                  <w:shd w:val="clear" w:color="auto" w:fill="auto"/>
                  <w:vAlign w:val="center"/>
                </w:tcPr>
                <w:p w14:paraId="0FE53C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746C05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9" w:type="pct"/>
                  <w:shd w:val="clear" w:color="auto" w:fill="auto"/>
                  <w:vAlign w:val="center"/>
                </w:tcPr>
                <w:p w14:paraId="1031C5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30EC27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3693A9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69A478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37C7DF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7</w:t>
                  </w:r>
                </w:p>
              </w:tc>
            </w:tr>
            <w:tr w14:paraId="15F4F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7" w:hRule="atLeast"/>
              </w:trPr>
              <w:tc>
                <w:tcPr>
                  <w:tcW w:w="245" w:type="pct"/>
                  <w:shd w:val="clear" w:color="auto" w:fill="auto"/>
                  <w:vAlign w:val="center"/>
                </w:tcPr>
                <w:p w14:paraId="14993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401" w:type="pct"/>
                  <w:vMerge w:val="continue"/>
                  <w:shd w:val="clear" w:color="auto" w:fill="auto"/>
                  <w:vAlign w:val="center"/>
                </w:tcPr>
                <w:p w14:paraId="6FF57B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3270F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混合液回流泵</w:t>
                  </w:r>
                  <w:r>
                    <w:rPr>
                      <w:rFonts w:hint="eastAsia" w:ascii="Times New Roman" w:hAnsi="Times New Roman" w:eastAsia="宋体" w:cs="Times New Roman"/>
                      <w:i w:val="0"/>
                      <w:iCs w:val="0"/>
                      <w:color w:val="000000"/>
                      <w:kern w:val="0"/>
                      <w:sz w:val="21"/>
                      <w:szCs w:val="21"/>
                      <w:u w:val="none"/>
                      <w:lang w:val="en-US" w:eastAsia="zh-CN" w:bidi="ar"/>
                    </w:rPr>
                    <w:t>2</w:t>
                  </w:r>
                </w:p>
              </w:tc>
              <w:tc>
                <w:tcPr>
                  <w:tcW w:w="352" w:type="pct"/>
                  <w:shd w:val="clear" w:color="auto" w:fill="auto"/>
                  <w:noWrap/>
                  <w:vAlign w:val="center"/>
                </w:tcPr>
                <w:p w14:paraId="208B61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3F7F75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42119C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66</w:t>
                  </w:r>
                </w:p>
              </w:tc>
              <w:tc>
                <w:tcPr>
                  <w:tcW w:w="311" w:type="pct"/>
                  <w:shd w:val="clear" w:color="auto" w:fill="auto"/>
                  <w:vAlign w:val="center"/>
                </w:tcPr>
                <w:p w14:paraId="267BB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190</w:t>
                  </w:r>
                </w:p>
              </w:tc>
              <w:tc>
                <w:tcPr>
                  <w:tcW w:w="213" w:type="pct"/>
                  <w:shd w:val="clear" w:color="auto" w:fill="auto"/>
                  <w:vAlign w:val="center"/>
                </w:tcPr>
                <w:p w14:paraId="223DD8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1BABFB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9" w:type="pct"/>
                  <w:shd w:val="clear" w:color="auto" w:fill="auto"/>
                  <w:vAlign w:val="center"/>
                </w:tcPr>
                <w:p w14:paraId="762F47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23137B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682997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235D9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173AC5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7</w:t>
                  </w:r>
                </w:p>
              </w:tc>
            </w:tr>
            <w:tr w14:paraId="75FB7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245" w:type="pct"/>
                  <w:shd w:val="clear" w:color="auto" w:fill="auto"/>
                  <w:vAlign w:val="center"/>
                </w:tcPr>
                <w:p w14:paraId="122F93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401" w:type="pct"/>
                  <w:vMerge w:val="continue"/>
                  <w:shd w:val="clear" w:color="auto" w:fill="auto"/>
                  <w:vAlign w:val="center"/>
                </w:tcPr>
                <w:p w14:paraId="12539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6C7A2A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混合液回流泵</w:t>
                  </w:r>
                  <w:r>
                    <w:rPr>
                      <w:rFonts w:hint="eastAsia" w:ascii="Times New Roman" w:hAnsi="Times New Roman" w:eastAsia="宋体" w:cs="Times New Roman"/>
                      <w:i w:val="0"/>
                      <w:iCs w:val="0"/>
                      <w:color w:val="000000"/>
                      <w:kern w:val="0"/>
                      <w:sz w:val="21"/>
                      <w:szCs w:val="21"/>
                      <w:u w:val="none"/>
                      <w:lang w:val="en-US" w:eastAsia="zh-CN" w:bidi="ar"/>
                    </w:rPr>
                    <w:t>3</w:t>
                  </w:r>
                </w:p>
              </w:tc>
              <w:tc>
                <w:tcPr>
                  <w:tcW w:w="352" w:type="pct"/>
                  <w:shd w:val="clear" w:color="auto" w:fill="auto"/>
                  <w:noWrap/>
                  <w:vAlign w:val="center"/>
                </w:tcPr>
                <w:p w14:paraId="46A60F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2230F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2B0B8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67</w:t>
                  </w:r>
                </w:p>
              </w:tc>
              <w:tc>
                <w:tcPr>
                  <w:tcW w:w="311" w:type="pct"/>
                  <w:shd w:val="clear" w:color="auto" w:fill="auto"/>
                  <w:vAlign w:val="center"/>
                </w:tcPr>
                <w:p w14:paraId="41A14A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175</w:t>
                  </w:r>
                </w:p>
              </w:tc>
              <w:tc>
                <w:tcPr>
                  <w:tcW w:w="213" w:type="pct"/>
                  <w:shd w:val="clear" w:color="auto" w:fill="auto"/>
                  <w:vAlign w:val="center"/>
                </w:tcPr>
                <w:p w14:paraId="413174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6C6959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9" w:type="pct"/>
                  <w:shd w:val="clear" w:color="auto" w:fill="auto"/>
                  <w:vAlign w:val="center"/>
                </w:tcPr>
                <w:p w14:paraId="51EA5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0108C7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0F0D0B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1ED3AA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7F4DF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8</w:t>
                  </w:r>
                </w:p>
              </w:tc>
            </w:tr>
            <w:tr w14:paraId="54355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7" w:hRule="atLeast"/>
              </w:trPr>
              <w:tc>
                <w:tcPr>
                  <w:tcW w:w="245" w:type="pct"/>
                  <w:shd w:val="clear" w:color="auto" w:fill="auto"/>
                  <w:vAlign w:val="center"/>
                </w:tcPr>
                <w:p w14:paraId="5EDB20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401" w:type="pct"/>
                  <w:vMerge w:val="continue"/>
                  <w:shd w:val="clear" w:color="auto" w:fill="auto"/>
                  <w:vAlign w:val="center"/>
                </w:tcPr>
                <w:p w14:paraId="24C1D4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vAlign w:val="center"/>
                </w:tcPr>
                <w:p w14:paraId="34F134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罗茨鼓风机1</w:t>
                  </w:r>
                </w:p>
              </w:tc>
              <w:tc>
                <w:tcPr>
                  <w:tcW w:w="352" w:type="pct"/>
                  <w:shd w:val="clear" w:color="auto" w:fill="auto"/>
                  <w:noWrap/>
                  <w:vAlign w:val="center"/>
                </w:tcPr>
                <w:p w14:paraId="52D671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402" w:type="pct"/>
                  <w:vMerge w:val="continue"/>
                  <w:shd w:val="clear" w:color="auto" w:fill="auto"/>
                  <w:vAlign w:val="center"/>
                </w:tcPr>
                <w:p w14:paraId="64460A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71DEF1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63</w:t>
                  </w:r>
                </w:p>
              </w:tc>
              <w:tc>
                <w:tcPr>
                  <w:tcW w:w="311" w:type="pct"/>
                  <w:shd w:val="clear" w:color="auto" w:fill="auto"/>
                  <w:vAlign w:val="center"/>
                </w:tcPr>
                <w:p w14:paraId="1C3A7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183</w:t>
                  </w:r>
                </w:p>
              </w:tc>
              <w:tc>
                <w:tcPr>
                  <w:tcW w:w="213" w:type="pct"/>
                  <w:shd w:val="clear" w:color="auto" w:fill="auto"/>
                  <w:vAlign w:val="center"/>
                </w:tcPr>
                <w:p w14:paraId="3FE2C5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01B76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9" w:type="pct"/>
                  <w:shd w:val="clear" w:color="auto" w:fill="auto"/>
                  <w:vAlign w:val="center"/>
                </w:tcPr>
                <w:p w14:paraId="1509ED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393" w:type="pct"/>
                  <w:shd w:val="clear" w:color="auto" w:fill="auto"/>
                  <w:vAlign w:val="center"/>
                </w:tcPr>
                <w:p w14:paraId="7DC0EC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75AEC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580EA2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w:t>
                  </w:r>
                </w:p>
              </w:tc>
              <w:tc>
                <w:tcPr>
                  <w:tcW w:w="354" w:type="pct"/>
                  <w:shd w:val="clear" w:color="auto" w:fill="auto"/>
                  <w:vAlign w:val="center"/>
                </w:tcPr>
                <w:p w14:paraId="6EE907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8</w:t>
                  </w:r>
                </w:p>
              </w:tc>
            </w:tr>
            <w:tr w14:paraId="47793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7" w:hRule="atLeast"/>
              </w:trPr>
              <w:tc>
                <w:tcPr>
                  <w:tcW w:w="245" w:type="pct"/>
                  <w:shd w:val="clear" w:color="auto" w:fill="auto"/>
                  <w:vAlign w:val="center"/>
                </w:tcPr>
                <w:p w14:paraId="31AF3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w:t>
                  </w:r>
                </w:p>
              </w:tc>
              <w:tc>
                <w:tcPr>
                  <w:tcW w:w="401" w:type="pct"/>
                  <w:vMerge w:val="continue"/>
                  <w:shd w:val="clear" w:color="auto" w:fill="auto"/>
                  <w:vAlign w:val="center"/>
                </w:tcPr>
                <w:p w14:paraId="1BC922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vAlign w:val="center"/>
                </w:tcPr>
                <w:p w14:paraId="63BD8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罗茨鼓风机2</w:t>
                  </w:r>
                </w:p>
              </w:tc>
              <w:tc>
                <w:tcPr>
                  <w:tcW w:w="352" w:type="pct"/>
                  <w:shd w:val="clear" w:color="auto" w:fill="auto"/>
                  <w:noWrap/>
                  <w:vAlign w:val="center"/>
                </w:tcPr>
                <w:p w14:paraId="7DA85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402" w:type="pct"/>
                  <w:vMerge w:val="continue"/>
                  <w:shd w:val="clear" w:color="auto" w:fill="auto"/>
                  <w:vAlign w:val="center"/>
                </w:tcPr>
                <w:p w14:paraId="6BF8CE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596271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77</w:t>
                  </w:r>
                </w:p>
              </w:tc>
              <w:tc>
                <w:tcPr>
                  <w:tcW w:w="311" w:type="pct"/>
                  <w:shd w:val="clear" w:color="auto" w:fill="auto"/>
                  <w:vAlign w:val="center"/>
                </w:tcPr>
                <w:p w14:paraId="6AA66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13" w:type="pct"/>
                  <w:shd w:val="clear" w:color="auto" w:fill="auto"/>
                  <w:vAlign w:val="center"/>
                </w:tcPr>
                <w:p w14:paraId="1295C7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7A0F8B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79" w:type="pct"/>
                  <w:shd w:val="clear" w:color="auto" w:fill="auto"/>
                  <w:vAlign w:val="center"/>
                </w:tcPr>
                <w:p w14:paraId="724357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393" w:type="pct"/>
                  <w:shd w:val="clear" w:color="auto" w:fill="auto"/>
                  <w:vAlign w:val="center"/>
                </w:tcPr>
                <w:p w14:paraId="7D99FE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25D9F1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303D5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w:t>
                  </w:r>
                </w:p>
              </w:tc>
              <w:tc>
                <w:tcPr>
                  <w:tcW w:w="354" w:type="pct"/>
                  <w:shd w:val="clear" w:color="auto" w:fill="auto"/>
                  <w:vAlign w:val="center"/>
                </w:tcPr>
                <w:p w14:paraId="1D819A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sz w:val="21"/>
                      <w:szCs w:val="21"/>
                      <w:u w:val="none"/>
                      <w:lang w:val="en-US" w:eastAsia="zh-CN"/>
                    </w:rPr>
                    <w:t>8</w:t>
                  </w:r>
                </w:p>
              </w:tc>
            </w:tr>
            <w:tr w14:paraId="77AE4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45" w:type="pct"/>
                  <w:shd w:val="clear" w:color="auto" w:fill="auto"/>
                  <w:vAlign w:val="center"/>
                </w:tcPr>
                <w:p w14:paraId="383D01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401" w:type="pct"/>
                  <w:vMerge w:val="restart"/>
                  <w:shd w:val="clear" w:color="auto" w:fill="auto"/>
                  <w:vAlign w:val="center"/>
                </w:tcPr>
                <w:p w14:paraId="2BA79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MBR膜池</w:t>
                  </w:r>
                </w:p>
              </w:tc>
              <w:tc>
                <w:tcPr>
                  <w:tcW w:w="819" w:type="pct"/>
                  <w:shd w:val="clear" w:color="auto" w:fill="auto"/>
                  <w:vAlign w:val="center"/>
                </w:tcPr>
                <w:p w14:paraId="7DFEB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抽吸泵1</w:t>
                  </w:r>
                </w:p>
              </w:tc>
              <w:tc>
                <w:tcPr>
                  <w:tcW w:w="352" w:type="pct"/>
                  <w:shd w:val="clear" w:color="auto" w:fill="auto"/>
                  <w:noWrap/>
                  <w:vAlign w:val="center"/>
                </w:tcPr>
                <w:p w14:paraId="64C2F1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1498EA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40736F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311" w:type="pct"/>
                  <w:shd w:val="clear" w:color="auto" w:fill="auto"/>
                  <w:vAlign w:val="center"/>
                </w:tcPr>
                <w:p w14:paraId="306016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162</w:t>
                  </w:r>
                </w:p>
              </w:tc>
              <w:tc>
                <w:tcPr>
                  <w:tcW w:w="213" w:type="pct"/>
                  <w:shd w:val="clear" w:color="auto" w:fill="auto"/>
                  <w:vAlign w:val="center"/>
                </w:tcPr>
                <w:p w14:paraId="410EBA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17AED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279" w:type="pct"/>
                  <w:shd w:val="clear" w:color="auto" w:fill="auto"/>
                  <w:vAlign w:val="center"/>
                </w:tcPr>
                <w:p w14:paraId="6AC015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51ED16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6DD12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687B74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78F358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9</w:t>
                  </w:r>
                </w:p>
              </w:tc>
            </w:tr>
            <w:tr w14:paraId="376A3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2" w:hRule="atLeast"/>
              </w:trPr>
              <w:tc>
                <w:tcPr>
                  <w:tcW w:w="245" w:type="pct"/>
                  <w:shd w:val="clear" w:color="auto" w:fill="auto"/>
                  <w:vAlign w:val="center"/>
                </w:tcPr>
                <w:p w14:paraId="1E642C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w:t>
                  </w:r>
                </w:p>
              </w:tc>
              <w:tc>
                <w:tcPr>
                  <w:tcW w:w="401" w:type="pct"/>
                  <w:vMerge w:val="continue"/>
                  <w:shd w:val="clear" w:color="auto" w:fill="auto"/>
                  <w:vAlign w:val="center"/>
                </w:tcPr>
                <w:p w14:paraId="388E34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235DE4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抽吸泵2</w:t>
                  </w:r>
                </w:p>
              </w:tc>
              <w:tc>
                <w:tcPr>
                  <w:tcW w:w="352" w:type="pct"/>
                  <w:shd w:val="clear" w:color="auto" w:fill="auto"/>
                  <w:noWrap/>
                  <w:vAlign w:val="center"/>
                </w:tcPr>
                <w:p w14:paraId="4DDCD8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15DBCF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27B56B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59</w:t>
                  </w:r>
                </w:p>
              </w:tc>
              <w:tc>
                <w:tcPr>
                  <w:tcW w:w="311" w:type="pct"/>
                  <w:shd w:val="clear" w:color="auto" w:fill="auto"/>
                  <w:vAlign w:val="center"/>
                </w:tcPr>
                <w:p w14:paraId="56F6C5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168</w:t>
                  </w:r>
                </w:p>
              </w:tc>
              <w:tc>
                <w:tcPr>
                  <w:tcW w:w="213" w:type="pct"/>
                  <w:shd w:val="clear" w:color="auto" w:fill="auto"/>
                  <w:vAlign w:val="center"/>
                </w:tcPr>
                <w:p w14:paraId="146705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70E823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9" w:type="pct"/>
                  <w:shd w:val="clear" w:color="auto" w:fill="auto"/>
                  <w:vAlign w:val="center"/>
                </w:tcPr>
                <w:p w14:paraId="04F7AE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02FB62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532BF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06AF4A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38E701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9</w:t>
                  </w:r>
                </w:p>
              </w:tc>
            </w:tr>
            <w:tr w14:paraId="4AD4D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45" w:type="pct"/>
                  <w:shd w:val="clear" w:color="auto" w:fill="auto"/>
                  <w:vAlign w:val="center"/>
                </w:tcPr>
                <w:p w14:paraId="295D1B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401" w:type="pct"/>
                  <w:vMerge w:val="continue"/>
                  <w:shd w:val="clear" w:color="auto" w:fill="auto"/>
                  <w:vAlign w:val="center"/>
                </w:tcPr>
                <w:p w14:paraId="645AC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6E509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抽吸泵3</w:t>
                  </w:r>
                </w:p>
              </w:tc>
              <w:tc>
                <w:tcPr>
                  <w:tcW w:w="352" w:type="pct"/>
                  <w:shd w:val="clear" w:color="auto" w:fill="auto"/>
                  <w:noWrap/>
                  <w:vAlign w:val="center"/>
                </w:tcPr>
                <w:p w14:paraId="153A5F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1743BC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6B98A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44</w:t>
                  </w:r>
                </w:p>
              </w:tc>
              <w:tc>
                <w:tcPr>
                  <w:tcW w:w="311" w:type="pct"/>
                  <w:shd w:val="clear" w:color="auto" w:fill="auto"/>
                  <w:vAlign w:val="center"/>
                </w:tcPr>
                <w:p w14:paraId="3D9F40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167</w:t>
                  </w:r>
                </w:p>
              </w:tc>
              <w:tc>
                <w:tcPr>
                  <w:tcW w:w="213" w:type="pct"/>
                  <w:shd w:val="clear" w:color="auto" w:fill="auto"/>
                  <w:vAlign w:val="center"/>
                </w:tcPr>
                <w:p w14:paraId="29FA6C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3FC50A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9" w:type="pct"/>
                  <w:shd w:val="clear" w:color="auto" w:fill="auto"/>
                  <w:vAlign w:val="center"/>
                </w:tcPr>
                <w:p w14:paraId="605079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2B3D8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4EBF0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4DA06C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3C7BD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9</w:t>
                  </w:r>
                </w:p>
              </w:tc>
            </w:tr>
            <w:tr w14:paraId="4DBE6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7" w:hRule="atLeast"/>
              </w:trPr>
              <w:tc>
                <w:tcPr>
                  <w:tcW w:w="245" w:type="pct"/>
                  <w:shd w:val="clear" w:color="auto" w:fill="auto"/>
                  <w:vAlign w:val="center"/>
                </w:tcPr>
                <w:p w14:paraId="297474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401" w:type="pct"/>
                  <w:vMerge w:val="continue"/>
                  <w:shd w:val="clear" w:color="auto" w:fill="auto"/>
                  <w:noWrap/>
                  <w:vAlign w:val="center"/>
                </w:tcPr>
                <w:p w14:paraId="77AA85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45764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曝气风机1</w:t>
                  </w:r>
                </w:p>
              </w:tc>
              <w:tc>
                <w:tcPr>
                  <w:tcW w:w="352" w:type="pct"/>
                  <w:shd w:val="clear" w:color="auto" w:fill="auto"/>
                  <w:noWrap/>
                  <w:vAlign w:val="center"/>
                </w:tcPr>
                <w:p w14:paraId="318EEB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402" w:type="pct"/>
                  <w:vMerge w:val="continue"/>
                  <w:shd w:val="clear" w:color="auto" w:fill="auto"/>
                  <w:vAlign w:val="center"/>
                </w:tcPr>
                <w:p w14:paraId="015561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6B5394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42</w:t>
                  </w:r>
                </w:p>
              </w:tc>
              <w:tc>
                <w:tcPr>
                  <w:tcW w:w="311" w:type="pct"/>
                  <w:shd w:val="clear" w:color="auto" w:fill="auto"/>
                  <w:vAlign w:val="center"/>
                </w:tcPr>
                <w:p w14:paraId="045A12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178</w:t>
                  </w:r>
                </w:p>
              </w:tc>
              <w:tc>
                <w:tcPr>
                  <w:tcW w:w="213" w:type="pct"/>
                  <w:shd w:val="clear" w:color="auto" w:fill="auto"/>
                  <w:vAlign w:val="center"/>
                </w:tcPr>
                <w:p w14:paraId="27D033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0257A9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79" w:type="pct"/>
                  <w:shd w:val="clear" w:color="auto" w:fill="auto"/>
                  <w:vAlign w:val="center"/>
                </w:tcPr>
                <w:p w14:paraId="7AD515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393" w:type="pct"/>
                  <w:shd w:val="clear" w:color="auto" w:fill="auto"/>
                  <w:vAlign w:val="center"/>
                </w:tcPr>
                <w:p w14:paraId="2BD84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1D941C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7922B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w:t>
                  </w:r>
                </w:p>
              </w:tc>
              <w:tc>
                <w:tcPr>
                  <w:tcW w:w="354" w:type="pct"/>
                  <w:shd w:val="clear" w:color="auto" w:fill="auto"/>
                  <w:vAlign w:val="center"/>
                </w:tcPr>
                <w:p w14:paraId="52C75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sz w:val="21"/>
                      <w:szCs w:val="21"/>
                      <w:u w:val="none"/>
                      <w:lang w:val="en-US" w:eastAsia="zh-CN"/>
                    </w:rPr>
                    <w:t>9</w:t>
                  </w:r>
                </w:p>
              </w:tc>
            </w:tr>
            <w:tr w14:paraId="7C6CE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2" w:hRule="atLeast"/>
              </w:trPr>
              <w:tc>
                <w:tcPr>
                  <w:tcW w:w="245" w:type="pct"/>
                  <w:shd w:val="clear" w:color="auto" w:fill="auto"/>
                  <w:vAlign w:val="center"/>
                </w:tcPr>
                <w:p w14:paraId="40203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401" w:type="pct"/>
                  <w:vMerge w:val="continue"/>
                  <w:shd w:val="clear" w:color="auto" w:fill="auto"/>
                  <w:noWrap/>
                  <w:vAlign w:val="center"/>
                </w:tcPr>
                <w:p w14:paraId="339BA1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16709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曝气风机2</w:t>
                  </w:r>
                </w:p>
              </w:tc>
              <w:tc>
                <w:tcPr>
                  <w:tcW w:w="352" w:type="pct"/>
                  <w:shd w:val="clear" w:color="auto" w:fill="auto"/>
                  <w:noWrap/>
                  <w:vAlign w:val="center"/>
                </w:tcPr>
                <w:p w14:paraId="40DFDF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402" w:type="pct"/>
                  <w:vMerge w:val="continue"/>
                  <w:shd w:val="clear" w:color="auto" w:fill="auto"/>
                  <w:vAlign w:val="center"/>
                </w:tcPr>
                <w:p w14:paraId="7F2D71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61F3EC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43</w:t>
                  </w:r>
                </w:p>
              </w:tc>
              <w:tc>
                <w:tcPr>
                  <w:tcW w:w="311" w:type="pct"/>
                  <w:shd w:val="clear" w:color="auto" w:fill="auto"/>
                  <w:vAlign w:val="center"/>
                </w:tcPr>
                <w:p w14:paraId="4D0055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185</w:t>
                  </w:r>
                </w:p>
              </w:tc>
              <w:tc>
                <w:tcPr>
                  <w:tcW w:w="213" w:type="pct"/>
                  <w:shd w:val="clear" w:color="auto" w:fill="auto"/>
                  <w:vAlign w:val="center"/>
                </w:tcPr>
                <w:p w14:paraId="0EF816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1D9F0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9" w:type="pct"/>
                  <w:shd w:val="clear" w:color="auto" w:fill="auto"/>
                  <w:vAlign w:val="center"/>
                </w:tcPr>
                <w:p w14:paraId="665F56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393" w:type="pct"/>
                  <w:shd w:val="clear" w:color="auto" w:fill="auto"/>
                  <w:vAlign w:val="center"/>
                </w:tcPr>
                <w:p w14:paraId="17CA8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390AF8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201A6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w:t>
                  </w:r>
                </w:p>
              </w:tc>
              <w:tc>
                <w:tcPr>
                  <w:tcW w:w="354" w:type="pct"/>
                  <w:shd w:val="clear" w:color="auto" w:fill="auto"/>
                  <w:vAlign w:val="center"/>
                </w:tcPr>
                <w:p w14:paraId="23182E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9</w:t>
                  </w:r>
                </w:p>
              </w:tc>
            </w:tr>
            <w:tr w14:paraId="23FF2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245" w:type="pct"/>
                  <w:shd w:val="clear" w:color="auto" w:fill="auto"/>
                  <w:vAlign w:val="center"/>
                </w:tcPr>
                <w:p w14:paraId="6D4E79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401" w:type="pct"/>
                  <w:vMerge w:val="restart"/>
                  <w:shd w:val="clear" w:color="auto" w:fill="auto"/>
                  <w:noWrap/>
                  <w:vAlign w:val="center"/>
                </w:tcPr>
                <w:p w14:paraId="497231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污泥脱水间</w:t>
                  </w:r>
                </w:p>
              </w:tc>
              <w:tc>
                <w:tcPr>
                  <w:tcW w:w="819" w:type="pct"/>
                  <w:shd w:val="clear" w:color="auto" w:fill="auto"/>
                  <w:vAlign w:val="center"/>
                </w:tcPr>
                <w:p w14:paraId="4B152A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污泥螺杆泵1</w:t>
                  </w:r>
                </w:p>
              </w:tc>
              <w:tc>
                <w:tcPr>
                  <w:tcW w:w="352" w:type="pct"/>
                  <w:shd w:val="clear" w:color="auto" w:fill="auto"/>
                  <w:vAlign w:val="center"/>
                </w:tcPr>
                <w:p w14:paraId="0A82BF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restart"/>
                  <w:shd w:val="clear" w:color="auto" w:fill="auto"/>
                  <w:vAlign w:val="center"/>
                </w:tcPr>
                <w:p w14:paraId="1D4B7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lang w:val="en-US"/>
                    </w:rPr>
                  </w:pPr>
                  <w:r>
                    <w:rPr>
                      <w:rStyle w:val="66"/>
                      <w:rFonts w:hint="default" w:ascii="Times New Roman" w:hAnsi="Times New Roman" w:eastAsia="宋体" w:cs="Times New Roman"/>
                      <w:sz w:val="21"/>
                      <w:szCs w:val="21"/>
                      <w:lang w:val="en-US" w:eastAsia="zh-CN" w:bidi="ar"/>
                    </w:rPr>
                    <w:t>基础减振、</w:t>
                  </w:r>
                  <w:r>
                    <w:rPr>
                      <w:rStyle w:val="66"/>
                      <w:rFonts w:hint="eastAsia" w:ascii="Times New Roman" w:hAnsi="Times New Roman" w:eastAsia="宋体" w:cs="Times New Roman"/>
                      <w:sz w:val="21"/>
                      <w:szCs w:val="21"/>
                      <w:lang w:val="en-US" w:eastAsia="zh-CN" w:bidi="ar"/>
                    </w:rPr>
                    <w:t>厂房隔声</w:t>
                  </w:r>
                </w:p>
              </w:tc>
              <w:tc>
                <w:tcPr>
                  <w:tcW w:w="284" w:type="pct"/>
                  <w:shd w:val="clear" w:color="auto" w:fill="auto"/>
                  <w:vAlign w:val="center"/>
                </w:tcPr>
                <w:p w14:paraId="5FD9D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42</w:t>
                  </w:r>
                </w:p>
              </w:tc>
              <w:tc>
                <w:tcPr>
                  <w:tcW w:w="311" w:type="pct"/>
                  <w:shd w:val="clear" w:color="auto" w:fill="auto"/>
                  <w:vAlign w:val="center"/>
                </w:tcPr>
                <w:p w14:paraId="4F8DD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120</w:t>
                  </w:r>
                </w:p>
              </w:tc>
              <w:tc>
                <w:tcPr>
                  <w:tcW w:w="213" w:type="pct"/>
                  <w:shd w:val="clear" w:color="auto" w:fill="auto"/>
                  <w:vAlign w:val="center"/>
                </w:tcPr>
                <w:p w14:paraId="21C26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5265F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79" w:type="pct"/>
                  <w:shd w:val="clear" w:color="auto" w:fill="auto"/>
                  <w:vAlign w:val="center"/>
                </w:tcPr>
                <w:p w14:paraId="415B19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77CF42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566D8D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319EF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482CC8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17</w:t>
                  </w:r>
                </w:p>
              </w:tc>
            </w:tr>
            <w:tr w14:paraId="609D5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45" w:type="pct"/>
                  <w:shd w:val="clear" w:color="auto" w:fill="auto"/>
                  <w:vAlign w:val="center"/>
                </w:tcPr>
                <w:p w14:paraId="5086EF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24</w:t>
                  </w:r>
                </w:p>
              </w:tc>
              <w:tc>
                <w:tcPr>
                  <w:tcW w:w="401" w:type="pct"/>
                  <w:vMerge w:val="continue"/>
                  <w:shd w:val="clear" w:color="auto" w:fill="auto"/>
                  <w:vAlign w:val="center"/>
                </w:tcPr>
                <w:p w14:paraId="7B91C8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vAlign w:val="center"/>
                </w:tcPr>
                <w:p w14:paraId="55862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污泥螺杆泵2</w:t>
                  </w:r>
                </w:p>
              </w:tc>
              <w:tc>
                <w:tcPr>
                  <w:tcW w:w="352" w:type="pct"/>
                  <w:shd w:val="clear" w:color="auto" w:fill="auto"/>
                  <w:vAlign w:val="center"/>
                </w:tcPr>
                <w:p w14:paraId="1B44E9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285E7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5456C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43</w:t>
                  </w:r>
                </w:p>
              </w:tc>
              <w:tc>
                <w:tcPr>
                  <w:tcW w:w="311" w:type="pct"/>
                  <w:shd w:val="clear" w:color="auto" w:fill="auto"/>
                  <w:vAlign w:val="center"/>
                </w:tcPr>
                <w:p w14:paraId="0B94AC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120</w:t>
                  </w:r>
                </w:p>
              </w:tc>
              <w:tc>
                <w:tcPr>
                  <w:tcW w:w="213" w:type="pct"/>
                  <w:shd w:val="clear" w:color="auto" w:fill="auto"/>
                  <w:vAlign w:val="center"/>
                </w:tcPr>
                <w:p w14:paraId="0324F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2C404C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79" w:type="pct"/>
                  <w:shd w:val="clear" w:color="auto" w:fill="auto"/>
                  <w:vAlign w:val="center"/>
                </w:tcPr>
                <w:p w14:paraId="113119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58B62A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5B8185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133532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2E4793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eastAsia" w:ascii="Times New Roman" w:hAnsi="Times New Roman" w:eastAsia="宋体" w:cs="Times New Roman"/>
                      <w:i w:val="0"/>
                      <w:iCs w:val="0"/>
                      <w:color w:val="000000"/>
                      <w:sz w:val="21"/>
                      <w:szCs w:val="21"/>
                      <w:u w:val="none"/>
                      <w:lang w:val="en-US" w:eastAsia="zh-CN"/>
                    </w:rPr>
                    <w:t>17</w:t>
                  </w:r>
                </w:p>
              </w:tc>
            </w:tr>
            <w:tr w14:paraId="480E7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45" w:type="pct"/>
                  <w:shd w:val="clear" w:color="auto" w:fill="auto"/>
                  <w:vAlign w:val="center"/>
                </w:tcPr>
                <w:p w14:paraId="28BC23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401" w:type="pct"/>
                  <w:vMerge w:val="continue"/>
                  <w:shd w:val="clear" w:color="auto" w:fill="auto"/>
                  <w:noWrap/>
                  <w:vAlign w:val="center"/>
                </w:tcPr>
                <w:p w14:paraId="1F96FF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vAlign w:val="center"/>
                </w:tcPr>
                <w:p w14:paraId="4411CA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污泥螺杆泵3</w:t>
                  </w:r>
                </w:p>
              </w:tc>
              <w:tc>
                <w:tcPr>
                  <w:tcW w:w="352" w:type="pct"/>
                  <w:shd w:val="clear" w:color="auto" w:fill="auto"/>
                  <w:vAlign w:val="center"/>
                </w:tcPr>
                <w:p w14:paraId="48934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50AC4C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0080E2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41</w:t>
                  </w:r>
                </w:p>
              </w:tc>
              <w:tc>
                <w:tcPr>
                  <w:tcW w:w="311" w:type="pct"/>
                  <w:shd w:val="clear" w:color="auto" w:fill="auto"/>
                  <w:vAlign w:val="center"/>
                </w:tcPr>
                <w:p w14:paraId="3A72D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120</w:t>
                  </w:r>
                </w:p>
              </w:tc>
              <w:tc>
                <w:tcPr>
                  <w:tcW w:w="213" w:type="pct"/>
                  <w:shd w:val="clear" w:color="auto" w:fill="auto"/>
                  <w:vAlign w:val="center"/>
                </w:tcPr>
                <w:p w14:paraId="032695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0449F2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9" w:type="pct"/>
                  <w:shd w:val="clear" w:color="auto" w:fill="auto"/>
                  <w:vAlign w:val="center"/>
                </w:tcPr>
                <w:p w14:paraId="79FA82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7EB6EC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238262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04B8C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4E40C6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eastAsia" w:ascii="Times New Roman" w:hAnsi="Times New Roman" w:eastAsia="宋体" w:cs="Times New Roman"/>
                      <w:i w:val="0"/>
                      <w:iCs w:val="0"/>
                      <w:color w:val="000000"/>
                      <w:sz w:val="21"/>
                      <w:szCs w:val="21"/>
                      <w:u w:val="none"/>
                      <w:lang w:val="en-US" w:eastAsia="zh-CN"/>
                    </w:rPr>
                    <w:t>17</w:t>
                  </w:r>
                </w:p>
              </w:tc>
            </w:tr>
            <w:tr w14:paraId="659C0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7" w:hRule="atLeast"/>
              </w:trPr>
              <w:tc>
                <w:tcPr>
                  <w:tcW w:w="245" w:type="pct"/>
                  <w:shd w:val="clear" w:color="auto" w:fill="auto"/>
                  <w:vAlign w:val="center"/>
                </w:tcPr>
                <w:p w14:paraId="57813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401" w:type="pct"/>
                  <w:vMerge w:val="continue"/>
                  <w:shd w:val="clear" w:color="auto" w:fill="auto"/>
                  <w:noWrap/>
                  <w:vAlign w:val="center"/>
                </w:tcPr>
                <w:p w14:paraId="26A302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550EA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污泥浓缩机</w:t>
                  </w:r>
                </w:p>
              </w:tc>
              <w:tc>
                <w:tcPr>
                  <w:tcW w:w="352" w:type="pct"/>
                  <w:shd w:val="clear" w:color="auto" w:fill="auto"/>
                  <w:vAlign w:val="center"/>
                </w:tcPr>
                <w:p w14:paraId="04662D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799E70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11395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311" w:type="pct"/>
                  <w:shd w:val="clear" w:color="auto" w:fill="auto"/>
                  <w:vAlign w:val="center"/>
                </w:tcPr>
                <w:p w14:paraId="3A5CB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115</w:t>
                  </w:r>
                </w:p>
              </w:tc>
              <w:tc>
                <w:tcPr>
                  <w:tcW w:w="213" w:type="pct"/>
                  <w:shd w:val="clear" w:color="auto" w:fill="auto"/>
                  <w:vAlign w:val="center"/>
                </w:tcPr>
                <w:p w14:paraId="236F7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1CBED9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279" w:type="pct"/>
                  <w:shd w:val="clear" w:color="auto" w:fill="auto"/>
                  <w:vAlign w:val="center"/>
                </w:tcPr>
                <w:p w14:paraId="2B3234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06C53C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660284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220391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52D658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12</w:t>
                  </w:r>
                </w:p>
              </w:tc>
            </w:tr>
            <w:tr w14:paraId="2D7C2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245" w:type="pct"/>
                  <w:shd w:val="clear" w:color="auto" w:fill="auto"/>
                  <w:vAlign w:val="center"/>
                </w:tcPr>
                <w:p w14:paraId="619060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27</w:t>
                  </w:r>
                </w:p>
              </w:tc>
              <w:tc>
                <w:tcPr>
                  <w:tcW w:w="401" w:type="pct"/>
                  <w:vMerge w:val="continue"/>
                  <w:shd w:val="clear" w:color="auto" w:fill="auto"/>
                  <w:noWrap/>
                  <w:vAlign w:val="center"/>
                </w:tcPr>
                <w:p w14:paraId="3FE3A6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040E3D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叠螺式污泥脱水机</w:t>
                  </w:r>
                </w:p>
              </w:tc>
              <w:tc>
                <w:tcPr>
                  <w:tcW w:w="352" w:type="pct"/>
                  <w:shd w:val="clear" w:color="auto" w:fill="auto"/>
                  <w:vAlign w:val="center"/>
                </w:tcPr>
                <w:p w14:paraId="06B364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124CFF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52D1A6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311" w:type="pct"/>
                  <w:shd w:val="clear" w:color="auto" w:fill="auto"/>
                  <w:vAlign w:val="center"/>
                </w:tcPr>
                <w:p w14:paraId="751C3B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118</w:t>
                  </w:r>
                </w:p>
              </w:tc>
              <w:tc>
                <w:tcPr>
                  <w:tcW w:w="213" w:type="pct"/>
                  <w:shd w:val="clear" w:color="auto" w:fill="auto"/>
                  <w:vAlign w:val="center"/>
                </w:tcPr>
                <w:p w14:paraId="17623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32910B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9" w:type="pct"/>
                  <w:shd w:val="clear" w:color="auto" w:fill="auto"/>
                  <w:vAlign w:val="center"/>
                </w:tcPr>
                <w:p w14:paraId="142441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10F956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0F01DE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6726EC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79B173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sz w:val="21"/>
                      <w:szCs w:val="21"/>
                      <w:u w:val="none"/>
                      <w:lang w:val="en-US" w:eastAsia="zh-CN"/>
                    </w:rPr>
                    <w:t>16</w:t>
                  </w:r>
                </w:p>
              </w:tc>
            </w:tr>
            <w:tr w14:paraId="4BDF2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245" w:type="pct"/>
                  <w:shd w:val="clear" w:color="auto" w:fill="auto"/>
                  <w:vAlign w:val="center"/>
                </w:tcPr>
                <w:p w14:paraId="049CA3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401" w:type="pct"/>
                  <w:vMerge w:val="continue"/>
                  <w:shd w:val="clear" w:color="auto" w:fill="auto"/>
                  <w:noWrap/>
                  <w:vAlign w:val="center"/>
                </w:tcPr>
                <w:p w14:paraId="77F3E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7E0A7B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叠螺式污泥脱水机</w:t>
                  </w:r>
                </w:p>
              </w:tc>
              <w:tc>
                <w:tcPr>
                  <w:tcW w:w="352" w:type="pct"/>
                  <w:shd w:val="clear" w:color="auto" w:fill="auto"/>
                  <w:vAlign w:val="center"/>
                </w:tcPr>
                <w:p w14:paraId="59280C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402" w:type="pct"/>
                  <w:vMerge w:val="continue"/>
                  <w:shd w:val="clear" w:color="auto" w:fill="auto"/>
                  <w:vAlign w:val="center"/>
                </w:tcPr>
                <w:p w14:paraId="05B59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3874FF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311" w:type="pct"/>
                  <w:shd w:val="clear" w:color="auto" w:fill="auto"/>
                  <w:vAlign w:val="center"/>
                </w:tcPr>
                <w:p w14:paraId="602506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116</w:t>
                  </w:r>
                </w:p>
              </w:tc>
              <w:tc>
                <w:tcPr>
                  <w:tcW w:w="213" w:type="pct"/>
                  <w:shd w:val="clear" w:color="auto" w:fill="auto"/>
                  <w:vAlign w:val="center"/>
                </w:tcPr>
                <w:p w14:paraId="5AA40B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2B45BC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9" w:type="pct"/>
                  <w:shd w:val="clear" w:color="auto" w:fill="auto"/>
                  <w:vAlign w:val="center"/>
                </w:tcPr>
                <w:p w14:paraId="049540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393" w:type="pct"/>
                  <w:shd w:val="clear" w:color="auto" w:fill="auto"/>
                  <w:vAlign w:val="center"/>
                </w:tcPr>
                <w:p w14:paraId="7B9813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300095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4E0E2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354" w:type="pct"/>
                  <w:shd w:val="clear" w:color="auto" w:fill="auto"/>
                  <w:vAlign w:val="center"/>
                </w:tcPr>
                <w:p w14:paraId="7DE52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9</w:t>
                  </w:r>
                </w:p>
              </w:tc>
            </w:tr>
            <w:tr w14:paraId="4F029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45" w:type="pct"/>
                  <w:shd w:val="clear" w:color="auto" w:fill="auto"/>
                  <w:vAlign w:val="center"/>
                </w:tcPr>
                <w:p w14:paraId="3DB6CE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29</w:t>
                  </w:r>
                </w:p>
              </w:tc>
              <w:tc>
                <w:tcPr>
                  <w:tcW w:w="401" w:type="pct"/>
                  <w:vMerge w:val="continue"/>
                  <w:shd w:val="clear" w:color="auto" w:fill="auto"/>
                  <w:noWrap/>
                  <w:vAlign w:val="center"/>
                </w:tcPr>
                <w:p w14:paraId="7075E9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2BACDF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皮带输送机</w:t>
                  </w:r>
                </w:p>
              </w:tc>
              <w:tc>
                <w:tcPr>
                  <w:tcW w:w="352" w:type="pct"/>
                  <w:shd w:val="clear" w:color="auto" w:fill="auto"/>
                  <w:vAlign w:val="center"/>
                </w:tcPr>
                <w:p w14:paraId="45E547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18E6D1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6F2C52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38</w:t>
                  </w:r>
                </w:p>
              </w:tc>
              <w:tc>
                <w:tcPr>
                  <w:tcW w:w="311" w:type="pct"/>
                  <w:shd w:val="clear" w:color="auto" w:fill="auto"/>
                  <w:vAlign w:val="center"/>
                </w:tcPr>
                <w:p w14:paraId="51BC57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116</w:t>
                  </w:r>
                </w:p>
              </w:tc>
              <w:tc>
                <w:tcPr>
                  <w:tcW w:w="213" w:type="pct"/>
                  <w:shd w:val="clear" w:color="auto" w:fill="auto"/>
                  <w:vAlign w:val="center"/>
                </w:tcPr>
                <w:p w14:paraId="36E95C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395AB8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79" w:type="pct"/>
                  <w:shd w:val="clear" w:color="auto" w:fill="auto"/>
                  <w:vAlign w:val="center"/>
                </w:tcPr>
                <w:p w14:paraId="10F1F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4887F8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4FFFBC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3A9A35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75ABE8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15</w:t>
                  </w:r>
                </w:p>
              </w:tc>
            </w:tr>
            <w:tr w14:paraId="4C561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245" w:type="pct"/>
                  <w:shd w:val="clear" w:color="auto" w:fill="auto"/>
                  <w:vAlign w:val="center"/>
                </w:tcPr>
                <w:p w14:paraId="6284C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401" w:type="pct"/>
                  <w:vMerge w:val="continue"/>
                  <w:shd w:val="clear" w:color="auto" w:fill="auto"/>
                  <w:noWrap/>
                  <w:vAlign w:val="center"/>
                </w:tcPr>
                <w:p w14:paraId="25F20B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2C60FC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反冲洗离心泵1</w:t>
                  </w:r>
                </w:p>
              </w:tc>
              <w:tc>
                <w:tcPr>
                  <w:tcW w:w="352" w:type="pct"/>
                  <w:shd w:val="clear" w:color="auto" w:fill="auto"/>
                  <w:vAlign w:val="center"/>
                </w:tcPr>
                <w:p w14:paraId="3EA745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4F13BB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58055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w:t>
                  </w:r>
                </w:p>
              </w:tc>
              <w:tc>
                <w:tcPr>
                  <w:tcW w:w="311" w:type="pct"/>
                  <w:shd w:val="clear" w:color="auto" w:fill="auto"/>
                  <w:vAlign w:val="center"/>
                </w:tcPr>
                <w:p w14:paraId="360CF1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112</w:t>
                  </w:r>
                </w:p>
              </w:tc>
              <w:tc>
                <w:tcPr>
                  <w:tcW w:w="213" w:type="pct"/>
                  <w:shd w:val="clear" w:color="auto" w:fill="auto"/>
                  <w:vAlign w:val="center"/>
                </w:tcPr>
                <w:p w14:paraId="273C82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20873B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79" w:type="pct"/>
                  <w:shd w:val="clear" w:color="auto" w:fill="auto"/>
                  <w:vAlign w:val="center"/>
                </w:tcPr>
                <w:p w14:paraId="2A22B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27B736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33EE41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2F8C46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4DB64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sz w:val="21"/>
                      <w:szCs w:val="21"/>
                      <w:u w:val="none"/>
                      <w:lang w:val="en-US" w:eastAsia="zh-CN"/>
                    </w:rPr>
                    <w:t>18</w:t>
                  </w:r>
                </w:p>
              </w:tc>
            </w:tr>
            <w:tr w14:paraId="1759C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45" w:type="pct"/>
                  <w:shd w:val="clear" w:color="auto" w:fill="auto"/>
                  <w:vAlign w:val="center"/>
                </w:tcPr>
                <w:p w14:paraId="0EA35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31</w:t>
                  </w:r>
                </w:p>
              </w:tc>
              <w:tc>
                <w:tcPr>
                  <w:tcW w:w="401" w:type="pct"/>
                  <w:vMerge w:val="continue"/>
                  <w:shd w:val="clear" w:color="auto" w:fill="auto"/>
                  <w:noWrap/>
                  <w:vAlign w:val="center"/>
                </w:tcPr>
                <w:p w14:paraId="0C729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819" w:type="pct"/>
                  <w:shd w:val="clear" w:color="auto" w:fill="auto"/>
                  <w:noWrap/>
                  <w:vAlign w:val="center"/>
                </w:tcPr>
                <w:p w14:paraId="002D03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反冲洗离心泵1</w:t>
                  </w:r>
                </w:p>
              </w:tc>
              <w:tc>
                <w:tcPr>
                  <w:tcW w:w="352" w:type="pct"/>
                  <w:shd w:val="clear" w:color="auto" w:fill="auto"/>
                  <w:vAlign w:val="center"/>
                </w:tcPr>
                <w:p w14:paraId="02A2B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02" w:type="pct"/>
                  <w:vMerge w:val="continue"/>
                  <w:shd w:val="clear" w:color="auto" w:fill="auto"/>
                  <w:vAlign w:val="center"/>
                </w:tcPr>
                <w:p w14:paraId="72E571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sz w:val="21"/>
                      <w:szCs w:val="21"/>
                      <w:u w:val="none"/>
                    </w:rPr>
                  </w:pPr>
                </w:p>
              </w:tc>
              <w:tc>
                <w:tcPr>
                  <w:tcW w:w="284" w:type="pct"/>
                  <w:shd w:val="clear" w:color="auto" w:fill="auto"/>
                  <w:vAlign w:val="center"/>
                </w:tcPr>
                <w:p w14:paraId="36A890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311" w:type="pct"/>
                  <w:shd w:val="clear" w:color="auto" w:fill="auto"/>
                  <w:vAlign w:val="center"/>
                </w:tcPr>
                <w:p w14:paraId="363AD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115</w:t>
                  </w:r>
                </w:p>
              </w:tc>
              <w:tc>
                <w:tcPr>
                  <w:tcW w:w="213" w:type="pct"/>
                  <w:shd w:val="clear" w:color="auto" w:fill="auto"/>
                  <w:vAlign w:val="center"/>
                </w:tcPr>
                <w:p w14:paraId="1334CF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3" w:type="pct"/>
                  <w:shd w:val="clear" w:color="auto" w:fill="auto"/>
                  <w:vAlign w:val="center"/>
                </w:tcPr>
                <w:p w14:paraId="795088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9" w:type="pct"/>
                  <w:shd w:val="clear" w:color="auto" w:fill="auto"/>
                  <w:vAlign w:val="center"/>
                </w:tcPr>
                <w:p w14:paraId="4613BB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393" w:type="pct"/>
                  <w:shd w:val="clear" w:color="auto" w:fill="auto"/>
                  <w:vAlign w:val="center"/>
                </w:tcPr>
                <w:p w14:paraId="18FDFA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66"/>
                      <w:rFonts w:hint="default" w:ascii="Times New Roman" w:hAnsi="Times New Roman" w:eastAsia="宋体" w:cs="Times New Roman"/>
                      <w:sz w:val="21"/>
                      <w:szCs w:val="21"/>
                      <w:lang w:val="en-US" w:eastAsia="zh-CN" w:bidi="ar"/>
                    </w:rPr>
                    <w:t>间歇</w:t>
                  </w:r>
                </w:p>
              </w:tc>
              <w:tc>
                <w:tcPr>
                  <w:tcW w:w="359" w:type="pct"/>
                  <w:shd w:val="clear" w:color="auto" w:fill="auto"/>
                  <w:noWrap/>
                  <w:vAlign w:val="center"/>
                </w:tcPr>
                <w:p w14:paraId="7EF0C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08" w:type="pct"/>
                  <w:shd w:val="clear" w:color="auto" w:fill="auto"/>
                  <w:vAlign w:val="center"/>
                </w:tcPr>
                <w:p w14:paraId="6E9E5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354" w:type="pct"/>
                  <w:shd w:val="clear" w:color="auto" w:fill="auto"/>
                  <w:vAlign w:val="center"/>
                </w:tcPr>
                <w:p w14:paraId="0D281A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eastAsia" w:ascii="Times New Roman" w:hAnsi="Times New Roman" w:eastAsia="宋体" w:cs="Times New Roman"/>
                      <w:i w:val="0"/>
                      <w:iCs w:val="0"/>
                      <w:color w:val="000000"/>
                      <w:sz w:val="21"/>
                      <w:szCs w:val="21"/>
                      <w:u w:val="none"/>
                      <w:lang w:val="en-US" w:eastAsia="zh-CN"/>
                    </w:rPr>
                    <w:t>18</w:t>
                  </w:r>
                </w:p>
              </w:tc>
            </w:tr>
          </w:tbl>
          <w:p w14:paraId="64BCF5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highlight w:val="none"/>
                <w:lang w:val="en-US" w:eastAsia="zh-CN"/>
              </w:rPr>
              <w:t>（2）</w:t>
            </w:r>
            <w:r>
              <w:rPr>
                <w:rFonts w:hint="default" w:ascii="Times New Roman" w:hAnsi="Times New Roman" w:cs="Times New Roman"/>
                <w:color w:val="auto"/>
                <w:spacing w:val="0"/>
                <w:w w:val="100"/>
                <w:sz w:val="24"/>
                <w:lang w:val="en-US" w:eastAsia="zh-CN"/>
              </w:rPr>
              <w:t>运输噪声</w:t>
            </w:r>
          </w:p>
          <w:p w14:paraId="520B9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污泥运输采用大容量封闭式汽车，其噪声值在</w:t>
            </w:r>
            <w:r>
              <w:rPr>
                <w:rFonts w:hint="default" w:ascii="Times New Roman" w:hAnsi="Times New Roman" w:cs="Times New Roman"/>
                <w:color w:val="auto"/>
                <w:spacing w:val="0"/>
                <w:w w:val="100"/>
                <w:sz w:val="24"/>
                <w:lang w:val="en-US" w:eastAsia="en-US"/>
              </w:rPr>
              <w:t>80dB</w:t>
            </w:r>
            <w:r>
              <w:rPr>
                <w:rFonts w:hint="eastAsia" w:ascii="Times New Roman" w:hAnsi="Times New Roman" w:cs="Times New Roman"/>
                <w:color w:val="auto"/>
                <w:spacing w:val="0"/>
                <w:w w:val="100"/>
                <w:sz w:val="24"/>
                <w:highlight w:val="none"/>
                <w:lang w:val="en-US" w:eastAsia="zh-CN"/>
              </w:rPr>
              <w:t>（</w:t>
            </w:r>
            <w:r>
              <w:rPr>
                <w:rFonts w:hint="default" w:ascii="Times New Roman" w:hAnsi="Times New Roman" w:cs="Times New Roman"/>
                <w:color w:val="auto"/>
                <w:spacing w:val="0"/>
                <w:w w:val="100"/>
                <w:sz w:val="24"/>
                <w:lang w:val="en-US" w:eastAsia="en-US"/>
              </w:rPr>
              <w:t>A</w:t>
            </w:r>
            <w:r>
              <w:rPr>
                <w:rFonts w:hint="eastAsia" w:ascii="Times New Roman" w:hAnsi="Times New Roman" w:cs="Times New Roman"/>
                <w:color w:val="auto"/>
                <w:spacing w:val="0"/>
                <w:w w:val="100"/>
                <w:sz w:val="24"/>
                <w:lang w:val="en-US" w:eastAsia="zh-CN"/>
              </w:rPr>
              <w:t>）</w:t>
            </w:r>
            <w:r>
              <w:rPr>
                <w:rFonts w:hint="default" w:ascii="Times New Roman" w:hAnsi="Times New Roman" w:cs="Times New Roman"/>
                <w:color w:val="auto"/>
                <w:spacing w:val="0"/>
                <w:w w:val="100"/>
                <w:sz w:val="24"/>
                <w:lang w:val="en-US" w:eastAsia="zh-CN"/>
              </w:rPr>
              <w:t>左右。</w:t>
            </w:r>
          </w:p>
          <w:p w14:paraId="3AE4B4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highlight w:val="none"/>
                <w:lang w:val="en-US" w:eastAsia="zh-CN"/>
              </w:rPr>
              <w:t>（3）噪声预测模式</w:t>
            </w:r>
          </w:p>
          <w:p w14:paraId="69EAFB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rPr>
              <w:t>根据HJ2.4-20</w:t>
            </w:r>
            <w:r>
              <w:rPr>
                <w:rFonts w:hint="eastAsia" w:ascii="Times New Roman" w:hAnsi="Times New Roman" w:cs="Times New Roman"/>
                <w:color w:val="auto"/>
                <w:spacing w:val="0"/>
                <w:w w:val="100"/>
                <w:sz w:val="24"/>
                <w:lang w:val="en-US" w:eastAsia="zh-CN"/>
              </w:rPr>
              <w:t>21</w:t>
            </w:r>
            <w:r>
              <w:rPr>
                <w:rFonts w:hint="default" w:ascii="Times New Roman" w:hAnsi="Times New Roman" w:cs="Times New Roman"/>
                <w:color w:val="auto"/>
                <w:spacing w:val="0"/>
                <w:w w:val="100"/>
                <w:sz w:val="24"/>
              </w:rPr>
              <w:t>《环境影响评价技术导则 声环境》中推荐的预测方法进行计算。</w:t>
            </w:r>
          </w:p>
          <w:p w14:paraId="7F2EC2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rPr>
              <w:t>①点声源衰减公式</w:t>
            </w:r>
          </w:p>
          <w:p w14:paraId="4D2BA7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rPr>
              <w:t>计算评价点噪声等效声级时，可根据项目具体情况，把声源视为点源，本项目按下列距离衰减公式计算其对不同距离的影响值。</w:t>
            </w:r>
          </w:p>
          <w:p w14:paraId="3C8E94BC">
            <w:pPr>
              <w:keepNext w:val="0"/>
              <w:keepLines w:val="0"/>
              <w:suppressLineNumbers w:val="0"/>
              <w:spacing w:before="0" w:beforeAutospacing="0" w:after="0" w:afterAutospacing="0" w:line="480" w:lineRule="exact"/>
              <w:ind w:left="0" w:right="0"/>
              <w:jc w:val="center"/>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rPr>
              <w:t>L</w:t>
            </w:r>
            <w:r>
              <w:rPr>
                <w:rFonts w:hint="default" w:ascii="Times New Roman" w:hAnsi="Times New Roman" w:cs="Times New Roman"/>
                <w:color w:val="auto"/>
                <w:spacing w:val="0"/>
                <w:w w:val="100"/>
                <w:sz w:val="24"/>
                <w:vertAlign w:val="subscript"/>
              </w:rPr>
              <w:t>P</w:t>
            </w:r>
            <w:r>
              <w:rPr>
                <w:rFonts w:hint="default" w:ascii="Times New Roman" w:hAnsi="Times New Roman" w:cs="Times New Roman"/>
                <w:color w:val="auto"/>
                <w:spacing w:val="0"/>
                <w:w w:val="100"/>
                <w:sz w:val="24"/>
              </w:rPr>
              <w:t>＝Lr–20log(r/ro)-α(r-ro)</w:t>
            </w:r>
          </w:p>
          <w:p w14:paraId="58F8FEEA">
            <w:pPr>
              <w:keepNext w:val="0"/>
              <w:keepLines w:val="0"/>
              <w:suppressLineNumbers w:val="0"/>
              <w:spacing w:before="0" w:beforeAutospacing="0" w:after="0" w:afterAutospacing="0" w:line="480" w:lineRule="exact"/>
              <w:ind w:left="0" w:right="0" w:firstLine="480" w:firstLineChars="200"/>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rPr>
              <w:t>式中：L</w:t>
            </w:r>
            <w:r>
              <w:rPr>
                <w:rFonts w:hint="default" w:ascii="Times New Roman" w:hAnsi="Times New Roman" w:cs="Times New Roman"/>
                <w:color w:val="auto"/>
                <w:spacing w:val="0"/>
                <w:w w:val="100"/>
                <w:sz w:val="24"/>
                <w:vertAlign w:val="subscript"/>
              </w:rPr>
              <w:t>P</w:t>
            </w:r>
            <w:r>
              <w:rPr>
                <w:rFonts w:hint="default" w:ascii="Times New Roman" w:hAnsi="Times New Roman" w:cs="Times New Roman"/>
                <w:color w:val="auto"/>
                <w:spacing w:val="0"/>
                <w:w w:val="100"/>
                <w:sz w:val="24"/>
              </w:rPr>
              <w:t>------受声点（即被影响点）所接受的声压级，dB(A</w:t>
            </w:r>
            <w:r>
              <w:rPr>
                <w:rFonts w:hint="eastAsia" w:ascii="Times New Roman" w:hAnsi="Times New Roman" w:cs="Times New Roman"/>
                <w:color w:val="auto"/>
                <w:spacing w:val="0"/>
                <w:w w:val="100"/>
                <w:sz w:val="24"/>
                <w:lang w:eastAsia="zh-CN"/>
              </w:rPr>
              <w:t>)</w:t>
            </w:r>
            <w:r>
              <w:rPr>
                <w:rFonts w:hint="default" w:ascii="Times New Roman" w:hAnsi="Times New Roman" w:cs="Times New Roman"/>
                <w:color w:val="auto"/>
                <w:spacing w:val="0"/>
                <w:w w:val="100"/>
                <w:sz w:val="24"/>
              </w:rPr>
              <w:t>；</w:t>
            </w:r>
          </w:p>
          <w:p w14:paraId="400B47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1200" w:firstLineChars="500"/>
              <w:textAlignment w:val="auto"/>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rPr>
              <w:t>Lr------距噪声源r处的声压级，dB(A</w:t>
            </w:r>
            <w:r>
              <w:rPr>
                <w:rFonts w:hint="eastAsia" w:ascii="Times New Roman" w:hAnsi="Times New Roman" w:cs="Times New Roman"/>
                <w:color w:val="auto"/>
                <w:spacing w:val="0"/>
                <w:w w:val="100"/>
                <w:sz w:val="24"/>
                <w:lang w:eastAsia="zh-CN"/>
              </w:rPr>
              <w:t>)</w:t>
            </w:r>
            <w:r>
              <w:rPr>
                <w:rFonts w:hint="default" w:ascii="Times New Roman" w:hAnsi="Times New Roman" w:cs="Times New Roman"/>
                <w:color w:val="auto"/>
                <w:spacing w:val="0"/>
                <w:w w:val="100"/>
                <w:sz w:val="24"/>
              </w:rPr>
              <w:t>；</w:t>
            </w:r>
          </w:p>
          <w:p w14:paraId="009478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1200" w:firstLineChars="500"/>
              <w:textAlignment w:val="auto"/>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rPr>
              <w:t>r--------噪声源至受声点的距离，m；</w:t>
            </w:r>
          </w:p>
          <w:p w14:paraId="5761E3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1200" w:firstLineChars="500"/>
              <w:textAlignment w:val="auto"/>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rPr>
              <w:t>ro-------参考位置的距离，m；</w:t>
            </w:r>
          </w:p>
          <w:p w14:paraId="385722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1200" w:firstLineChars="500"/>
              <w:textAlignment w:val="auto"/>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rPr>
              <w:t>α------大气对声波的吸收系数，dB(A)/m，平均值为0.008dB(A)/m；根据《中国环境影响评价培训教材</w:t>
            </w:r>
            <w:r>
              <w:rPr>
                <w:rFonts w:hint="eastAsia" w:ascii="Times New Roman" w:hAnsi="Times New Roman" w:cs="Times New Roman"/>
                <w:color w:val="auto"/>
                <w:spacing w:val="0"/>
                <w:w w:val="100"/>
                <w:sz w:val="24"/>
                <w:lang w:eastAsia="zh-CN"/>
              </w:rPr>
              <w:t>》等</w:t>
            </w:r>
            <w:r>
              <w:rPr>
                <w:rFonts w:hint="default" w:ascii="Times New Roman" w:hAnsi="Times New Roman" w:cs="Times New Roman"/>
                <w:color w:val="auto"/>
                <w:spacing w:val="0"/>
                <w:w w:val="100"/>
                <w:sz w:val="24"/>
              </w:rPr>
              <w:t>有关资料，当r-ro&lt;200m时，α×</w:t>
            </w:r>
            <w:r>
              <w:rPr>
                <w:rFonts w:hint="eastAsia" w:ascii="Times New Roman" w:hAnsi="Times New Roman" w:cs="Times New Roman"/>
                <w:color w:val="auto"/>
                <w:spacing w:val="0"/>
                <w:w w:val="100"/>
                <w:sz w:val="24"/>
                <w:lang w:eastAsia="zh-CN"/>
              </w:rPr>
              <w:t>（</w:t>
            </w:r>
            <w:r>
              <w:rPr>
                <w:rFonts w:hint="default" w:ascii="Times New Roman" w:hAnsi="Times New Roman" w:cs="Times New Roman"/>
                <w:color w:val="auto"/>
                <w:spacing w:val="0"/>
                <w:w w:val="100"/>
                <w:sz w:val="24"/>
              </w:rPr>
              <w:t>r-ro</w:t>
            </w:r>
            <w:r>
              <w:rPr>
                <w:rFonts w:hint="eastAsia" w:ascii="Times New Roman" w:hAnsi="Times New Roman" w:cs="Times New Roman"/>
                <w:color w:val="auto"/>
                <w:spacing w:val="0"/>
                <w:w w:val="100"/>
                <w:sz w:val="24"/>
                <w:lang w:eastAsia="zh-CN"/>
              </w:rPr>
              <w:t>）</w:t>
            </w:r>
            <w:r>
              <w:rPr>
                <w:rFonts w:hint="default" w:ascii="Times New Roman" w:hAnsi="Times New Roman" w:cs="Times New Roman"/>
                <w:color w:val="auto"/>
                <w:spacing w:val="0"/>
                <w:w w:val="100"/>
                <w:sz w:val="24"/>
              </w:rPr>
              <w:t>近似为零，声压级变化主要受声波扩张力的影响较明显。</w:t>
            </w:r>
          </w:p>
          <w:p w14:paraId="3C3D6E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②噪声叠加公式</w:t>
            </w:r>
          </w:p>
          <w:p w14:paraId="335362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68" w:firstLineChars="200"/>
              <w:textAlignment w:val="auto"/>
              <w:rPr>
                <w:rFonts w:hint="default"/>
                <w:bCs/>
                <w:color w:val="auto"/>
                <w:spacing w:val="10"/>
                <w:sz w:val="24"/>
                <w:szCs w:val="24"/>
              </w:rPr>
            </w:pPr>
            <w:r>
              <w:rPr>
                <w:rFonts w:hint="default" w:ascii="宋体" w:hAnsi="宋体" w:eastAsia="宋体" w:cs="宋体"/>
                <w:color w:val="auto"/>
                <w:spacing w:val="-3"/>
                <w:sz w:val="24"/>
                <w:szCs w:val="24"/>
              </w:rPr>
              <w:t>总声压级是表示在预测时间</w:t>
            </w:r>
            <w:r>
              <w:rPr>
                <w:rFonts w:hint="default" w:ascii="Times New Roman" w:hAnsi="Times New Roman" w:eastAsia="Times New Roman" w:cs="Times New Roman"/>
                <w:color w:val="auto"/>
                <w:spacing w:val="-3"/>
                <w:sz w:val="24"/>
                <w:szCs w:val="24"/>
              </w:rPr>
              <w:t>T</w:t>
            </w:r>
            <w:r>
              <w:rPr>
                <w:rFonts w:hint="default" w:ascii="宋体" w:hAnsi="宋体" w:eastAsia="宋体" w:cs="宋体"/>
                <w:color w:val="auto"/>
                <w:spacing w:val="-3"/>
                <w:sz w:val="24"/>
                <w:szCs w:val="24"/>
              </w:rPr>
              <w:t>内，建设项目的所有噪声源的声波到达预测</w:t>
            </w:r>
            <w:r>
              <w:rPr>
                <w:rFonts w:hint="default" w:ascii="宋体" w:hAnsi="宋体" w:eastAsia="宋体" w:cs="宋体"/>
                <w:color w:val="auto"/>
                <w:spacing w:val="-1"/>
                <w:sz w:val="24"/>
                <w:szCs w:val="24"/>
              </w:rPr>
              <w:t>点的声能量之和，也就是预测点的总等效连续声级为：</w:t>
            </w:r>
          </w:p>
          <w:p w14:paraId="3B79AAAD">
            <w:pPr>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jc w:val="center"/>
              <w:textAlignment w:val="auto"/>
              <w:rPr>
                <w:rFonts w:hint="default"/>
                <w:color w:val="auto"/>
                <w:spacing w:val="10"/>
                <w:sz w:val="24"/>
                <w:szCs w:val="24"/>
              </w:rPr>
            </w:pPr>
            <w:r>
              <w:rPr>
                <w:rFonts w:hint="default"/>
                <w:color w:val="auto"/>
                <w:sz w:val="24"/>
                <w:szCs w:val="24"/>
              </w:rPr>
              <w:drawing>
                <wp:inline distT="0" distB="0" distL="114300" distR="114300">
                  <wp:extent cx="3224530" cy="563245"/>
                  <wp:effectExtent l="0" t="0" r="6350" b="635"/>
                  <wp:docPr id="1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5"/>
                          <pic:cNvPicPr>
                            <a:picLocks noChangeAspect="1"/>
                          </pic:cNvPicPr>
                        </pic:nvPicPr>
                        <pic:blipFill>
                          <a:blip r:embed="rId21"/>
                          <a:stretch>
                            <a:fillRect/>
                          </a:stretch>
                        </pic:blipFill>
                        <pic:spPr>
                          <a:xfrm>
                            <a:off x="0" y="0"/>
                            <a:ext cx="3224530" cy="563245"/>
                          </a:xfrm>
                          <a:prstGeom prst="rect">
                            <a:avLst/>
                          </a:prstGeom>
                          <a:noFill/>
                          <a:ln>
                            <a:noFill/>
                          </a:ln>
                        </pic:spPr>
                      </pic:pic>
                    </a:graphicData>
                  </a:graphic>
                </wp:inline>
              </w:drawing>
            </w:r>
          </w:p>
          <w:p w14:paraId="4D7951B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hanging="713"/>
              <w:jc w:val="left"/>
              <w:textAlignment w:val="auto"/>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式中：</w:t>
            </w:r>
            <w:r>
              <w:rPr>
                <w:rFonts w:hint="default" w:ascii="Times New Roman" w:hAnsi="Times New Roman" w:eastAsia="Times New Roman" w:cs="Times New Roman"/>
                <w:color w:val="auto"/>
                <w:spacing w:val="-2"/>
                <w:sz w:val="24"/>
                <w:szCs w:val="24"/>
              </w:rPr>
              <w:t>L</w:t>
            </w:r>
            <w:r>
              <w:rPr>
                <w:rFonts w:hint="default" w:ascii="Times New Roman" w:hAnsi="Times New Roman" w:eastAsia="Times New Roman" w:cs="Times New Roman"/>
                <w:color w:val="auto"/>
                <w:spacing w:val="-2"/>
                <w:position w:val="-1"/>
                <w:sz w:val="24"/>
                <w:szCs w:val="24"/>
                <w:vertAlign w:val="subscript"/>
              </w:rPr>
              <w:t>eqg</w:t>
            </w:r>
            <w:r>
              <w:rPr>
                <w:rFonts w:hint="default" w:ascii="Times New Roman" w:hAnsi="Times New Roman" w:eastAsia="Times New Roman" w:cs="Times New Roman"/>
                <w:color w:val="auto"/>
                <w:spacing w:val="-2"/>
                <w:sz w:val="24"/>
                <w:szCs w:val="24"/>
              </w:rPr>
              <w:t>——</w:t>
            </w:r>
            <w:r>
              <w:rPr>
                <w:rFonts w:hint="default" w:ascii="Times New Roman" w:hAnsi="Times New Roman" w:eastAsia="宋体" w:cs="Times New Roman"/>
                <w:color w:val="auto"/>
                <w:spacing w:val="-2"/>
                <w:sz w:val="24"/>
                <w:szCs w:val="24"/>
              </w:rPr>
              <w:t>建设项目声源在预测点的等效声级贡献值，</w:t>
            </w:r>
            <w:r>
              <w:rPr>
                <w:rFonts w:hint="default" w:ascii="Times New Roman" w:hAnsi="Times New Roman" w:eastAsia="Times New Roman" w:cs="Times New Roman"/>
                <w:color w:val="auto"/>
                <w:spacing w:val="-2"/>
                <w:sz w:val="24"/>
                <w:szCs w:val="24"/>
              </w:rPr>
              <w:t>dB(A</w:t>
            </w:r>
            <w:r>
              <w:rPr>
                <w:rFonts w:hint="eastAsia"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rPr>
              <w:t>；</w:t>
            </w:r>
          </w:p>
          <w:p w14:paraId="6BE0B1B2">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119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1"/>
                <w:sz w:val="24"/>
                <w:szCs w:val="24"/>
              </w:rPr>
              <w:t>T——</w:t>
            </w:r>
            <w:r>
              <w:rPr>
                <w:rFonts w:hint="default" w:ascii="Times New Roman" w:hAnsi="Times New Roman" w:eastAsia="宋体" w:cs="Times New Roman"/>
                <w:color w:val="auto"/>
                <w:spacing w:val="-1"/>
                <w:sz w:val="24"/>
                <w:szCs w:val="24"/>
              </w:rPr>
              <w:t>预测计算的时间段，</w:t>
            </w:r>
            <w:r>
              <w:rPr>
                <w:rFonts w:hint="default" w:ascii="Times New Roman" w:hAnsi="Times New Roman" w:eastAsia="Times New Roman" w:cs="Times New Roman"/>
                <w:color w:val="auto"/>
                <w:spacing w:val="-1"/>
                <w:sz w:val="24"/>
                <w:szCs w:val="24"/>
              </w:rPr>
              <w:t>s</w:t>
            </w:r>
            <w:r>
              <w:rPr>
                <w:rFonts w:hint="default" w:ascii="Times New Roman" w:hAnsi="Times New Roman" w:eastAsia="宋体" w:cs="Times New Roman"/>
                <w:color w:val="auto"/>
                <w:spacing w:val="-1"/>
                <w:sz w:val="24"/>
                <w:szCs w:val="24"/>
              </w:rPr>
              <w:t>；</w:t>
            </w:r>
          </w:p>
          <w:p w14:paraId="7080D4B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pacing w:val="3"/>
                <w:sz w:val="24"/>
                <w:szCs w:val="24"/>
              </w:rPr>
            </w:pPr>
            <w:r>
              <w:rPr>
                <w:rFonts w:hint="default" w:ascii="Times New Roman" w:hAnsi="Times New Roman" w:eastAsia="Times New Roman" w:cs="Times New Roman"/>
                <w:color w:val="auto"/>
                <w:sz w:val="24"/>
                <w:szCs w:val="24"/>
              </w:rPr>
              <w:t>L</w:t>
            </w:r>
            <w:r>
              <w:rPr>
                <w:rFonts w:hint="default" w:ascii="Times New Roman" w:hAnsi="Times New Roman" w:eastAsia="宋体" w:cs="Times New Roman"/>
                <w:color w:val="auto"/>
                <w:position w:val="-2"/>
                <w:sz w:val="24"/>
                <w:szCs w:val="24"/>
                <w:vertAlign w:val="subscript"/>
              </w:rPr>
              <w:t>A</w:t>
            </w:r>
            <w:r>
              <w:rPr>
                <w:rFonts w:hint="default" w:ascii="Times New Roman" w:hAnsi="Times New Roman" w:eastAsia="Times New Roman" w:cs="Times New Roman"/>
                <w:color w:val="auto"/>
                <w:position w:val="-2"/>
                <w:sz w:val="24"/>
                <w:szCs w:val="24"/>
                <w:vertAlign w:val="subscript"/>
              </w:rPr>
              <w:t>i</w:t>
            </w:r>
            <w:r>
              <w:rPr>
                <w:rFonts w:hint="default" w:ascii="Times New Roman" w:hAnsi="Times New Roman" w:eastAsia="Times New Roman" w:cs="Times New Roman"/>
                <w:color w:val="auto"/>
                <w:spacing w:val="3"/>
                <w:sz w:val="24"/>
                <w:szCs w:val="24"/>
              </w:rPr>
              <w:t>——</w:t>
            </w:r>
            <w:r>
              <w:rPr>
                <w:rFonts w:hint="default" w:ascii="Times New Roman" w:hAnsi="Times New Roman" w:eastAsia="宋体" w:cs="Times New Roman"/>
                <w:color w:val="auto"/>
                <w:spacing w:val="3"/>
                <w:sz w:val="24"/>
                <w:szCs w:val="24"/>
              </w:rPr>
              <w:t>第</w:t>
            </w:r>
            <w:r>
              <w:rPr>
                <w:rFonts w:hint="default" w:ascii="Times New Roman" w:hAnsi="Times New Roman" w:eastAsia="Times New Roman" w:cs="Times New Roman"/>
                <w:color w:val="auto"/>
                <w:spacing w:val="3"/>
                <w:sz w:val="24"/>
                <w:szCs w:val="24"/>
              </w:rPr>
              <w:t>i</w:t>
            </w:r>
            <w:r>
              <w:rPr>
                <w:rFonts w:hint="default" w:ascii="Times New Roman" w:hAnsi="Times New Roman" w:eastAsia="宋体" w:cs="Times New Roman"/>
                <w:color w:val="auto"/>
                <w:spacing w:val="3"/>
                <w:sz w:val="24"/>
                <w:szCs w:val="24"/>
              </w:rPr>
              <w:t>个室外声源在预测点产生的A声级，</w:t>
            </w:r>
            <w:r>
              <w:rPr>
                <w:rFonts w:hint="default" w:ascii="Times New Roman" w:hAnsi="Times New Roman" w:eastAsia="Times New Roman" w:cs="Times New Roman"/>
                <w:color w:val="auto"/>
                <w:sz w:val="24"/>
                <w:szCs w:val="24"/>
              </w:rPr>
              <w:t>dB</w:t>
            </w:r>
            <w:r>
              <w:rPr>
                <w:rFonts w:hint="default" w:ascii="Times New Roman" w:hAnsi="Times New Roman" w:eastAsia="Times New Roman" w:cs="Times New Roman"/>
                <w:color w:val="auto"/>
                <w:spacing w:val="3"/>
                <w:sz w:val="24"/>
                <w:szCs w:val="24"/>
              </w:rPr>
              <w:t>(A</w:t>
            </w:r>
            <w:r>
              <w:rPr>
                <w:rFonts w:hint="eastAsia" w:ascii="Times New Roman" w:hAnsi="Times New Roman" w:eastAsia="宋体" w:cs="Times New Roman"/>
                <w:color w:val="auto"/>
                <w:spacing w:val="3"/>
                <w:sz w:val="24"/>
                <w:szCs w:val="24"/>
                <w:lang w:eastAsia="zh-CN"/>
              </w:rPr>
              <w:t>)</w:t>
            </w:r>
            <w:r>
              <w:rPr>
                <w:rFonts w:hint="default" w:ascii="Times New Roman" w:hAnsi="Times New Roman" w:eastAsia="宋体" w:cs="Times New Roman"/>
                <w:color w:val="auto"/>
                <w:spacing w:val="3"/>
                <w:sz w:val="24"/>
                <w:szCs w:val="24"/>
              </w:rPr>
              <w:t>；</w:t>
            </w:r>
          </w:p>
          <w:p w14:paraId="63787FB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z w:val="24"/>
                <w:szCs w:val="24"/>
              </w:rPr>
              <w:t>t</w:t>
            </w:r>
            <w:r>
              <w:rPr>
                <w:rFonts w:hint="default" w:ascii="Times New Roman" w:hAnsi="Times New Roman" w:eastAsia="Times New Roman" w:cs="Times New Roman"/>
                <w:color w:val="auto"/>
                <w:sz w:val="24"/>
                <w:szCs w:val="24"/>
                <w:vertAlign w:val="subscript"/>
              </w:rPr>
              <w:t>i</w:t>
            </w:r>
            <w:r>
              <w:rPr>
                <w:rFonts w:hint="default" w:ascii="Times New Roman" w:hAnsi="Times New Roman" w:eastAsia="Times New Roman" w:cs="Times New Roman"/>
                <w:color w:val="auto"/>
                <w:spacing w:val="1"/>
                <w:sz w:val="24"/>
                <w:szCs w:val="24"/>
              </w:rPr>
              <w:t>——</w:t>
            </w:r>
            <w:r>
              <w:rPr>
                <w:rFonts w:hint="default" w:ascii="Times New Roman" w:hAnsi="Times New Roman" w:eastAsia="宋体" w:cs="Times New Roman"/>
                <w:color w:val="auto"/>
                <w:spacing w:val="1"/>
                <w:sz w:val="24"/>
                <w:szCs w:val="24"/>
              </w:rPr>
              <w:t>在</w:t>
            </w:r>
            <w:r>
              <w:rPr>
                <w:rFonts w:hint="default" w:ascii="Times New Roman" w:hAnsi="Times New Roman" w:eastAsia="Times New Roman" w:cs="Times New Roman"/>
                <w:color w:val="auto"/>
                <w:spacing w:val="1"/>
                <w:sz w:val="24"/>
                <w:szCs w:val="24"/>
              </w:rPr>
              <w:t>T</w:t>
            </w:r>
            <w:r>
              <w:rPr>
                <w:rFonts w:hint="default" w:ascii="Times New Roman" w:hAnsi="Times New Roman" w:eastAsia="宋体" w:cs="Times New Roman"/>
                <w:color w:val="auto"/>
                <w:spacing w:val="1"/>
                <w:sz w:val="24"/>
                <w:szCs w:val="24"/>
              </w:rPr>
              <w:t>时间内</w:t>
            </w:r>
            <w:r>
              <w:rPr>
                <w:rFonts w:hint="default" w:ascii="Times New Roman" w:hAnsi="Times New Roman" w:eastAsia="Times New Roman" w:cs="Times New Roman"/>
                <w:color w:val="auto"/>
                <w:spacing w:val="1"/>
                <w:sz w:val="24"/>
                <w:szCs w:val="24"/>
              </w:rPr>
              <w:t>i</w:t>
            </w:r>
            <w:r>
              <w:rPr>
                <w:rFonts w:hint="default" w:ascii="Times New Roman" w:hAnsi="Times New Roman" w:eastAsia="宋体" w:cs="Times New Roman"/>
                <w:color w:val="auto"/>
                <w:spacing w:val="1"/>
                <w:sz w:val="24"/>
                <w:szCs w:val="24"/>
              </w:rPr>
              <w:t>声源工作的时间，</w:t>
            </w:r>
            <w:r>
              <w:rPr>
                <w:rFonts w:hint="default" w:ascii="Times New Roman" w:hAnsi="Times New Roman" w:eastAsia="Times New Roman" w:cs="Times New Roman"/>
                <w:color w:val="auto"/>
                <w:spacing w:val="1"/>
                <w:sz w:val="24"/>
                <w:szCs w:val="24"/>
              </w:rPr>
              <w:t>s</w:t>
            </w:r>
            <w:r>
              <w:rPr>
                <w:rFonts w:hint="default" w:ascii="Times New Roman" w:hAnsi="Times New Roman" w:eastAsia="宋体" w:cs="Times New Roman"/>
                <w:color w:val="auto"/>
                <w:spacing w:val="1"/>
                <w:sz w:val="24"/>
                <w:szCs w:val="24"/>
              </w:rPr>
              <w:t>；</w:t>
            </w:r>
          </w:p>
          <w:p w14:paraId="627EE6D4">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pacing w:val="8"/>
                <w:sz w:val="24"/>
                <w:szCs w:val="24"/>
              </w:rPr>
            </w:pPr>
            <w:r>
              <w:rPr>
                <w:rFonts w:hint="default" w:ascii="Times New Roman" w:hAnsi="Times New Roman" w:eastAsia="Times New Roman" w:cs="Times New Roman"/>
                <w:color w:val="auto"/>
                <w:sz w:val="24"/>
                <w:szCs w:val="24"/>
              </w:rPr>
              <w:t>L</w:t>
            </w:r>
            <w:r>
              <w:rPr>
                <w:rFonts w:hint="default" w:ascii="Times New Roman" w:hAnsi="Times New Roman" w:eastAsia="宋体" w:cs="Times New Roman"/>
                <w:color w:val="auto"/>
                <w:position w:val="-3"/>
                <w:sz w:val="24"/>
                <w:szCs w:val="24"/>
                <w:vertAlign w:val="subscript"/>
              </w:rPr>
              <w:t>A</w:t>
            </w:r>
            <w:r>
              <w:rPr>
                <w:rFonts w:hint="default" w:ascii="Times New Roman" w:hAnsi="Times New Roman" w:eastAsia="Times New Roman" w:cs="Times New Roman"/>
                <w:color w:val="auto"/>
                <w:position w:val="-1"/>
                <w:sz w:val="24"/>
                <w:szCs w:val="24"/>
                <w:vertAlign w:val="subscript"/>
              </w:rPr>
              <w:t>j</w:t>
            </w:r>
            <w:r>
              <w:rPr>
                <w:rFonts w:hint="default" w:ascii="Times New Roman" w:hAnsi="Times New Roman" w:eastAsia="Times New Roman" w:cs="Times New Roman"/>
                <w:color w:val="auto"/>
                <w:spacing w:val="8"/>
                <w:sz w:val="24"/>
                <w:szCs w:val="24"/>
              </w:rPr>
              <w:t>——</w:t>
            </w:r>
            <w:r>
              <w:rPr>
                <w:rFonts w:hint="default" w:ascii="Times New Roman" w:hAnsi="Times New Roman" w:eastAsia="宋体" w:cs="Times New Roman"/>
                <w:color w:val="auto"/>
                <w:spacing w:val="8"/>
                <w:sz w:val="24"/>
                <w:szCs w:val="24"/>
              </w:rPr>
              <w:t>第</w:t>
            </w:r>
            <w:r>
              <w:rPr>
                <w:rFonts w:hint="default" w:ascii="Times New Roman" w:hAnsi="Times New Roman" w:eastAsia="Times New Roman" w:cs="Times New Roman"/>
                <w:color w:val="auto"/>
                <w:spacing w:val="8"/>
                <w:sz w:val="24"/>
                <w:szCs w:val="24"/>
              </w:rPr>
              <w:t>j</w:t>
            </w:r>
            <w:r>
              <w:rPr>
                <w:rFonts w:hint="default" w:ascii="Times New Roman" w:hAnsi="Times New Roman" w:eastAsia="宋体" w:cs="Times New Roman"/>
                <w:color w:val="auto"/>
                <w:spacing w:val="8"/>
                <w:sz w:val="24"/>
                <w:szCs w:val="24"/>
              </w:rPr>
              <w:t>个等效室外声源在预测点产生的A声级，</w:t>
            </w:r>
            <w:r>
              <w:rPr>
                <w:rFonts w:hint="default" w:ascii="Times New Roman" w:hAnsi="Times New Roman" w:eastAsia="Times New Roman" w:cs="Times New Roman"/>
                <w:color w:val="auto"/>
                <w:sz w:val="24"/>
                <w:szCs w:val="24"/>
              </w:rPr>
              <w:t>dB</w:t>
            </w:r>
            <w:r>
              <w:rPr>
                <w:rFonts w:hint="default" w:ascii="Times New Roman" w:hAnsi="Times New Roman" w:eastAsia="Times New Roman" w:cs="Times New Roman"/>
                <w:color w:val="auto"/>
                <w:spacing w:val="8"/>
                <w:sz w:val="24"/>
                <w:szCs w:val="24"/>
              </w:rPr>
              <w:t>(A</w:t>
            </w:r>
            <w:r>
              <w:rPr>
                <w:rFonts w:hint="eastAsia" w:ascii="Times New Roman" w:hAnsi="Times New Roman" w:eastAsia="宋体" w:cs="Times New Roman"/>
                <w:color w:val="auto"/>
                <w:spacing w:val="8"/>
                <w:sz w:val="24"/>
                <w:szCs w:val="24"/>
                <w:lang w:eastAsia="zh-CN"/>
              </w:rPr>
              <w:t>)</w:t>
            </w:r>
            <w:r>
              <w:rPr>
                <w:rFonts w:hint="default" w:ascii="Times New Roman" w:hAnsi="Times New Roman" w:eastAsia="宋体" w:cs="Times New Roman"/>
                <w:color w:val="auto"/>
                <w:spacing w:val="8"/>
                <w:sz w:val="24"/>
                <w:szCs w:val="24"/>
              </w:rPr>
              <w:t>；</w:t>
            </w:r>
          </w:p>
          <w:p w14:paraId="08A0270A">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z w:val="24"/>
                <w:szCs w:val="24"/>
              </w:rPr>
              <w:t>t</w:t>
            </w:r>
            <w:r>
              <w:rPr>
                <w:rFonts w:hint="default" w:ascii="Times New Roman" w:hAnsi="Times New Roman" w:eastAsia="Times New Roman" w:cs="Times New Roman"/>
                <w:color w:val="auto"/>
                <w:position w:val="-1"/>
                <w:sz w:val="24"/>
                <w:szCs w:val="24"/>
                <w:vertAlign w:val="subscript"/>
              </w:rPr>
              <w:t>j</w:t>
            </w:r>
            <w:r>
              <w:rPr>
                <w:rFonts w:hint="default" w:ascii="Times New Roman" w:hAnsi="Times New Roman" w:eastAsia="Times New Roman" w:cs="Times New Roman"/>
                <w:color w:val="auto"/>
                <w:spacing w:val="1"/>
                <w:sz w:val="24"/>
                <w:szCs w:val="24"/>
              </w:rPr>
              <w:t>——</w:t>
            </w:r>
            <w:r>
              <w:rPr>
                <w:rFonts w:hint="default" w:ascii="Times New Roman" w:hAnsi="Times New Roman" w:eastAsia="宋体" w:cs="Times New Roman"/>
                <w:color w:val="auto"/>
                <w:spacing w:val="1"/>
                <w:sz w:val="24"/>
                <w:szCs w:val="24"/>
              </w:rPr>
              <w:t>在</w:t>
            </w:r>
            <w:r>
              <w:rPr>
                <w:rFonts w:hint="default" w:ascii="Times New Roman" w:hAnsi="Times New Roman" w:eastAsia="Times New Roman" w:cs="Times New Roman"/>
                <w:color w:val="auto"/>
                <w:spacing w:val="1"/>
                <w:sz w:val="24"/>
                <w:szCs w:val="24"/>
              </w:rPr>
              <w:t>T</w:t>
            </w:r>
            <w:r>
              <w:rPr>
                <w:rFonts w:hint="default" w:ascii="Times New Roman" w:hAnsi="Times New Roman" w:eastAsia="宋体" w:cs="Times New Roman"/>
                <w:color w:val="auto"/>
                <w:spacing w:val="1"/>
                <w:sz w:val="24"/>
                <w:szCs w:val="24"/>
              </w:rPr>
              <w:t>时间内</w:t>
            </w:r>
            <w:r>
              <w:rPr>
                <w:rFonts w:hint="default" w:ascii="Times New Roman" w:hAnsi="Times New Roman" w:eastAsia="Times New Roman" w:cs="Times New Roman"/>
                <w:color w:val="auto"/>
                <w:spacing w:val="1"/>
                <w:sz w:val="24"/>
                <w:szCs w:val="24"/>
              </w:rPr>
              <w:t>j</w:t>
            </w:r>
            <w:r>
              <w:rPr>
                <w:rFonts w:hint="default" w:ascii="Times New Roman" w:hAnsi="Times New Roman" w:eastAsia="宋体" w:cs="Times New Roman"/>
                <w:color w:val="auto"/>
                <w:spacing w:val="1"/>
                <w:sz w:val="24"/>
                <w:szCs w:val="24"/>
              </w:rPr>
              <w:t>声源工作的时间，</w:t>
            </w:r>
            <w:r>
              <w:rPr>
                <w:rFonts w:hint="default" w:ascii="Times New Roman" w:hAnsi="Times New Roman" w:eastAsia="Times New Roman" w:cs="Times New Roman"/>
                <w:color w:val="auto"/>
                <w:spacing w:val="1"/>
                <w:sz w:val="24"/>
                <w:szCs w:val="24"/>
              </w:rPr>
              <w:t>s</w:t>
            </w:r>
            <w:r>
              <w:rPr>
                <w:rFonts w:hint="default" w:ascii="Times New Roman" w:hAnsi="Times New Roman" w:eastAsia="宋体" w:cs="Times New Roman"/>
                <w:color w:val="auto"/>
                <w:spacing w:val="1"/>
                <w:sz w:val="24"/>
                <w:szCs w:val="24"/>
              </w:rPr>
              <w:t>；</w:t>
            </w:r>
          </w:p>
          <w:p w14:paraId="3F7E0A2E">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z w:val="24"/>
                <w:szCs w:val="24"/>
              </w:rPr>
              <w:t>N——</w:t>
            </w:r>
            <w:r>
              <w:rPr>
                <w:rFonts w:hint="default" w:ascii="Times New Roman" w:hAnsi="Times New Roman" w:eastAsia="宋体" w:cs="Times New Roman"/>
                <w:color w:val="auto"/>
                <w:sz w:val="24"/>
                <w:szCs w:val="24"/>
              </w:rPr>
              <w:t>室外声源个数；</w:t>
            </w:r>
          </w:p>
          <w:p w14:paraId="70BCBD8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1160" w:firstLineChars="500"/>
              <w:jc w:val="left"/>
              <w:textAlignment w:val="auto"/>
              <w:rPr>
                <w:rFonts w:hint="default" w:ascii="Times New Roman" w:hAnsi="Times New Roman" w:eastAsia="宋体" w:cs="Times New Roman"/>
                <w:color w:val="auto"/>
                <w:spacing w:val="-4"/>
                <w:sz w:val="24"/>
                <w:szCs w:val="24"/>
              </w:rPr>
            </w:pPr>
            <w:r>
              <w:rPr>
                <w:rFonts w:hint="default" w:ascii="Times New Roman" w:hAnsi="Times New Roman" w:eastAsia="Times New Roman" w:cs="Times New Roman"/>
                <w:color w:val="auto"/>
                <w:spacing w:val="-4"/>
                <w:sz w:val="24"/>
                <w:szCs w:val="24"/>
              </w:rPr>
              <w:t>M——</w:t>
            </w:r>
            <w:r>
              <w:rPr>
                <w:rFonts w:hint="default" w:ascii="Times New Roman" w:hAnsi="Times New Roman" w:eastAsia="宋体" w:cs="Times New Roman"/>
                <w:color w:val="auto"/>
                <w:spacing w:val="-4"/>
                <w:sz w:val="24"/>
                <w:szCs w:val="24"/>
              </w:rPr>
              <w:t>等效室外声源个数。</w:t>
            </w:r>
          </w:p>
          <w:p w14:paraId="66AD2D8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center"/>
              <w:textAlignment w:val="auto"/>
              <w:rPr>
                <w:rFonts w:hint="default" w:ascii="Times New Roman" w:hAnsi="Times New Roman" w:cs="Times New Roman"/>
                <w:bCs/>
                <w:color w:val="auto"/>
                <w:spacing w:val="10"/>
                <w:sz w:val="24"/>
                <w:szCs w:val="24"/>
              </w:rPr>
            </w:pPr>
            <w:r>
              <w:rPr>
                <w:rFonts w:hint="default" w:ascii="Times New Roman" w:hAnsi="Times New Roman" w:eastAsia="Times New Roman" w:cs="Times New Roman"/>
                <w:i/>
                <w:iCs/>
                <w:color w:val="auto"/>
                <w:position w:val="-1"/>
                <w:sz w:val="24"/>
                <w:szCs w:val="24"/>
              </w:rPr>
              <w:t>L</w:t>
            </w:r>
            <w:r>
              <w:rPr>
                <w:rFonts w:hint="default" w:ascii="Times New Roman" w:hAnsi="Times New Roman" w:eastAsia="Times New Roman" w:cs="Times New Roman"/>
                <w:color w:val="auto"/>
                <w:position w:val="-7"/>
                <w:sz w:val="24"/>
                <w:szCs w:val="24"/>
                <w:vertAlign w:val="subscript"/>
              </w:rPr>
              <w:t>eq</w:t>
            </w:r>
            <w:r>
              <w:rPr>
                <w:rFonts w:hint="default" w:ascii="Times New Roman" w:hAnsi="Times New Roman" w:cs="Times New Roman"/>
                <w:color w:val="auto"/>
                <w:spacing w:val="1"/>
                <w:position w:val="-1"/>
                <w:sz w:val="24"/>
                <w:szCs w:val="24"/>
              </w:rPr>
              <w:t>=</w:t>
            </w:r>
            <w:r>
              <w:rPr>
                <w:rFonts w:hint="default" w:ascii="Times New Roman" w:hAnsi="Times New Roman" w:eastAsia="Times New Roman" w:cs="Times New Roman"/>
                <w:color w:val="auto"/>
                <w:spacing w:val="1"/>
                <w:position w:val="-1"/>
                <w:sz w:val="24"/>
                <w:szCs w:val="24"/>
              </w:rPr>
              <w:t>10</w:t>
            </w:r>
            <w:r>
              <w:rPr>
                <w:rFonts w:hint="default" w:ascii="Times New Roman" w:hAnsi="Times New Roman" w:eastAsia="Times New Roman" w:cs="Times New Roman"/>
                <w:color w:val="auto"/>
                <w:position w:val="-1"/>
                <w:sz w:val="24"/>
                <w:szCs w:val="24"/>
              </w:rPr>
              <w:t>l</w:t>
            </w:r>
            <w:r>
              <w:rPr>
                <w:rFonts w:hint="default" w:ascii="Times New Roman" w:hAnsi="Times New Roman" w:eastAsia="Times New Roman" w:cs="Times New Roman"/>
                <w:i w:val="0"/>
                <w:iCs w:val="0"/>
                <w:color w:val="auto"/>
                <w:position w:val="-1"/>
                <w:sz w:val="24"/>
                <w:szCs w:val="24"/>
              </w:rPr>
              <w:t>g</w:t>
            </w:r>
            <w:r>
              <w:rPr>
                <w:rFonts w:hint="default" w:ascii="Times New Roman" w:hAnsi="Times New Roman" w:eastAsia="宋体" w:cs="Times New Roman"/>
                <w:color w:val="auto"/>
                <w:spacing w:val="1"/>
                <w:position w:val="-1"/>
                <w:sz w:val="24"/>
                <w:szCs w:val="24"/>
              </w:rPr>
              <w:t>（</w:t>
            </w:r>
            <w:r>
              <w:rPr>
                <w:rFonts w:hint="default" w:ascii="Times New Roman" w:hAnsi="Times New Roman" w:eastAsia="Times New Roman" w:cs="Times New Roman"/>
                <w:color w:val="auto"/>
                <w:spacing w:val="1"/>
                <w:position w:val="-1"/>
                <w:sz w:val="24"/>
                <w:szCs w:val="24"/>
              </w:rPr>
              <w:t>10</w:t>
            </w:r>
            <w:r>
              <w:rPr>
                <w:rFonts w:hint="default" w:ascii="Times New Roman" w:hAnsi="Times New Roman" w:eastAsia="Times New Roman" w:cs="Times New Roman"/>
                <w:color w:val="auto"/>
                <w:spacing w:val="1"/>
                <w:position w:val="11"/>
                <w:sz w:val="24"/>
                <w:szCs w:val="24"/>
              </w:rPr>
              <w:t>0.</w:t>
            </w:r>
            <w:r>
              <w:rPr>
                <w:rFonts w:hint="default" w:ascii="Times New Roman" w:hAnsi="Times New Roman" w:eastAsia="Times New Roman" w:cs="Times New Roman"/>
                <w:color w:val="auto"/>
                <w:position w:val="11"/>
                <w:sz w:val="24"/>
                <w:szCs w:val="24"/>
              </w:rPr>
              <w:t>L</w:t>
            </w:r>
            <w:r>
              <w:rPr>
                <w:rFonts w:hint="default" w:ascii="Times New Roman" w:hAnsi="Times New Roman" w:eastAsia="Times New Roman" w:cs="Times New Roman"/>
                <w:color w:val="auto"/>
                <w:position w:val="7"/>
                <w:sz w:val="24"/>
                <w:szCs w:val="24"/>
                <w:vertAlign w:val="subscript"/>
              </w:rPr>
              <w:t>eqg</w:t>
            </w:r>
            <w:r>
              <w:rPr>
                <w:rFonts w:hint="default" w:ascii="Times New Roman" w:hAnsi="Times New Roman" w:cs="Times New Roman"/>
                <w:color w:val="auto"/>
                <w:spacing w:val="1"/>
                <w:position w:val="-1"/>
                <w:sz w:val="24"/>
                <w:szCs w:val="24"/>
              </w:rPr>
              <w:t>+</w:t>
            </w:r>
            <w:r>
              <w:rPr>
                <w:rFonts w:hint="default" w:ascii="Times New Roman" w:hAnsi="Times New Roman" w:eastAsia="Times New Roman" w:cs="Times New Roman"/>
                <w:color w:val="auto"/>
                <w:spacing w:val="1"/>
                <w:position w:val="-1"/>
                <w:sz w:val="24"/>
                <w:szCs w:val="24"/>
              </w:rPr>
              <w:t>10</w:t>
            </w:r>
            <w:r>
              <w:rPr>
                <w:rFonts w:hint="default" w:ascii="Times New Roman" w:hAnsi="Times New Roman" w:eastAsia="Times New Roman" w:cs="Times New Roman"/>
                <w:color w:val="auto"/>
                <w:spacing w:val="1"/>
                <w:position w:val="11"/>
                <w:sz w:val="24"/>
                <w:szCs w:val="24"/>
              </w:rPr>
              <w:t>0.1</w:t>
            </w:r>
            <w:r>
              <w:rPr>
                <w:rFonts w:hint="default" w:ascii="Times New Roman" w:hAnsi="Times New Roman" w:eastAsia="Times New Roman" w:cs="Times New Roman"/>
                <w:color w:val="auto"/>
                <w:position w:val="11"/>
                <w:sz w:val="24"/>
                <w:szCs w:val="24"/>
              </w:rPr>
              <w:t>L</w:t>
            </w:r>
            <w:r>
              <w:rPr>
                <w:rFonts w:hint="default" w:ascii="Times New Roman" w:hAnsi="Times New Roman" w:eastAsia="Times New Roman" w:cs="Times New Roman"/>
                <w:color w:val="auto"/>
                <w:position w:val="7"/>
                <w:sz w:val="24"/>
                <w:szCs w:val="24"/>
                <w:vertAlign w:val="subscript"/>
              </w:rPr>
              <w:t>eqb</w:t>
            </w:r>
            <w:r>
              <w:rPr>
                <w:rFonts w:hint="default" w:ascii="Times New Roman" w:hAnsi="Times New Roman" w:eastAsia="宋体" w:cs="Times New Roman"/>
                <w:color w:val="auto"/>
                <w:spacing w:val="1"/>
                <w:position w:val="-1"/>
                <w:sz w:val="24"/>
                <w:szCs w:val="24"/>
              </w:rPr>
              <w:t>）</w:t>
            </w:r>
          </w:p>
          <w:p w14:paraId="6ECF0C9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spacing w:val="-2"/>
                <w:sz w:val="24"/>
                <w:szCs w:val="24"/>
              </w:rPr>
              <w:t>式中：</w:t>
            </w:r>
            <w:r>
              <w:rPr>
                <w:rFonts w:hint="default" w:ascii="Times New Roman" w:hAnsi="Times New Roman" w:eastAsia="Times New Roman" w:cs="Times New Roman"/>
                <w:color w:val="auto"/>
                <w:spacing w:val="-2"/>
                <w:sz w:val="24"/>
                <w:szCs w:val="24"/>
              </w:rPr>
              <w:t>L</w:t>
            </w:r>
            <w:r>
              <w:rPr>
                <w:rFonts w:hint="default" w:ascii="Times New Roman" w:hAnsi="Times New Roman" w:eastAsia="Times New Roman" w:cs="Times New Roman"/>
                <w:color w:val="auto"/>
                <w:spacing w:val="-2"/>
                <w:position w:val="-1"/>
                <w:sz w:val="24"/>
                <w:szCs w:val="24"/>
                <w:vertAlign w:val="subscript"/>
              </w:rPr>
              <w:t>eq</w:t>
            </w:r>
            <w:r>
              <w:rPr>
                <w:rFonts w:hint="default" w:ascii="Times New Roman" w:hAnsi="Times New Roman" w:eastAsia="Times New Roman" w:cs="Times New Roman"/>
                <w:color w:val="auto"/>
                <w:spacing w:val="-2"/>
                <w:sz w:val="24"/>
                <w:szCs w:val="24"/>
              </w:rPr>
              <w:t>——</w:t>
            </w:r>
            <w:r>
              <w:rPr>
                <w:rFonts w:hint="default" w:ascii="Times New Roman" w:hAnsi="Times New Roman" w:eastAsia="宋体" w:cs="Times New Roman"/>
                <w:color w:val="auto"/>
                <w:kern w:val="0"/>
                <w:sz w:val="24"/>
                <w:szCs w:val="24"/>
                <w:lang w:val="en-US" w:eastAsia="zh-CN" w:bidi="ar"/>
              </w:rPr>
              <w:t>预测点的噪声预测值，dB；</w:t>
            </w:r>
          </w:p>
          <w:p w14:paraId="189BC970">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1180" w:firstLineChars="500"/>
              <w:textAlignment w:val="auto"/>
              <w:rPr>
                <w:rFonts w:hint="default" w:ascii="Times New Roman" w:hAnsi="Times New Roman" w:eastAsia="宋体" w:cs="Times New Roman"/>
                <w:color w:val="auto"/>
                <w:spacing w:val="-2"/>
                <w:sz w:val="24"/>
                <w:szCs w:val="24"/>
              </w:rPr>
            </w:pPr>
            <w:r>
              <w:rPr>
                <w:rFonts w:hint="default" w:ascii="Times New Roman" w:hAnsi="Times New Roman" w:eastAsia="Times New Roman" w:cs="Times New Roman"/>
                <w:color w:val="auto"/>
                <w:spacing w:val="-2"/>
                <w:sz w:val="24"/>
                <w:szCs w:val="24"/>
              </w:rPr>
              <w:t>L</w:t>
            </w:r>
            <w:r>
              <w:rPr>
                <w:rFonts w:hint="default" w:ascii="Times New Roman" w:hAnsi="Times New Roman" w:eastAsia="Times New Roman" w:cs="Times New Roman"/>
                <w:color w:val="auto"/>
                <w:spacing w:val="-2"/>
                <w:position w:val="-1"/>
                <w:sz w:val="24"/>
                <w:szCs w:val="24"/>
                <w:vertAlign w:val="subscript"/>
              </w:rPr>
              <w:t>eqg</w:t>
            </w:r>
            <w:r>
              <w:rPr>
                <w:rFonts w:hint="default" w:ascii="Times New Roman" w:hAnsi="Times New Roman" w:eastAsia="Times New Roman" w:cs="Times New Roman"/>
                <w:color w:val="auto"/>
                <w:spacing w:val="-2"/>
                <w:sz w:val="24"/>
                <w:szCs w:val="24"/>
              </w:rPr>
              <w:t>——</w:t>
            </w:r>
            <w:r>
              <w:rPr>
                <w:rFonts w:hint="default" w:ascii="Times New Roman" w:hAnsi="Times New Roman" w:eastAsia="宋体" w:cs="Times New Roman"/>
                <w:color w:val="auto"/>
                <w:spacing w:val="-2"/>
                <w:sz w:val="24"/>
                <w:szCs w:val="24"/>
              </w:rPr>
              <w:t>建设项目声源在预测点的等效声级贡献值，</w:t>
            </w:r>
            <w:r>
              <w:rPr>
                <w:rFonts w:hint="default" w:ascii="Times New Roman" w:hAnsi="Times New Roman" w:eastAsia="Times New Roman" w:cs="Times New Roman"/>
                <w:color w:val="auto"/>
                <w:spacing w:val="-2"/>
                <w:sz w:val="24"/>
                <w:szCs w:val="24"/>
              </w:rPr>
              <w:t>dB(A</w:t>
            </w:r>
            <w:r>
              <w:rPr>
                <w:rFonts w:hint="eastAsia"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rPr>
              <w:t>；</w:t>
            </w:r>
          </w:p>
          <w:p w14:paraId="1025F03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1180" w:firstLineChars="500"/>
              <w:jc w:val="left"/>
              <w:textAlignment w:val="auto"/>
              <w:rPr>
                <w:rFonts w:hint="default" w:ascii="Times New Roman" w:hAnsi="Times New Roman" w:cs="Times New Roman"/>
                <w:color w:val="auto"/>
                <w:sz w:val="24"/>
                <w:szCs w:val="24"/>
              </w:rPr>
            </w:pPr>
            <w:r>
              <w:rPr>
                <w:rFonts w:hint="default" w:ascii="Times New Roman" w:hAnsi="Times New Roman" w:eastAsia="Times New Roman" w:cs="Times New Roman"/>
                <w:color w:val="auto"/>
                <w:spacing w:val="-2"/>
                <w:sz w:val="24"/>
                <w:szCs w:val="24"/>
              </w:rPr>
              <w:t>L</w:t>
            </w:r>
            <w:r>
              <w:rPr>
                <w:rFonts w:hint="default" w:ascii="Times New Roman" w:hAnsi="Times New Roman" w:eastAsia="Times New Roman" w:cs="Times New Roman"/>
                <w:color w:val="auto"/>
                <w:spacing w:val="-2"/>
                <w:position w:val="-1"/>
                <w:sz w:val="24"/>
                <w:szCs w:val="24"/>
                <w:vertAlign w:val="subscript"/>
              </w:rPr>
              <w:t>eq</w:t>
            </w:r>
            <w:r>
              <w:rPr>
                <w:rFonts w:hint="default" w:ascii="Times New Roman" w:hAnsi="Times New Roman" w:eastAsia="宋体" w:cs="Times New Roman"/>
                <w:color w:val="auto"/>
                <w:spacing w:val="-2"/>
                <w:position w:val="-1"/>
                <w:sz w:val="24"/>
                <w:szCs w:val="24"/>
                <w:vertAlign w:val="subscript"/>
                <w:lang w:val="en-US" w:eastAsia="zh-CN"/>
              </w:rPr>
              <w:t>b</w:t>
            </w:r>
            <w:r>
              <w:rPr>
                <w:rFonts w:hint="default" w:ascii="Times New Roman" w:hAnsi="Times New Roman" w:eastAsia="Times New Roman" w:cs="Times New Roman"/>
                <w:color w:val="auto"/>
                <w:spacing w:val="-2"/>
                <w:sz w:val="24"/>
                <w:szCs w:val="24"/>
              </w:rPr>
              <w:t>——</w:t>
            </w:r>
            <w:r>
              <w:rPr>
                <w:rFonts w:hint="default" w:ascii="Times New Roman" w:hAnsi="Times New Roman" w:eastAsia="宋体" w:cs="Times New Roman"/>
                <w:color w:val="auto"/>
                <w:kern w:val="0"/>
                <w:sz w:val="24"/>
                <w:szCs w:val="24"/>
                <w:lang w:val="en-US" w:eastAsia="zh-CN" w:bidi="ar"/>
              </w:rPr>
              <w:t>预测点的背景噪声值，dB。</w:t>
            </w:r>
          </w:p>
          <w:p w14:paraId="3FF250E9">
            <w:pPr>
              <w:keepNext w:val="0"/>
              <w:keepLines w:val="0"/>
              <w:suppressLineNumbers w:val="0"/>
              <w:spacing w:before="0" w:beforeAutospacing="0" w:after="0" w:afterAutospacing="0" w:line="360" w:lineRule="auto"/>
              <w:ind w:left="0" w:right="0" w:firstLine="520" w:firstLineChars="200"/>
              <w:rPr>
                <w:rFonts w:hint="default" w:ascii="Times New Roman" w:hAnsi="Times New Roman" w:eastAsia="宋体" w:cs="Times New Roman"/>
                <w:color w:val="auto"/>
                <w:spacing w:val="0"/>
                <w:w w:val="100"/>
                <w:sz w:val="24"/>
                <w:szCs w:val="24"/>
                <w:lang w:eastAsia="zh-CN"/>
              </w:rPr>
            </w:pPr>
            <w:r>
              <w:rPr>
                <w:rFonts w:hint="eastAsia"/>
                <w:bCs/>
                <w:color w:val="auto"/>
                <w:spacing w:val="10"/>
                <w:sz w:val="24"/>
                <w:szCs w:val="24"/>
              </w:rPr>
              <w:t>运用上述计算模式，先将项目的各噪声源按照点声源随距离衰减公式计算各噪声源传到某一定点的声级，然后将其进行叠加即为该定点的噪声贡献值。该贡献值再叠加该定点噪声背景值后即为噪声预测值。</w:t>
            </w:r>
          </w:p>
          <w:p w14:paraId="6DE516E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4</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噪声预测结果</w:t>
            </w:r>
          </w:p>
          <w:p w14:paraId="7B367A2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lang w:val="en-US" w:eastAsia="zh-CN"/>
              </w:rPr>
            </w:pPr>
            <w:r>
              <w:rPr>
                <w:rFonts w:hint="default" w:ascii="Times New Roman" w:hAnsi="Times New Roman" w:eastAsia="宋体" w:cs="Times New Roman"/>
                <w:color w:val="auto"/>
                <w:spacing w:val="0"/>
                <w:w w:val="100"/>
                <w:sz w:val="24"/>
                <w:szCs w:val="24"/>
                <w:lang w:val="en-US" w:eastAsia="zh-CN"/>
              </w:rPr>
              <w:t>根据上述公式以及</w:t>
            </w:r>
            <w:r>
              <w:rPr>
                <w:rFonts w:hint="default" w:ascii="Times New Roman" w:hAnsi="Times New Roman" w:eastAsia="宋体" w:cs="Times New Roman"/>
                <w:color w:val="auto"/>
                <w:spacing w:val="0"/>
                <w:w w:val="100"/>
                <w:sz w:val="24"/>
                <w:lang w:val="en-US" w:eastAsia="zh-CN"/>
              </w:rPr>
              <w:t>本项目的平面布置进行预测计算，计算时噪声源强采用所有设备同时运作时的噪声源强叠加值。本次噪声预测厂界的贡献值，噪声预测值见表</w:t>
            </w:r>
            <w:r>
              <w:rPr>
                <w:rFonts w:hint="eastAsia" w:ascii="Times New Roman" w:hAnsi="Times New Roman" w:eastAsia="宋体" w:cs="Times New Roman"/>
                <w:color w:val="auto"/>
                <w:spacing w:val="0"/>
                <w:w w:val="100"/>
                <w:sz w:val="24"/>
                <w:lang w:val="en-US" w:eastAsia="zh-CN"/>
              </w:rPr>
              <w:t>4-13</w:t>
            </w:r>
            <w:r>
              <w:rPr>
                <w:rFonts w:hint="default" w:ascii="Times New Roman" w:hAnsi="Times New Roman" w:eastAsia="宋体" w:cs="Times New Roman"/>
                <w:color w:val="auto"/>
                <w:spacing w:val="0"/>
                <w:w w:val="100"/>
                <w:sz w:val="24"/>
                <w:lang w:val="en-US" w:eastAsia="zh-CN"/>
              </w:rPr>
              <w:t>。</w:t>
            </w:r>
          </w:p>
          <w:p w14:paraId="0EEE0017">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表</w:t>
            </w:r>
            <w:r>
              <w:rPr>
                <w:rFonts w:hint="eastAsia" w:ascii="Times New Roman" w:hAnsi="Times New Roman" w:eastAsia="宋体" w:cs="Times New Roman"/>
                <w:b w:val="0"/>
                <w:bCs w:val="0"/>
                <w:color w:val="auto"/>
                <w:spacing w:val="0"/>
                <w:w w:val="100"/>
                <w:sz w:val="21"/>
                <w:szCs w:val="21"/>
                <w:lang w:val="en-US" w:eastAsia="zh-CN"/>
              </w:rPr>
              <w:t>4-13</w:t>
            </w:r>
            <w:r>
              <w:rPr>
                <w:rFonts w:hint="default" w:ascii="Times New Roman" w:hAnsi="Times New Roman" w:eastAsia="宋体" w:cs="Times New Roman"/>
                <w:b w:val="0"/>
                <w:bCs w:val="0"/>
                <w:color w:val="auto"/>
                <w:spacing w:val="0"/>
                <w:w w:val="100"/>
                <w:sz w:val="21"/>
                <w:szCs w:val="21"/>
                <w:lang w:val="en-US" w:eastAsia="zh-CN"/>
              </w:rPr>
              <w:t xml:space="preserve">   噪声预测结果</w:t>
            </w:r>
          </w:p>
          <w:tbl>
            <w:tblPr>
              <w:tblStyle w:val="21"/>
              <w:tblW w:w="88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4"/>
              <w:gridCol w:w="2028"/>
              <w:gridCol w:w="1315"/>
              <w:gridCol w:w="1658"/>
              <w:gridCol w:w="1276"/>
              <w:gridCol w:w="1137"/>
            </w:tblGrid>
            <w:tr w14:paraId="6EE27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1404" w:type="dxa"/>
                  <w:vMerge w:val="restart"/>
                  <w:noWrap w:val="0"/>
                  <w:vAlign w:val="center"/>
                </w:tcPr>
                <w:p w14:paraId="1189979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序号</w:t>
                  </w:r>
                </w:p>
              </w:tc>
              <w:tc>
                <w:tcPr>
                  <w:tcW w:w="2028" w:type="dxa"/>
                  <w:vMerge w:val="restart"/>
                  <w:noWrap w:val="0"/>
                  <w:vAlign w:val="center"/>
                </w:tcPr>
                <w:p w14:paraId="1F69869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预测点位置</w:t>
                  </w:r>
                </w:p>
              </w:tc>
              <w:tc>
                <w:tcPr>
                  <w:tcW w:w="1315" w:type="dxa"/>
                  <w:vMerge w:val="restart"/>
                  <w:noWrap w:val="0"/>
                  <w:vAlign w:val="center"/>
                </w:tcPr>
                <w:p w14:paraId="510B660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贡献值</w:t>
                  </w:r>
                </w:p>
              </w:tc>
              <w:tc>
                <w:tcPr>
                  <w:tcW w:w="2934" w:type="dxa"/>
                  <w:gridSpan w:val="2"/>
                  <w:noWrap w:val="0"/>
                  <w:vAlign w:val="center"/>
                </w:tcPr>
                <w:p w14:paraId="064C44E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标准值</w:t>
                  </w:r>
                </w:p>
              </w:tc>
              <w:tc>
                <w:tcPr>
                  <w:tcW w:w="1137" w:type="dxa"/>
                  <w:vMerge w:val="restart"/>
                  <w:noWrap w:val="0"/>
                  <w:vAlign w:val="center"/>
                </w:tcPr>
                <w:p w14:paraId="4ACA63A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达标情况</w:t>
                  </w:r>
                </w:p>
              </w:tc>
            </w:tr>
            <w:tr w14:paraId="23A8C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404" w:type="dxa"/>
                  <w:vMerge w:val="continue"/>
                  <w:noWrap w:val="0"/>
                  <w:vAlign w:val="center"/>
                </w:tcPr>
                <w:p w14:paraId="06920A4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p>
              </w:tc>
              <w:tc>
                <w:tcPr>
                  <w:tcW w:w="2028" w:type="dxa"/>
                  <w:vMerge w:val="continue"/>
                  <w:noWrap w:val="0"/>
                  <w:vAlign w:val="center"/>
                </w:tcPr>
                <w:p w14:paraId="7FDC9A0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p>
              </w:tc>
              <w:tc>
                <w:tcPr>
                  <w:tcW w:w="1315" w:type="dxa"/>
                  <w:vMerge w:val="continue"/>
                  <w:noWrap w:val="0"/>
                  <w:vAlign w:val="center"/>
                </w:tcPr>
                <w:p w14:paraId="53AFC98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p>
              </w:tc>
              <w:tc>
                <w:tcPr>
                  <w:tcW w:w="1658" w:type="dxa"/>
                  <w:noWrap w:val="0"/>
                  <w:vAlign w:val="center"/>
                </w:tcPr>
                <w:p w14:paraId="753D9BC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eastAsia="zh-CN"/>
                    </w:rPr>
                  </w:pPr>
                  <w:r>
                    <w:rPr>
                      <w:rFonts w:hint="default" w:ascii="Times New Roman" w:hAnsi="Times New Roman" w:cs="Times New Roman"/>
                      <w:color w:val="auto"/>
                      <w:spacing w:val="0"/>
                      <w:w w:val="100"/>
                      <w:sz w:val="21"/>
                      <w:szCs w:val="21"/>
                    </w:rPr>
                    <w:t>昼</w:t>
                  </w:r>
                  <w:r>
                    <w:rPr>
                      <w:rFonts w:hint="default" w:ascii="Times New Roman" w:hAnsi="Times New Roman" w:cs="Times New Roman"/>
                      <w:color w:val="auto"/>
                      <w:spacing w:val="0"/>
                      <w:w w:val="100"/>
                      <w:sz w:val="21"/>
                      <w:szCs w:val="21"/>
                      <w:lang w:eastAsia="zh-CN"/>
                    </w:rPr>
                    <w:t>间</w:t>
                  </w:r>
                  <w:r>
                    <w:rPr>
                      <w:rFonts w:hint="default" w:ascii="Times New Roman" w:hAnsi="Times New Roman" w:eastAsia="宋体" w:cs="Times New Roman"/>
                      <w:color w:val="auto"/>
                      <w:sz w:val="21"/>
                      <w:szCs w:val="21"/>
                    </w:rPr>
                    <w:t>dB（A）</w:t>
                  </w:r>
                </w:p>
              </w:tc>
              <w:tc>
                <w:tcPr>
                  <w:tcW w:w="1276" w:type="dxa"/>
                  <w:noWrap w:val="0"/>
                  <w:vAlign w:val="center"/>
                </w:tcPr>
                <w:p w14:paraId="0D451956">
                  <w:pPr>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pacing w:val="0"/>
                      <w:w w:val="100"/>
                      <w:sz w:val="21"/>
                      <w:szCs w:val="21"/>
                    </w:rPr>
                  </w:pPr>
                  <w:r>
                    <w:rPr>
                      <w:rFonts w:hint="default" w:ascii="Times New Roman" w:hAnsi="Times New Roman" w:eastAsia="宋体" w:cs="Times New Roman"/>
                      <w:color w:val="auto"/>
                      <w:sz w:val="21"/>
                      <w:szCs w:val="21"/>
                      <w:lang w:val="en-US" w:eastAsia="zh-CN"/>
                    </w:rPr>
                    <w:t>夜间</w:t>
                  </w:r>
                  <w:r>
                    <w:rPr>
                      <w:rFonts w:hint="default" w:ascii="Times New Roman" w:hAnsi="Times New Roman" w:eastAsia="宋体" w:cs="Times New Roman"/>
                      <w:color w:val="auto"/>
                      <w:sz w:val="21"/>
                      <w:szCs w:val="21"/>
                    </w:rPr>
                    <w:t>dB（A）</w:t>
                  </w:r>
                </w:p>
              </w:tc>
              <w:tc>
                <w:tcPr>
                  <w:tcW w:w="1137" w:type="dxa"/>
                  <w:vMerge w:val="continue"/>
                  <w:noWrap w:val="0"/>
                  <w:vAlign w:val="center"/>
                </w:tcPr>
                <w:p w14:paraId="102563A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p>
              </w:tc>
            </w:tr>
            <w:tr w14:paraId="71085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1404" w:type="dxa"/>
                  <w:noWrap w:val="0"/>
                  <w:vAlign w:val="center"/>
                </w:tcPr>
                <w:p w14:paraId="2AD1A08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1#</w:t>
                  </w:r>
                </w:p>
              </w:tc>
              <w:tc>
                <w:tcPr>
                  <w:tcW w:w="2028" w:type="dxa"/>
                  <w:noWrap w:val="0"/>
                  <w:vAlign w:val="center"/>
                </w:tcPr>
                <w:p w14:paraId="4343E14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东厂界</w:t>
                  </w:r>
                </w:p>
              </w:tc>
              <w:tc>
                <w:tcPr>
                  <w:tcW w:w="1315" w:type="dxa"/>
                  <w:noWrap w:val="0"/>
                  <w:vAlign w:val="center"/>
                </w:tcPr>
                <w:p w14:paraId="126C1E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39</w:t>
                  </w:r>
                </w:p>
              </w:tc>
              <w:tc>
                <w:tcPr>
                  <w:tcW w:w="1658" w:type="dxa"/>
                  <w:noWrap w:val="0"/>
                  <w:vAlign w:val="center"/>
                </w:tcPr>
                <w:p w14:paraId="461C140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65</w:t>
                  </w:r>
                </w:p>
              </w:tc>
              <w:tc>
                <w:tcPr>
                  <w:tcW w:w="1276" w:type="dxa"/>
                  <w:noWrap w:val="0"/>
                  <w:vAlign w:val="center"/>
                </w:tcPr>
                <w:p w14:paraId="2ACC3266">
                  <w:pPr>
                    <w:keepNext w:val="0"/>
                    <w:keepLines w:val="0"/>
                    <w:widowControl/>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pacing w:val="0"/>
                      <w:w w:val="100"/>
                      <w:sz w:val="21"/>
                      <w:szCs w:val="21"/>
                      <w:lang w:val="en-US" w:eastAsia="zh-CN"/>
                    </w:rPr>
                  </w:pPr>
                  <w:r>
                    <w:rPr>
                      <w:rFonts w:hint="default" w:ascii="Times New Roman" w:hAnsi="Times New Roman" w:eastAsia="宋体" w:cs="Times New Roman"/>
                      <w:color w:val="auto"/>
                      <w:sz w:val="21"/>
                      <w:szCs w:val="21"/>
                      <w:lang w:val="en-US" w:eastAsia="zh-CN"/>
                    </w:rPr>
                    <w:t>55</w:t>
                  </w:r>
                </w:p>
              </w:tc>
              <w:tc>
                <w:tcPr>
                  <w:tcW w:w="1137" w:type="dxa"/>
                  <w:noWrap w:val="0"/>
                  <w:vAlign w:val="center"/>
                </w:tcPr>
                <w:p w14:paraId="683AB3A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达标</w:t>
                  </w:r>
                </w:p>
              </w:tc>
            </w:tr>
            <w:tr w14:paraId="693CF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1404" w:type="dxa"/>
                  <w:noWrap w:val="0"/>
                  <w:vAlign w:val="center"/>
                </w:tcPr>
                <w:p w14:paraId="18050C5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2#</w:t>
                  </w:r>
                </w:p>
              </w:tc>
              <w:tc>
                <w:tcPr>
                  <w:tcW w:w="2028" w:type="dxa"/>
                  <w:noWrap w:val="0"/>
                  <w:vAlign w:val="center"/>
                </w:tcPr>
                <w:p w14:paraId="61F368A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lang w:eastAsia="zh-CN"/>
                    </w:rPr>
                    <w:t>南</w:t>
                  </w:r>
                  <w:r>
                    <w:rPr>
                      <w:rFonts w:hint="default" w:ascii="Times New Roman" w:hAnsi="Times New Roman" w:cs="Times New Roman"/>
                      <w:color w:val="auto"/>
                      <w:spacing w:val="0"/>
                      <w:w w:val="100"/>
                      <w:sz w:val="21"/>
                      <w:szCs w:val="21"/>
                    </w:rPr>
                    <w:t>厂界</w:t>
                  </w:r>
                </w:p>
              </w:tc>
              <w:tc>
                <w:tcPr>
                  <w:tcW w:w="1315" w:type="dxa"/>
                  <w:noWrap w:val="0"/>
                  <w:vAlign w:val="center"/>
                </w:tcPr>
                <w:p w14:paraId="70F899B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36</w:t>
                  </w:r>
                </w:p>
              </w:tc>
              <w:tc>
                <w:tcPr>
                  <w:tcW w:w="1658" w:type="dxa"/>
                  <w:noWrap w:val="0"/>
                  <w:vAlign w:val="center"/>
                </w:tcPr>
                <w:p w14:paraId="117EAEB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eastAsia" w:ascii="Times New Roman" w:hAnsi="Times New Roman" w:cs="Times New Roman"/>
                      <w:color w:val="auto"/>
                      <w:spacing w:val="0"/>
                      <w:w w:val="100"/>
                      <w:sz w:val="21"/>
                      <w:szCs w:val="21"/>
                      <w:lang w:val="en-US" w:eastAsia="zh-CN"/>
                    </w:rPr>
                    <w:t>65</w:t>
                  </w:r>
                </w:p>
              </w:tc>
              <w:tc>
                <w:tcPr>
                  <w:tcW w:w="1276" w:type="dxa"/>
                  <w:noWrap w:val="0"/>
                  <w:vAlign w:val="center"/>
                </w:tcPr>
                <w:p w14:paraId="07E98C39">
                  <w:pPr>
                    <w:keepNext w:val="0"/>
                    <w:keepLines w:val="0"/>
                    <w:widowControl/>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pacing w:val="0"/>
                      <w:w w:val="100"/>
                      <w:sz w:val="21"/>
                      <w:szCs w:val="21"/>
                      <w:lang w:val="en-US" w:eastAsia="zh-CN"/>
                    </w:rPr>
                  </w:pPr>
                  <w:r>
                    <w:rPr>
                      <w:rFonts w:hint="default" w:ascii="Times New Roman" w:hAnsi="Times New Roman" w:eastAsia="宋体" w:cs="Times New Roman"/>
                      <w:color w:val="auto"/>
                      <w:sz w:val="21"/>
                      <w:szCs w:val="21"/>
                      <w:lang w:val="en-US" w:eastAsia="zh-CN"/>
                    </w:rPr>
                    <w:t>55</w:t>
                  </w:r>
                </w:p>
              </w:tc>
              <w:tc>
                <w:tcPr>
                  <w:tcW w:w="1137" w:type="dxa"/>
                  <w:noWrap w:val="0"/>
                  <w:vAlign w:val="center"/>
                </w:tcPr>
                <w:p w14:paraId="7D45260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达标</w:t>
                  </w:r>
                </w:p>
              </w:tc>
            </w:tr>
            <w:tr w14:paraId="47F7A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1404" w:type="dxa"/>
                  <w:noWrap w:val="0"/>
                  <w:vAlign w:val="center"/>
                </w:tcPr>
                <w:p w14:paraId="74AA221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3#</w:t>
                  </w:r>
                </w:p>
              </w:tc>
              <w:tc>
                <w:tcPr>
                  <w:tcW w:w="2028" w:type="dxa"/>
                  <w:noWrap w:val="0"/>
                  <w:vAlign w:val="center"/>
                </w:tcPr>
                <w:p w14:paraId="13D489D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lang w:eastAsia="zh-CN"/>
                    </w:rPr>
                    <w:t>西</w:t>
                  </w:r>
                  <w:r>
                    <w:rPr>
                      <w:rFonts w:hint="default" w:ascii="Times New Roman" w:hAnsi="Times New Roman" w:cs="Times New Roman"/>
                      <w:color w:val="auto"/>
                      <w:spacing w:val="0"/>
                      <w:w w:val="100"/>
                      <w:sz w:val="21"/>
                      <w:szCs w:val="21"/>
                    </w:rPr>
                    <w:t>厂界</w:t>
                  </w:r>
                </w:p>
              </w:tc>
              <w:tc>
                <w:tcPr>
                  <w:tcW w:w="1315" w:type="dxa"/>
                  <w:noWrap w:val="0"/>
                  <w:vAlign w:val="center"/>
                </w:tcPr>
                <w:p w14:paraId="14B1FE8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42</w:t>
                  </w:r>
                </w:p>
              </w:tc>
              <w:tc>
                <w:tcPr>
                  <w:tcW w:w="1658" w:type="dxa"/>
                  <w:noWrap w:val="0"/>
                  <w:vAlign w:val="center"/>
                </w:tcPr>
                <w:p w14:paraId="09D14FB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eastAsia" w:ascii="Times New Roman" w:hAnsi="Times New Roman" w:cs="Times New Roman"/>
                      <w:color w:val="auto"/>
                      <w:spacing w:val="0"/>
                      <w:w w:val="100"/>
                      <w:sz w:val="21"/>
                      <w:szCs w:val="21"/>
                      <w:lang w:val="en-US" w:eastAsia="zh-CN"/>
                    </w:rPr>
                    <w:t>65</w:t>
                  </w:r>
                </w:p>
              </w:tc>
              <w:tc>
                <w:tcPr>
                  <w:tcW w:w="1276" w:type="dxa"/>
                  <w:noWrap w:val="0"/>
                  <w:vAlign w:val="center"/>
                </w:tcPr>
                <w:p w14:paraId="4C59DDA1">
                  <w:pPr>
                    <w:keepNext w:val="0"/>
                    <w:keepLines w:val="0"/>
                    <w:widowControl/>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pacing w:val="0"/>
                      <w:w w:val="100"/>
                      <w:sz w:val="21"/>
                      <w:szCs w:val="21"/>
                      <w:lang w:val="en-US" w:eastAsia="zh-CN"/>
                    </w:rPr>
                  </w:pPr>
                  <w:r>
                    <w:rPr>
                      <w:rFonts w:hint="default" w:ascii="Times New Roman" w:hAnsi="Times New Roman" w:eastAsia="宋体" w:cs="Times New Roman"/>
                      <w:color w:val="auto"/>
                      <w:sz w:val="21"/>
                      <w:szCs w:val="21"/>
                      <w:lang w:val="en-US" w:eastAsia="zh-CN"/>
                    </w:rPr>
                    <w:t>55</w:t>
                  </w:r>
                </w:p>
              </w:tc>
              <w:tc>
                <w:tcPr>
                  <w:tcW w:w="1137" w:type="dxa"/>
                  <w:noWrap w:val="0"/>
                  <w:vAlign w:val="center"/>
                </w:tcPr>
                <w:p w14:paraId="33F6F62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达标</w:t>
                  </w:r>
                </w:p>
              </w:tc>
            </w:tr>
            <w:tr w14:paraId="787FB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1404" w:type="dxa"/>
                  <w:noWrap w:val="0"/>
                  <w:vAlign w:val="center"/>
                </w:tcPr>
                <w:p w14:paraId="4B6A784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4#</w:t>
                  </w:r>
                </w:p>
              </w:tc>
              <w:tc>
                <w:tcPr>
                  <w:tcW w:w="2028" w:type="dxa"/>
                  <w:noWrap w:val="0"/>
                  <w:vAlign w:val="center"/>
                </w:tcPr>
                <w:p w14:paraId="33B7F15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北厂界</w:t>
                  </w:r>
                </w:p>
              </w:tc>
              <w:tc>
                <w:tcPr>
                  <w:tcW w:w="1315" w:type="dxa"/>
                  <w:noWrap w:val="0"/>
                  <w:vAlign w:val="center"/>
                </w:tcPr>
                <w:p w14:paraId="3293FE4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46</w:t>
                  </w:r>
                </w:p>
              </w:tc>
              <w:tc>
                <w:tcPr>
                  <w:tcW w:w="1658" w:type="dxa"/>
                  <w:noWrap w:val="0"/>
                  <w:vAlign w:val="center"/>
                </w:tcPr>
                <w:p w14:paraId="7BD37AB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lang w:val="en-US"/>
                    </w:rPr>
                  </w:pPr>
                  <w:r>
                    <w:rPr>
                      <w:rFonts w:hint="eastAsia" w:ascii="Times New Roman" w:hAnsi="Times New Roman" w:cs="Times New Roman"/>
                      <w:color w:val="auto"/>
                      <w:spacing w:val="0"/>
                      <w:w w:val="100"/>
                      <w:sz w:val="21"/>
                      <w:szCs w:val="21"/>
                      <w:lang w:val="en-US" w:eastAsia="zh-CN"/>
                    </w:rPr>
                    <w:t>65</w:t>
                  </w:r>
                </w:p>
              </w:tc>
              <w:tc>
                <w:tcPr>
                  <w:tcW w:w="1276" w:type="dxa"/>
                  <w:noWrap w:val="0"/>
                  <w:vAlign w:val="center"/>
                </w:tcPr>
                <w:p w14:paraId="68BAD912">
                  <w:pPr>
                    <w:keepNext w:val="0"/>
                    <w:keepLines w:val="0"/>
                    <w:widowControl/>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pacing w:val="0"/>
                      <w:w w:val="100"/>
                      <w:sz w:val="21"/>
                      <w:szCs w:val="21"/>
                      <w:lang w:val="en-US" w:eastAsia="zh-CN"/>
                    </w:rPr>
                  </w:pPr>
                  <w:r>
                    <w:rPr>
                      <w:rFonts w:hint="default" w:ascii="Times New Roman" w:hAnsi="Times New Roman" w:eastAsia="宋体" w:cs="Times New Roman"/>
                      <w:color w:val="auto"/>
                      <w:sz w:val="21"/>
                      <w:szCs w:val="21"/>
                      <w:lang w:val="en-US" w:eastAsia="zh-CN"/>
                    </w:rPr>
                    <w:t>55</w:t>
                  </w:r>
                </w:p>
              </w:tc>
              <w:tc>
                <w:tcPr>
                  <w:tcW w:w="1137" w:type="dxa"/>
                  <w:noWrap w:val="0"/>
                  <w:vAlign w:val="center"/>
                </w:tcPr>
                <w:p w14:paraId="1D538C2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达标</w:t>
                  </w:r>
                </w:p>
              </w:tc>
            </w:tr>
          </w:tbl>
          <w:p w14:paraId="3D14DBA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由上表预测结果可知，本项目</w:t>
            </w:r>
            <w:r>
              <w:rPr>
                <w:rFonts w:hint="default" w:ascii="Times New Roman" w:hAnsi="Times New Roman" w:eastAsia="宋体" w:cs="Times New Roman"/>
                <w:color w:val="auto"/>
                <w:spacing w:val="0"/>
                <w:w w:val="100"/>
                <w:sz w:val="24"/>
                <w:szCs w:val="24"/>
                <w:lang w:eastAsia="zh-CN"/>
              </w:rPr>
              <w:t>建成后</w:t>
            </w:r>
            <w:r>
              <w:rPr>
                <w:rFonts w:hint="default" w:ascii="Times New Roman" w:hAnsi="Times New Roman" w:eastAsia="宋体" w:cs="Times New Roman"/>
                <w:color w:val="auto"/>
                <w:spacing w:val="0"/>
                <w:w w:val="100"/>
                <w:sz w:val="24"/>
                <w:szCs w:val="24"/>
              </w:rPr>
              <w:t>，厂界噪声</w:t>
            </w:r>
            <w:r>
              <w:rPr>
                <w:rFonts w:hint="default" w:ascii="Times New Roman" w:hAnsi="Times New Roman" w:eastAsia="宋体" w:cs="Times New Roman"/>
                <w:color w:val="auto"/>
                <w:spacing w:val="0"/>
                <w:w w:val="100"/>
                <w:sz w:val="24"/>
                <w:szCs w:val="24"/>
                <w:lang w:eastAsia="zh-CN"/>
              </w:rPr>
              <w:t>贡献值</w:t>
            </w:r>
            <w:r>
              <w:rPr>
                <w:rFonts w:hint="default" w:ascii="Times New Roman" w:hAnsi="Times New Roman" w:eastAsia="宋体" w:cs="Times New Roman"/>
                <w:color w:val="auto"/>
                <w:spacing w:val="0"/>
                <w:w w:val="100"/>
                <w:sz w:val="24"/>
                <w:szCs w:val="24"/>
              </w:rPr>
              <w:t>符合《工业企业厂界环境噪声排放标准》（GB12348-2008）中</w:t>
            </w:r>
            <w:r>
              <w:rPr>
                <w:rFonts w:hint="eastAsia" w:ascii="Times New Roman" w:hAnsi="Times New Roman" w:eastAsia="宋体" w:cs="Times New Roman"/>
                <w:color w:val="auto"/>
                <w:spacing w:val="0"/>
                <w:w w:val="100"/>
                <w:sz w:val="24"/>
                <w:szCs w:val="24"/>
                <w:lang w:val="en-US" w:eastAsia="zh-CN"/>
              </w:rPr>
              <w:t>3</w:t>
            </w:r>
            <w:r>
              <w:rPr>
                <w:rFonts w:hint="default" w:ascii="Times New Roman" w:hAnsi="Times New Roman" w:eastAsia="宋体" w:cs="Times New Roman"/>
                <w:color w:val="auto"/>
                <w:spacing w:val="0"/>
                <w:w w:val="100"/>
                <w:sz w:val="24"/>
                <w:szCs w:val="24"/>
              </w:rPr>
              <w:t>类标准。</w:t>
            </w:r>
          </w:p>
          <w:p w14:paraId="3701789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为确保项目运营过程噪声对项目区域声环境影响降至最低，评价要求企业必须做好降低噪声的措施，主要措施有：</w:t>
            </w:r>
          </w:p>
          <w:p w14:paraId="6A43F069">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①水泵均设置在泵房内，泵房采用240</w:t>
            </w:r>
            <w:r>
              <w:rPr>
                <w:rFonts w:hint="default" w:ascii="Times New Roman" w:hAnsi="Times New Roman" w:cs="Times New Roman"/>
                <w:color w:val="auto"/>
                <w:spacing w:val="0"/>
                <w:w w:val="100"/>
                <w:sz w:val="24"/>
                <w:highlight w:val="none"/>
                <w:lang w:val="en-US" w:eastAsia="zh-CN"/>
              </w:rPr>
              <w:t>mm</w:t>
            </w:r>
            <w:r>
              <w:rPr>
                <w:rFonts w:hint="default" w:ascii="Times New Roman" w:hAnsi="Times New Roman" w:cs="Times New Roman"/>
                <w:color w:val="auto"/>
                <w:spacing w:val="0"/>
                <w:w w:val="100"/>
                <w:sz w:val="24"/>
                <w:lang w:val="en-US" w:eastAsia="zh-CN"/>
              </w:rPr>
              <w:t>的</w:t>
            </w:r>
            <w:r>
              <w:rPr>
                <w:rFonts w:hint="default" w:ascii="Times New Roman" w:hAnsi="Times New Roman" w:cs="Times New Roman"/>
                <w:color w:val="auto"/>
                <w:spacing w:val="0"/>
                <w:w w:val="100"/>
                <w:sz w:val="24"/>
                <w:highlight w:val="none"/>
                <w:lang w:val="en-US" w:eastAsia="zh-CN"/>
              </w:rPr>
              <w:t>粘土</w:t>
            </w:r>
            <w:r>
              <w:rPr>
                <w:rFonts w:hint="default" w:ascii="Times New Roman" w:hAnsi="Times New Roman" w:cs="Times New Roman"/>
                <w:color w:val="auto"/>
                <w:spacing w:val="0"/>
                <w:w w:val="100"/>
                <w:sz w:val="24"/>
                <w:lang w:val="en-US" w:eastAsia="zh-CN"/>
              </w:rPr>
              <w:t>砖墙，屋顶采用混凝土结构，厚度为200</w:t>
            </w:r>
            <w:r>
              <w:rPr>
                <w:rFonts w:hint="default" w:ascii="Times New Roman" w:hAnsi="Times New Roman" w:cs="Times New Roman"/>
                <w:color w:val="auto"/>
                <w:spacing w:val="0"/>
                <w:w w:val="100"/>
                <w:sz w:val="24"/>
                <w:highlight w:val="none"/>
                <w:lang w:val="en-US" w:eastAsia="zh-CN"/>
              </w:rPr>
              <w:t>mm</w:t>
            </w:r>
            <w:r>
              <w:rPr>
                <w:rFonts w:hint="default" w:ascii="Times New Roman" w:hAnsi="Times New Roman" w:cs="Times New Roman"/>
                <w:color w:val="auto"/>
                <w:spacing w:val="0"/>
                <w:w w:val="100"/>
                <w:sz w:val="24"/>
                <w:lang w:val="en-US" w:eastAsia="zh-CN"/>
              </w:rPr>
              <w:t>。一般而言，200</w:t>
            </w:r>
            <w:r>
              <w:rPr>
                <w:rFonts w:hint="default" w:ascii="Times New Roman" w:hAnsi="Times New Roman" w:cs="Times New Roman"/>
                <w:color w:val="auto"/>
                <w:spacing w:val="0"/>
                <w:w w:val="100"/>
                <w:sz w:val="24"/>
                <w:highlight w:val="none"/>
                <w:lang w:val="en-US" w:eastAsia="zh-CN"/>
              </w:rPr>
              <w:t>mm</w:t>
            </w:r>
            <w:r>
              <w:rPr>
                <w:rFonts w:hint="default" w:ascii="Times New Roman" w:hAnsi="Times New Roman" w:cs="Times New Roman"/>
                <w:color w:val="auto"/>
                <w:spacing w:val="0"/>
                <w:w w:val="100"/>
                <w:sz w:val="24"/>
                <w:lang w:val="en-US" w:eastAsia="zh-CN"/>
              </w:rPr>
              <w:t>以上厚度的现浇实心钢筋混凝土墙的隔声量与240</w:t>
            </w:r>
            <w:r>
              <w:rPr>
                <w:rFonts w:hint="default" w:ascii="Times New Roman" w:hAnsi="Times New Roman" w:cs="Times New Roman"/>
                <w:color w:val="auto"/>
                <w:spacing w:val="0"/>
                <w:w w:val="100"/>
                <w:sz w:val="24"/>
                <w:highlight w:val="none"/>
                <w:lang w:val="en-US" w:eastAsia="zh-CN"/>
              </w:rPr>
              <w:t>mm粘土</w:t>
            </w:r>
            <w:r>
              <w:rPr>
                <w:rFonts w:hint="default" w:ascii="Times New Roman" w:hAnsi="Times New Roman" w:cs="Times New Roman"/>
                <w:color w:val="auto"/>
                <w:spacing w:val="0"/>
                <w:w w:val="100"/>
                <w:sz w:val="24"/>
                <w:lang w:val="en-US" w:eastAsia="zh-CN"/>
              </w:rPr>
              <w:t>砖墙的隔声量接近，240</w:t>
            </w:r>
            <w:r>
              <w:rPr>
                <w:rFonts w:hint="default" w:ascii="Times New Roman" w:hAnsi="Times New Roman" w:cs="Times New Roman"/>
                <w:color w:val="auto"/>
                <w:spacing w:val="0"/>
                <w:w w:val="100"/>
                <w:sz w:val="24"/>
                <w:highlight w:val="none"/>
                <w:lang w:val="en-US" w:eastAsia="zh-CN"/>
              </w:rPr>
              <w:t>mm粘土</w:t>
            </w:r>
            <w:r>
              <w:rPr>
                <w:rFonts w:hint="default" w:ascii="Times New Roman" w:hAnsi="Times New Roman" w:cs="Times New Roman"/>
                <w:color w:val="auto"/>
                <w:spacing w:val="0"/>
                <w:w w:val="100"/>
                <w:sz w:val="24"/>
                <w:lang w:val="en-US" w:eastAsia="zh-CN"/>
              </w:rPr>
              <w:t>砖墙的隔声量约在50dB（A）。</w:t>
            </w:r>
          </w:p>
          <w:p w14:paraId="24EC78C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②根据设备振动特性采用钢筋混凝土台座或隔振垫、减振器等；</w:t>
            </w:r>
          </w:p>
          <w:p w14:paraId="42520CFB">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③设备用房四周安装吸声材料并对设备设置减振装置；应重点对水泵设备基座采用橡胶隔振垫或阻尼弹簧隔振器等进行独立基础隔振、减振处理，此外对水泵与连接管道和套管之间应填充隔振材料，采用减振喉减振，管道采用减振吊挂和减振支架，穿墙管道安装隔振垫等。</w:t>
            </w:r>
          </w:p>
          <w:p w14:paraId="3F59403D">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④设备用房附近建设绿化隔离带，隔声降噪；</w:t>
            </w:r>
          </w:p>
          <w:p w14:paraId="794B234B">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⑤水泵放置于吊层水池里；</w:t>
            </w:r>
          </w:p>
          <w:p w14:paraId="6379E16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⑥针对空调外机采取在风机进出风口安装阻抗复合式消声器，机组底部安装刚性锥形弹簧橡胶垫等措施。</w:t>
            </w:r>
          </w:p>
          <w:p w14:paraId="768789A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⑦设备用房门窗采用隔声门窗；</w:t>
            </w:r>
          </w:p>
          <w:p w14:paraId="184BA02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⑧选用低噪声设备；</w:t>
            </w:r>
          </w:p>
          <w:p w14:paraId="2956C2F1">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⑨保持车辆出入通畅，避免汽车阻塞，进出项目的车辆不得随意鸣笛</w:t>
            </w:r>
            <w:r>
              <w:rPr>
                <w:rFonts w:hint="eastAsia" w:ascii="Times New Roman" w:hAnsi="Times New Roman" w:cs="Times New Roman"/>
                <w:color w:val="auto"/>
                <w:spacing w:val="0"/>
                <w:w w:val="100"/>
                <w:sz w:val="24"/>
                <w:lang w:val="en-US" w:eastAsia="zh-CN"/>
              </w:rPr>
              <w:t>。</w:t>
            </w:r>
          </w:p>
          <w:p w14:paraId="61E52B8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综上所述，</w:t>
            </w:r>
            <w:r>
              <w:rPr>
                <w:rFonts w:hint="default" w:ascii="Times New Roman" w:hAnsi="Times New Roman" w:cs="Times New Roman"/>
                <w:color w:val="auto"/>
                <w:spacing w:val="0"/>
                <w:w w:val="100"/>
                <w:sz w:val="24"/>
                <w:szCs w:val="24"/>
                <w:lang w:eastAsia="zh-CN"/>
              </w:rPr>
              <w:t>本项目周围</w:t>
            </w:r>
            <w:r>
              <w:rPr>
                <w:rFonts w:hint="default" w:ascii="Times New Roman" w:hAnsi="Times New Roman" w:cs="Times New Roman"/>
                <w:color w:val="auto"/>
                <w:spacing w:val="0"/>
                <w:w w:val="100"/>
                <w:sz w:val="24"/>
                <w:szCs w:val="24"/>
                <w:lang w:val="en-US" w:eastAsia="zh-CN"/>
              </w:rPr>
              <w:t>50米范围内无敏感点，</w:t>
            </w:r>
            <w:r>
              <w:rPr>
                <w:rFonts w:hint="default" w:ascii="Times New Roman" w:hAnsi="Times New Roman" w:cs="Times New Roman"/>
                <w:color w:val="auto"/>
                <w:spacing w:val="0"/>
                <w:w w:val="100"/>
                <w:sz w:val="24"/>
                <w:szCs w:val="24"/>
              </w:rPr>
              <w:t>只要落实并严格执行相应噪声防治措施，则项目</w:t>
            </w:r>
            <w:r>
              <w:rPr>
                <w:rFonts w:hint="default" w:ascii="Times New Roman" w:hAnsi="Times New Roman" w:cs="Times New Roman"/>
                <w:color w:val="auto"/>
                <w:spacing w:val="0"/>
                <w:w w:val="100"/>
                <w:sz w:val="24"/>
                <w:szCs w:val="24"/>
                <w:lang w:eastAsia="zh-CN"/>
              </w:rPr>
              <w:t>噪声对周边影响较小。</w:t>
            </w:r>
          </w:p>
          <w:p w14:paraId="5B12A9CA">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kern w:val="0"/>
                <w:sz w:val="24"/>
                <w:szCs w:val="24"/>
                <w:lang w:eastAsia="zh-CN"/>
              </w:rPr>
            </w:pPr>
            <w:r>
              <w:rPr>
                <w:rFonts w:hint="default" w:ascii="Times New Roman" w:hAnsi="Times New Roman" w:eastAsia="宋体" w:cs="Times New Roman"/>
                <w:color w:val="auto"/>
                <w:spacing w:val="0"/>
                <w:w w:val="100"/>
                <w:kern w:val="0"/>
                <w:sz w:val="24"/>
                <w:szCs w:val="24"/>
                <w:lang w:eastAsia="zh-CN"/>
              </w:rPr>
              <w:t>（</w:t>
            </w:r>
            <w:r>
              <w:rPr>
                <w:rFonts w:hint="eastAsia" w:ascii="Times New Roman" w:hAnsi="Times New Roman" w:eastAsia="宋体" w:cs="Times New Roman"/>
                <w:color w:val="auto"/>
                <w:spacing w:val="0"/>
                <w:w w:val="100"/>
                <w:kern w:val="0"/>
                <w:sz w:val="24"/>
                <w:szCs w:val="24"/>
                <w:lang w:val="en-US" w:eastAsia="zh-CN"/>
              </w:rPr>
              <w:t>5</w:t>
            </w:r>
            <w:r>
              <w:rPr>
                <w:rFonts w:hint="default" w:ascii="Times New Roman" w:hAnsi="Times New Roman" w:eastAsia="宋体" w:cs="Times New Roman"/>
                <w:color w:val="auto"/>
                <w:spacing w:val="0"/>
                <w:w w:val="100"/>
                <w:kern w:val="0"/>
                <w:sz w:val="24"/>
                <w:szCs w:val="24"/>
                <w:lang w:eastAsia="zh-CN"/>
              </w:rPr>
              <w:t>）自行监测要求</w:t>
            </w:r>
          </w:p>
          <w:p w14:paraId="3E9ADD86">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4"/>
                <w:szCs w:val="22"/>
                <w:lang w:eastAsia="zh-CN"/>
              </w:rPr>
              <w:t>按照《排污单位自行监测技术指南 总则》</w:t>
            </w:r>
            <w:r>
              <w:rPr>
                <w:rFonts w:hint="eastAsia" w:ascii="Times New Roman" w:hAnsi="Times New Roman" w:eastAsia="宋体" w:cs="Times New Roman"/>
                <w:color w:val="auto"/>
                <w:spacing w:val="0"/>
                <w:w w:val="100"/>
                <w:sz w:val="24"/>
                <w:szCs w:val="22"/>
                <w:lang w:eastAsia="zh-CN"/>
              </w:rPr>
              <w:t>（</w:t>
            </w:r>
            <w:r>
              <w:rPr>
                <w:rFonts w:hint="default" w:ascii="Times New Roman" w:hAnsi="Times New Roman" w:eastAsia="宋体" w:cs="Times New Roman"/>
                <w:color w:val="auto"/>
                <w:spacing w:val="0"/>
                <w:w w:val="100"/>
                <w:sz w:val="24"/>
                <w:szCs w:val="22"/>
                <w:lang w:eastAsia="zh-CN"/>
              </w:rPr>
              <w:t>HJ 819-2017），具体内容列表如下：</w:t>
            </w:r>
          </w:p>
          <w:p w14:paraId="7DDBA6D8">
            <w:pPr>
              <w:keepNext w:val="0"/>
              <w:keepLines w:val="0"/>
              <w:suppressLineNumbers w:val="0"/>
              <w:tabs>
                <w:tab w:val="center" w:pos="4778"/>
                <w:tab w:val="left" w:pos="7068"/>
              </w:tabs>
              <w:spacing w:before="0" w:beforeAutospacing="0" w:after="0" w:afterAutospacing="0"/>
              <w:ind w:left="0" w:right="0" w:firstLine="420" w:firstLineChars="20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lang w:val="en-US" w:eastAsia="zh-CN"/>
              </w:rPr>
              <w:t>表</w:t>
            </w:r>
            <w:r>
              <w:rPr>
                <w:rFonts w:hint="eastAsia" w:ascii="Times New Roman" w:hAnsi="Times New Roman" w:eastAsia="宋体" w:cs="Times New Roman"/>
                <w:color w:val="auto"/>
                <w:spacing w:val="0"/>
                <w:w w:val="100"/>
                <w:sz w:val="21"/>
                <w:szCs w:val="21"/>
                <w:lang w:val="en-US" w:eastAsia="zh-CN"/>
              </w:rPr>
              <w:t xml:space="preserve">4-14 </w:t>
            </w:r>
            <w:r>
              <w:rPr>
                <w:rFonts w:hint="default" w:ascii="Times New Roman" w:hAnsi="Times New Roman" w:eastAsia="宋体" w:cs="Times New Roman"/>
                <w:color w:val="auto"/>
                <w:spacing w:val="0"/>
                <w:w w:val="100"/>
                <w:sz w:val="21"/>
                <w:szCs w:val="21"/>
                <w:lang w:val="en-US" w:eastAsia="zh-CN"/>
              </w:rPr>
              <w:t xml:space="preserve">  项目</w:t>
            </w:r>
            <w:r>
              <w:rPr>
                <w:rFonts w:hint="eastAsia" w:ascii="Times New Roman" w:hAnsi="Times New Roman" w:eastAsia="宋体" w:cs="Times New Roman"/>
                <w:color w:val="auto"/>
                <w:spacing w:val="0"/>
                <w:w w:val="100"/>
                <w:sz w:val="21"/>
                <w:szCs w:val="21"/>
                <w:lang w:val="en-US" w:eastAsia="zh-CN"/>
              </w:rPr>
              <w:t>噪声</w:t>
            </w:r>
            <w:r>
              <w:rPr>
                <w:rFonts w:hint="default" w:ascii="Times New Roman" w:hAnsi="Times New Roman" w:eastAsia="宋体" w:cs="Times New Roman"/>
                <w:color w:val="auto"/>
                <w:spacing w:val="0"/>
                <w:w w:val="100"/>
                <w:sz w:val="21"/>
                <w:szCs w:val="21"/>
                <w:lang w:val="en-US" w:eastAsia="zh-CN"/>
              </w:rPr>
              <w:t>监测计划表</w:t>
            </w:r>
          </w:p>
          <w:tbl>
            <w:tblPr>
              <w:tblStyle w:val="21"/>
              <w:tblW w:w="89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8"/>
              <w:gridCol w:w="1336"/>
              <w:gridCol w:w="1289"/>
              <w:gridCol w:w="1317"/>
              <w:gridCol w:w="1214"/>
              <w:gridCol w:w="2913"/>
            </w:tblGrid>
            <w:tr w14:paraId="200AD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505" w:type="pct"/>
                  <w:noWrap w:val="0"/>
                  <w:vAlign w:val="center"/>
                </w:tcPr>
                <w:p w14:paraId="64303821">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zh-CN"/>
                    </w:rPr>
                  </w:pPr>
                  <w:r>
                    <w:rPr>
                      <w:rFonts w:hint="default" w:ascii="Times New Roman" w:hAnsi="Times New Roman" w:eastAsia="宋体" w:cs="Times New Roman"/>
                      <w:b w:val="0"/>
                      <w:bCs/>
                      <w:color w:val="auto"/>
                      <w:spacing w:val="0"/>
                      <w:w w:val="100"/>
                      <w:sz w:val="21"/>
                      <w:szCs w:val="21"/>
                      <w:lang w:val="zh-CN"/>
                    </w:rPr>
                    <w:t>类型</w:t>
                  </w:r>
                </w:p>
              </w:tc>
              <w:tc>
                <w:tcPr>
                  <w:tcW w:w="744" w:type="pct"/>
                  <w:noWrap w:val="0"/>
                  <w:vAlign w:val="center"/>
                </w:tcPr>
                <w:p w14:paraId="7DD695C5">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zh-CN"/>
                    </w:rPr>
                  </w:pPr>
                  <w:r>
                    <w:rPr>
                      <w:rFonts w:hint="default" w:ascii="Times New Roman" w:hAnsi="Times New Roman" w:eastAsia="宋体" w:cs="Times New Roman"/>
                      <w:b w:val="0"/>
                      <w:bCs/>
                      <w:color w:val="auto"/>
                      <w:spacing w:val="0"/>
                      <w:w w:val="100"/>
                      <w:sz w:val="21"/>
                      <w:szCs w:val="21"/>
                      <w:lang w:val="zh-CN"/>
                    </w:rPr>
                    <w:t>污染源</w:t>
                  </w:r>
                </w:p>
              </w:tc>
              <w:tc>
                <w:tcPr>
                  <w:tcW w:w="717" w:type="pct"/>
                  <w:noWrap w:val="0"/>
                  <w:vAlign w:val="center"/>
                </w:tcPr>
                <w:p w14:paraId="7D147622">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zh-CN"/>
                    </w:rPr>
                  </w:pPr>
                  <w:r>
                    <w:rPr>
                      <w:rFonts w:hint="default" w:ascii="Times New Roman" w:hAnsi="Times New Roman" w:eastAsia="宋体" w:cs="Times New Roman"/>
                      <w:b w:val="0"/>
                      <w:bCs/>
                      <w:color w:val="auto"/>
                      <w:spacing w:val="0"/>
                      <w:w w:val="100"/>
                      <w:sz w:val="21"/>
                      <w:szCs w:val="21"/>
                      <w:lang w:val="zh-CN"/>
                    </w:rPr>
                    <w:t>监测因子</w:t>
                  </w:r>
                </w:p>
              </w:tc>
              <w:tc>
                <w:tcPr>
                  <w:tcW w:w="733" w:type="pct"/>
                  <w:noWrap w:val="0"/>
                  <w:vAlign w:val="center"/>
                </w:tcPr>
                <w:p w14:paraId="2D981B2D">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zh-CN"/>
                    </w:rPr>
                  </w:pPr>
                  <w:r>
                    <w:rPr>
                      <w:rFonts w:hint="default" w:ascii="Times New Roman" w:hAnsi="Times New Roman" w:eastAsia="宋体" w:cs="Times New Roman"/>
                      <w:b w:val="0"/>
                      <w:bCs/>
                      <w:color w:val="auto"/>
                      <w:spacing w:val="0"/>
                      <w:w w:val="100"/>
                      <w:sz w:val="21"/>
                      <w:szCs w:val="21"/>
                      <w:lang w:val="zh-CN"/>
                    </w:rPr>
                    <w:t>监测点位</w:t>
                  </w:r>
                </w:p>
              </w:tc>
              <w:tc>
                <w:tcPr>
                  <w:tcW w:w="676" w:type="pct"/>
                  <w:noWrap w:val="0"/>
                  <w:vAlign w:val="center"/>
                </w:tcPr>
                <w:p w14:paraId="1A21F747">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zh-CN"/>
                    </w:rPr>
                  </w:pPr>
                  <w:r>
                    <w:rPr>
                      <w:rFonts w:hint="default" w:ascii="Times New Roman" w:hAnsi="Times New Roman" w:eastAsia="宋体" w:cs="Times New Roman"/>
                      <w:b w:val="0"/>
                      <w:bCs/>
                      <w:color w:val="auto"/>
                      <w:spacing w:val="0"/>
                      <w:w w:val="100"/>
                      <w:sz w:val="21"/>
                      <w:szCs w:val="21"/>
                      <w:lang w:val="zh-CN"/>
                    </w:rPr>
                    <w:t>监测频次</w:t>
                  </w:r>
                </w:p>
              </w:tc>
              <w:tc>
                <w:tcPr>
                  <w:tcW w:w="1622" w:type="pct"/>
                  <w:noWrap w:val="0"/>
                  <w:vAlign w:val="center"/>
                </w:tcPr>
                <w:p w14:paraId="0DC3FF2C">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zh-CN"/>
                    </w:rPr>
                  </w:pPr>
                  <w:r>
                    <w:rPr>
                      <w:rFonts w:hint="default" w:ascii="Times New Roman" w:hAnsi="Times New Roman" w:eastAsia="宋体" w:cs="Times New Roman"/>
                      <w:b w:val="0"/>
                      <w:bCs/>
                      <w:color w:val="auto"/>
                      <w:spacing w:val="0"/>
                      <w:w w:val="100"/>
                      <w:sz w:val="21"/>
                      <w:szCs w:val="21"/>
                      <w:lang w:val="zh-CN"/>
                    </w:rPr>
                    <w:t>执行标准</w:t>
                  </w:r>
                </w:p>
              </w:tc>
            </w:tr>
            <w:tr w14:paraId="23012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505" w:type="pct"/>
                  <w:noWrap w:val="0"/>
                  <w:vAlign w:val="center"/>
                </w:tcPr>
                <w:p w14:paraId="4BE94D2D">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zh-CN"/>
                    </w:rPr>
                  </w:pPr>
                  <w:r>
                    <w:rPr>
                      <w:rFonts w:hint="default" w:ascii="Times New Roman" w:hAnsi="Times New Roman" w:eastAsia="宋体" w:cs="Times New Roman"/>
                      <w:b w:val="0"/>
                      <w:bCs/>
                      <w:color w:val="auto"/>
                      <w:spacing w:val="0"/>
                      <w:w w:val="100"/>
                      <w:sz w:val="21"/>
                      <w:szCs w:val="21"/>
                      <w:lang w:val="zh-CN"/>
                    </w:rPr>
                    <w:t>声环境</w:t>
                  </w:r>
                </w:p>
              </w:tc>
              <w:tc>
                <w:tcPr>
                  <w:tcW w:w="744" w:type="pct"/>
                  <w:noWrap w:val="0"/>
                  <w:vAlign w:val="center"/>
                </w:tcPr>
                <w:p w14:paraId="433DB3F4">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zh-CN"/>
                    </w:rPr>
                  </w:pPr>
                  <w:r>
                    <w:rPr>
                      <w:rFonts w:hint="default" w:ascii="Times New Roman" w:hAnsi="Times New Roman" w:eastAsia="宋体" w:cs="Times New Roman"/>
                      <w:b w:val="0"/>
                      <w:bCs/>
                      <w:color w:val="auto"/>
                      <w:spacing w:val="0"/>
                      <w:w w:val="100"/>
                      <w:sz w:val="21"/>
                      <w:szCs w:val="21"/>
                      <w:lang w:val="zh-CN"/>
                    </w:rPr>
                    <w:t>各</w:t>
                  </w:r>
                  <w:r>
                    <w:rPr>
                      <w:rFonts w:hint="eastAsia" w:ascii="Times New Roman" w:hAnsi="Times New Roman" w:eastAsia="宋体" w:cs="Times New Roman"/>
                      <w:b w:val="0"/>
                      <w:bCs/>
                      <w:color w:val="auto"/>
                      <w:spacing w:val="0"/>
                      <w:w w:val="100"/>
                      <w:sz w:val="21"/>
                      <w:szCs w:val="21"/>
                      <w:lang w:val="zh-CN"/>
                    </w:rPr>
                    <w:t>泵类及风机等</w:t>
                  </w:r>
                </w:p>
              </w:tc>
              <w:tc>
                <w:tcPr>
                  <w:tcW w:w="717" w:type="pct"/>
                  <w:noWrap w:val="0"/>
                  <w:vAlign w:val="center"/>
                </w:tcPr>
                <w:p w14:paraId="7F63F137">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lang w:val="zh-CN"/>
                    </w:rPr>
                    <w:t>等效连续A声级</w:t>
                  </w:r>
                </w:p>
              </w:tc>
              <w:tc>
                <w:tcPr>
                  <w:tcW w:w="733" w:type="pct"/>
                  <w:noWrap w:val="0"/>
                  <w:vAlign w:val="center"/>
                </w:tcPr>
                <w:p w14:paraId="3FCC47DF">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zh-CN"/>
                    </w:rPr>
                  </w:pPr>
                  <w:r>
                    <w:rPr>
                      <w:rFonts w:hint="default" w:ascii="Times New Roman" w:hAnsi="Times New Roman" w:eastAsia="宋体" w:cs="Times New Roman"/>
                      <w:b w:val="0"/>
                      <w:bCs/>
                      <w:color w:val="auto"/>
                      <w:spacing w:val="0"/>
                      <w:w w:val="100"/>
                      <w:sz w:val="21"/>
                      <w:szCs w:val="21"/>
                      <w:lang w:val="zh-CN"/>
                    </w:rPr>
                    <w:t>厂界四周</w:t>
                  </w:r>
                </w:p>
              </w:tc>
              <w:tc>
                <w:tcPr>
                  <w:tcW w:w="676" w:type="pct"/>
                  <w:noWrap w:val="0"/>
                  <w:vAlign w:val="center"/>
                </w:tcPr>
                <w:p w14:paraId="4D8B7E5F">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1</w:t>
                  </w:r>
                  <w:r>
                    <w:rPr>
                      <w:rFonts w:hint="default" w:ascii="Times New Roman" w:hAnsi="Times New Roman" w:eastAsia="宋体" w:cs="Times New Roman"/>
                      <w:b w:val="0"/>
                      <w:bCs/>
                      <w:color w:val="auto"/>
                      <w:spacing w:val="0"/>
                      <w:w w:val="100"/>
                      <w:sz w:val="21"/>
                      <w:szCs w:val="21"/>
                    </w:rPr>
                    <w:t>次</w:t>
                  </w:r>
                  <w:r>
                    <w:rPr>
                      <w:rFonts w:hint="default" w:ascii="Times New Roman" w:hAnsi="Times New Roman" w:eastAsia="宋体" w:cs="Times New Roman"/>
                      <w:b w:val="0"/>
                      <w:bCs/>
                      <w:color w:val="auto"/>
                      <w:spacing w:val="0"/>
                      <w:w w:val="100"/>
                      <w:sz w:val="21"/>
                      <w:szCs w:val="21"/>
                      <w:lang w:val="en-US" w:eastAsia="zh-CN"/>
                    </w:rPr>
                    <w:t>/</w:t>
                  </w:r>
                  <w:r>
                    <w:rPr>
                      <w:rFonts w:hint="default" w:ascii="Times New Roman" w:hAnsi="Times New Roman" w:eastAsia="宋体" w:cs="Times New Roman"/>
                      <w:b w:val="0"/>
                      <w:bCs/>
                      <w:color w:val="auto"/>
                      <w:spacing w:val="0"/>
                      <w:w w:val="100"/>
                      <w:sz w:val="21"/>
                      <w:szCs w:val="21"/>
                    </w:rPr>
                    <w:t>季度</w:t>
                  </w:r>
                </w:p>
              </w:tc>
              <w:tc>
                <w:tcPr>
                  <w:tcW w:w="1622" w:type="pct"/>
                  <w:noWrap w:val="0"/>
                  <w:vAlign w:val="center"/>
                </w:tcPr>
                <w:p w14:paraId="1FD560C6">
                  <w:pPr>
                    <w:keepNext w:val="0"/>
                    <w:keepLines w:val="0"/>
                    <w:suppressLineNumbers w:val="0"/>
                    <w:autoSpaceDE w:val="0"/>
                    <w:autoSpaceDN w:val="0"/>
                    <w:adjustRightInd w:val="0"/>
                    <w:spacing w:before="0" w:beforeAutospacing="0" w:after="0" w:afterAutospacing="0" w:line="280" w:lineRule="exact"/>
                    <w:ind w:left="0" w:right="0"/>
                    <w:jc w:val="center"/>
                    <w:rPr>
                      <w:rFonts w:hint="default" w:ascii="Times New Roman" w:hAnsi="Times New Roman" w:eastAsia="宋体" w:cs="Times New Roman"/>
                      <w:b w:val="0"/>
                      <w:bCs/>
                      <w:color w:val="auto"/>
                      <w:spacing w:val="0"/>
                      <w:w w:val="100"/>
                      <w:sz w:val="21"/>
                      <w:szCs w:val="21"/>
                      <w:lang w:val="zh-CN"/>
                    </w:rPr>
                  </w:pPr>
                  <w:r>
                    <w:rPr>
                      <w:rFonts w:hint="default" w:ascii="Times New Roman" w:hAnsi="Times New Roman" w:eastAsia="宋体" w:cs="Times New Roman"/>
                      <w:b w:val="0"/>
                      <w:bCs/>
                      <w:color w:val="auto"/>
                      <w:spacing w:val="0"/>
                      <w:w w:val="100"/>
                      <w:sz w:val="21"/>
                      <w:szCs w:val="21"/>
                    </w:rPr>
                    <w:t>厂界噪声满足GB12348-2008《工业企业厂界环境噪声排放标准》中的</w:t>
                  </w:r>
                  <w:r>
                    <w:rPr>
                      <w:rFonts w:hint="eastAsia" w:ascii="Times New Roman" w:hAnsi="Times New Roman" w:eastAsia="宋体" w:cs="Times New Roman"/>
                      <w:b w:val="0"/>
                      <w:bCs/>
                      <w:color w:val="auto"/>
                      <w:spacing w:val="0"/>
                      <w:w w:val="100"/>
                      <w:sz w:val="21"/>
                      <w:szCs w:val="21"/>
                      <w:lang w:val="en-US" w:eastAsia="zh-CN"/>
                    </w:rPr>
                    <w:t>3</w:t>
                  </w:r>
                  <w:r>
                    <w:rPr>
                      <w:rFonts w:hint="default" w:ascii="Times New Roman" w:hAnsi="Times New Roman" w:eastAsia="宋体" w:cs="Times New Roman"/>
                      <w:b w:val="0"/>
                      <w:bCs/>
                      <w:color w:val="auto"/>
                      <w:spacing w:val="0"/>
                      <w:w w:val="100"/>
                      <w:sz w:val="21"/>
                      <w:szCs w:val="21"/>
                    </w:rPr>
                    <w:t>类标准</w:t>
                  </w:r>
                </w:p>
              </w:tc>
            </w:tr>
          </w:tbl>
          <w:p w14:paraId="7E7453E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eastAsia="宋体" w:cs="Times New Roman"/>
                <w:color w:val="auto"/>
                <w:spacing w:val="0"/>
                <w:w w:val="100"/>
                <w:kern w:val="0"/>
                <w:sz w:val="24"/>
                <w:szCs w:val="24"/>
              </w:rPr>
              <w:t>4、固体废物</w:t>
            </w:r>
          </w:p>
          <w:p w14:paraId="6CA476FB">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本项目</w:t>
            </w:r>
            <w:r>
              <w:rPr>
                <w:rFonts w:hint="default" w:ascii="Times New Roman" w:hAnsi="Times New Roman" w:cs="Times New Roman"/>
                <w:color w:val="auto"/>
                <w:spacing w:val="0"/>
                <w:w w:val="100"/>
                <w:position w:val="0"/>
                <w:sz w:val="24"/>
                <w:szCs w:val="24"/>
              </w:rPr>
              <w:t>产生的固体废物主要来自四个方面：一是格栅的拦截物，通过物理和机械手段，从污水中分离出来的固体废弃物，主要是塑料，木块等</w:t>
            </w:r>
            <w:r>
              <w:rPr>
                <w:rFonts w:hint="eastAsia" w:ascii="Times New Roman" w:hAnsi="Times New Roman" w:cs="Times New Roman"/>
                <w:color w:val="auto"/>
                <w:spacing w:val="0"/>
                <w:w w:val="100"/>
                <w:position w:val="0"/>
                <w:sz w:val="24"/>
                <w:szCs w:val="24"/>
                <w:lang w:eastAsia="zh-CN"/>
              </w:rPr>
              <w:t>漂浮</w:t>
            </w:r>
            <w:r>
              <w:rPr>
                <w:rFonts w:hint="default" w:ascii="Times New Roman" w:hAnsi="Times New Roman" w:cs="Times New Roman"/>
                <w:color w:val="auto"/>
                <w:spacing w:val="0"/>
                <w:w w:val="100"/>
                <w:position w:val="0"/>
                <w:sz w:val="24"/>
                <w:szCs w:val="24"/>
              </w:rPr>
              <w:t>物质</w:t>
            </w:r>
            <w:r>
              <w:rPr>
                <w:rFonts w:hint="default" w:ascii="Times New Roman" w:hAnsi="Times New Roman" w:cs="Times New Roman"/>
                <w:color w:val="auto"/>
                <w:spacing w:val="0"/>
                <w:w w:val="100"/>
                <w:position w:val="0"/>
                <w:sz w:val="24"/>
                <w:szCs w:val="24"/>
                <w:lang w:eastAsia="zh-CN"/>
              </w:rPr>
              <w:t>以及沉砂池产生沉砂</w:t>
            </w:r>
            <w:r>
              <w:rPr>
                <w:rFonts w:hint="default" w:ascii="Times New Roman" w:hAnsi="Times New Roman" w:cs="Times New Roman"/>
                <w:color w:val="auto"/>
                <w:spacing w:val="0"/>
                <w:w w:val="100"/>
                <w:position w:val="0"/>
                <w:sz w:val="24"/>
                <w:szCs w:val="24"/>
              </w:rPr>
              <w:t>；二是生物污泥，是污水处理的产物</w:t>
            </w:r>
            <w:r>
              <w:rPr>
                <w:rFonts w:hint="default" w:ascii="Times New Roman" w:hAnsi="Times New Roman" w:cs="Times New Roman"/>
                <w:color w:val="auto"/>
                <w:spacing w:val="0"/>
                <w:w w:val="100"/>
                <w:position w:val="0"/>
                <w:sz w:val="24"/>
                <w:szCs w:val="24"/>
                <w:lang w:eastAsia="zh-CN"/>
              </w:rPr>
              <w:t>；三是员工</w:t>
            </w:r>
            <w:r>
              <w:rPr>
                <w:rFonts w:hint="default" w:ascii="Times New Roman" w:hAnsi="Times New Roman" w:cs="Times New Roman"/>
                <w:bCs/>
                <w:color w:val="auto"/>
                <w:spacing w:val="0"/>
                <w:w w:val="100"/>
                <w:sz w:val="24"/>
                <w:szCs w:val="24"/>
              </w:rPr>
              <w:t>生活垃圾</w:t>
            </w:r>
            <w:r>
              <w:rPr>
                <w:rFonts w:hint="default" w:ascii="Times New Roman" w:hAnsi="Times New Roman" w:cs="Times New Roman"/>
                <w:bCs/>
                <w:color w:val="auto"/>
                <w:spacing w:val="0"/>
                <w:w w:val="100"/>
                <w:sz w:val="24"/>
                <w:szCs w:val="24"/>
                <w:lang w:eastAsia="zh-CN"/>
              </w:rPr>
              <w:t>；</w:t>
            </w:r>
            <w:r>
              <w:rPr>
                <w:rFonts w:hint="default" w:ascii="Times New Roman" w:hAnsi="Times New Roman" w:cs="Times New Roman"/>
                <w:color w:val="auto"/>
                <w:spacing w:val="0"/>
                <w:w w:val="100"/>
                <w:position w:val="0"/>
                <w:sz w:val="24"/>
                <w:szCs w:val="24"/>
                <w:lang w:eastAsia="zh-CN"/>
              </w:rPr>
              <w:t>四</w:t>
            </w:r>
            <w:r>
              <w:rPr>
                <w:rFonts w:hint="default" w:ascii="Times New Roman" w:hAnsi="Times New Roman" w:cs="Times New Roman"/>
                <w:color w:val="auto"/>
                <w:spacing w:val="0"/>
                <w:w w:val="100"/>
                <w:position w:val="0"/>
                <w:sz w:val="24"/>
                <w:szCs w:val="24"/>
              </w:rPr>
              <w:t>是</w:t>
            </w:r>
            <w:r>
              <w:rPr>
                <w:rFonts w:hint="default" w:ascii="Times New Roman" w:hAnsi="Times New Roman" w:cs="Times New Roman"/>
                <w:color w:val="auto"/>
                <w:spacing w:val="0"/>
                <w:w w:val="100"/>
                <w:position w:val="0"/>
                <w:sz w:val="24"/>
                <w:szCs w:val="24"/>
                <w:lang w:eastAsia="zh-CN"/>
              </w:rPr>
              <w:t>危险废物</w:t>
            </w:r>
            <w:r>
              <w:rPr>
                <w:rFonts w:hint="default" w:ascii="Times New Roman" w:hAnsi="Times New Roman" w:cs="Times New Roman"/>
                <w:color w:val="auto"/>
                <w:spacing w:val="0"/>
                <w:w w:val="100"/>
                <w:position w:val="0"/>
                <w:sz w:val="24"/>
                <w:szCs w:val="24"/>
              </w:rPr>
              <w:t>，主要</w:t>
            </w:r>
            <w:r>
              <w:rPr>
                <w:rFonts w:hint="default" w:ascii="Times New Roman" w:hAnsi="Times New Roman" w:cs="Times New Roman"/>
                <w:color w:val="auto"/>
                <w:spacing w:val="0"/>
                <w:w w:val="100"/>
                <w:position w:val="0"/>
                <w:sz w:val="24"/>
                <w:szCs w:val="24"/>
                <w:lang w:eastAsia="zh-CN"/>
              </w:rPr>
              <w:t>在线设备产生的废试剂。</w:t>
            </w:r>
          </w:p>
          <w:p w14:paraId="4CD469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pacing w:val="0"/>
                <w:w w:val="100"/>
                <w:kern w:val="0"/>
                <w:sz w:val="24"/>
                <w:szCs w:val="24"/>
              </w:rPr>
            </w:pP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1</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kern w:val="0"/>
                <w:sz w:val="24"/>
                <w:szCs w:val="24"/>
              </w:rPr>
              <w:t>生活垃圾</w:t>
            </w:r>
          </w:p>
          <w:p w14:paraId="41352938">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eastAsia="zh-CN"/>
              </w:rPr>
              <w:t>本项目</w:t>
            </w:r>
            <w:r>
              <w:rPr>
                <w:rFonts w:hint="default" w:ascii="Times New Roman" w:hAnsi="Times New Roman" w:eastAsia="宋体" w:cs="Times New Roman"/>
                <w:bCs/>
                <w:color w:val="auto"/>
                <w:spacing w:val="0"/>
                <w:w w:val="100"/>
                <w:sz w:val="24"/>
                <w:szCs w:val="24"/>
              </w:rPr>
              <w:t>劳动定员</w:t>
            </w:r>
            <w:r>
              <w:rPr>
                <w:rFonts w:hint="eastAsia" w:ascii="Times New Roman" w:hAnsi="Times New Roman" w:eastAsia="宋体" w:cs="Times New Roman"/>
                <w:bCs/>
                <w:color w:val="auto"/>
                <w:spacing w:val="0"/>
                <w:w w:val="100"/>
                <w:sz w:val="24"/>
                <w:szCs w:val="24"/>
                <w:lang w:val="en-US" w:eastAsia="zh-CN"/>
              </w:rPr>
              <w:t>7</w:t>
            </w:r>
            <w:r>
              <w:rPr>
                <w:rFonts w:hint="default" w:ascii="Times New Roman" w:hAnsi="Times New Roman" w:eastAsia="宋体" w:cs="Times New Roman"/>
                <w:bCs/>
                <w:color w:val="auto"/>
                <w:spacing w:val="0"/>
                <w:w w:val="100"/>
                <w:sz w:val="24"/>
                <w:szCs w:val="24"/>
              </w:rPr>
              <w:t>人</w:t>
            </w:r>
            <w:r>
              <w:rPr>
                <w:rFonts w:hint="default" w:ascii="Times New Roman" w:hAnsi="Times New Roman" w:eastAsia="宋体" w:cs="Times New Roman"/>
                <w:bCs/>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生活垃圾主要</w:t>
            </w:r>
            <w:r>
              <w:rPr>
                <w:rFonts w:hint="default" w:ascii="Times New Roman" w:hAnsi="Times New Roman" w:eastAsia="宋体" w:cs="Times New Roman"/>
                <w:color w:val="auto"/>
                <w:spacing w:val="0"/>
                <w:w w:val="100"/>
                <w:sz w:val="24"/>
                <w:szCs w:val="24"/>
                <w:lang w:eastAsia="zh-CN"/>
              </w:rPr>
              <w:t>为</w:t>
            </w:r>
            <w:r>
              <w:rPr>
                <w:rFonts w:hint="default" w:ascii="Times New Roman" w:hAnsi="Times New Roman" w:eastAsia="宋体" w:cs="Times New Roman"/>
                <w:color w:val="auto"/>
                <w:spacing w:val="0"/>
                <w:w w:val="100"/>
                <w:sz w:val="24"/>
                <w:szCs w:val="24"/>
              </w:rPr>
              <w:t>厂区职工办公生活产生的垃圾产生量按0.44kg/人·d，</w:t>
            </w:r>
            <w:r>
              <w:rPr>
                <w:rFonts w:hint="default" w:ascii="Times New Roman" w:hAnsi="Times New Roman" w:eastAsia="宋体" w:cs="Times New Roman"/>
                <w:bCs/>
                <w:color w:val="auto"/>
                <w:spacing w:val="0"/>
                <w:w w:val="100"/>
                <w:sz w:val="24"/>
                <w:szCs w:val="24"/>
              </w:rPr>
              <w:t>年工作日</w:t>
            </w:r>
            <w:r>
              <w:rPr>
                <w:rFonts w:hint="default" w:ascii="Times New Roman" w:hAnsi="Times New Roman" w:eastAsia="宋体" w:cs="Times New Roman"/>
                <w:bCs/>
                <w:color w:val="auto"/>
                <w:spacing w:val="0"/>
                <w:w w:val="100"/>
                <w:sz w:val="24"/>
                <w:szCs w:val="24"/>
                <w:lang w:val="en-US" w:eastAsia="zh-CN"/>
              </w:rPr>
              <w:t>365</w:t>
            </w:r>
            <w:r>
              <w:rPr>
                <w:rFonts w:hint="default" w:ascii="Times New Roman" w:hAnsi="Times New Roman" w:eastAsia="宋体" w:cs="Times New Roman"/>
                <w:bCs/>
                <w:color w:val="auto"/>
                <w:spacing w:val="0"/>
                <w:w w:val="100"/>
                <w:sz w:val="24"/>
                <w:szCs w:val="24"/>
              </w:rPr>
              <w:t>天，</w:t>
            </w:r>
            <w:r>
              <w:rPr>
                <w:rFonts w:hint="default" w:ascii="Times New Roman" w:hAnsi="Times New Roman" w:eastAsia="宋体" w:cs="Times New Roman"/>
                <w:color w:val="auto"/>
                <w:spacing w:val="0"/>
                <w:w w:val="100"/>
                <w:sz w:val="24"/>
                <w:szCs w:val="24"/>
              </w:rPr>
              <w:t>则</w:t>
            </w:r>
            <w:r>
              <w:rPr>
                <w:rFonts w:hint="default" w:ascii="Times New Roman" w:hAnsi="Times New Roman" w:eastAsia="宋体" w:cs="Times New Roman"/>
                <w:color w:val="auto"/>
                <w:spacing w:val="0"/>
                <w:w w:val="100"/>
                <w:sz w:val="24"/>
                <w:szCs w:val="24"/>
                <w:lang w:eastAsia="zh-CN"/>
              </w:rPr>
              <w:t>项目</w:t>
            </w:r>
            <w:r>
              <w:rPr>
                <w:rFonts w:hint="default" w:ascii="Times New Roman" w:hAnsi="Times New Roman" w:eastAsia="宋体" w:cs="Times New Roman"/>
                <w:color w:val="auto"/>
                <w:spacing w:val="0"/>
                <w:w w:val="100"/>
                <w:sz w:val="24"/>
                <w:szCs w:val="24"/>
              </w:rPr>
              <w:t>生活垃圾产生量为</w:t>
            </w:r>
            <w:r>
              <w:rPr>
                <w:rFonts w:hint="eastAsia" w:ascii="Times New Roman" w:hAnsi="Times New Roman" w:eastAsia="宋体" w:cs="Times New Roman"/>
                <w:color w:val="auto"/>
                <w:spacing w:val="0"/>
                <w:w w:val="100"/>
                <w:sz w:val="24"/>
                <w:szCs w:val="24"/>
                <w:lang w:val="en-US" w:eastAsia="zh-CN"/>
              </w:rPr>
              <w:t>1.124</w:t>
            </w:r>
            <w:r>
              <w:rPr>
                <w:rFonts w:hint="default" w:ascii="Times New Roman" w:hAnsi="Times New Roman" w:eastAsia="宋体" w:cs="Times New Roman"/>
                <w:color w:val="auto"/>
                <w:spacing w:val="0"/>
                <w:w w:val="100"/>
                <w:sz w:val="24"/>
                <w:szCs w:val="24"/>
              </w:rPr>
              <w:t>t/a</w:t>
            </w:r>
            <w:r>
              <w:rPr>
                <w:rFonts w:hint="default" w:ascii="Times New Roman" w:hAnsi="Times New Roman" w:eastAsia="宋体" w:cs="Times New Roman"/>
                <w:color w:val="auto"/>
                <w:spacing w:val="0"/>
                <w:w w:val="100"/>
                <w:sz w:val="24"/>
                <w:szCs w:val="24"/>
                <w:lang w:eastAsia="zh-CN"/>
              </w:rPr>
              <w:t>，收集后交由环卫部门处理</w:t>
            </w:r>
            <w:r>
              <w:rPr>
                <w:rFonts w:hint="default" w:ascii="Times New Roman" w:hAnsi="Times New Roman" w:eastAsia="宋体" w:cs="Times New Roman"/>
                <w:color w:val="auto"/>
                <w:spacing w:val="0"/>
                <w:w w:val="100"/>
                <w:sz w:val="24"/>
                <w:szCs w:val="24"/>
              </w:rPr>
              <w:t>。</w:t>
            </w:r>
          </w:p>
          <w:p w14:paraId="0052E0EE">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szCs w:val="24"/>
                <w:lang w:eastAsia="zh-CN"/>
              </w:rPr>
            </w:pPr>
            <w:r>
              <w:rPr>
                <w:rFonts w:hint="default" w:ascii="Times New Roman" w:hAnsi="Times New Roman" w:cs="Times New Roman"/>
                <w:color w:val="auto"/>
                <w:spacing w:val="0"/>
                <w:w w:val="100"/>
                <w:position w:val="0"/>
                <w:sz w:val="24"/>
                <w:szCs w:val="24"/>
                <w:lang w:eastAsia="zh-CN"/>
              </w:rPr>
              <w:t>（</w:t>
            </w:r>
            <w:r>
              <w:rPr>
                <w:rFonts w:hint="default" w:ascii="Times New Roman" w:hAnsi="Times New Roman" w:cs="Times New Roman"/>
                <w:color w:val="auto"/>
                <w:spacing w:val="0"/>
                <w:w w:val="100"/>
                <w:position w:val="0"/>
                <w:sz w:val="24"/>
                <w:szCs w:val="24"/>
                <w:lang w:val="en-US" w:eastAsia="zh-CN"/>
              </w:rPr>
              <w:t>2</w:t>
            </w:r>
            <w:r>
              <w:rPr>
                <w:rFonts w:hint="default" w:ascii="Times New Roman" w:hAnsi="Times New Roman" w:cs="Times New Roman"/>
                <w:color w:val="auto"/>
                <w:spacing w:val="0"/>
                <w:w w:val="100"/>
                <w:position w:val="0"/>
                <w:sz w:val="24"/>
                <w:szCs w:val="24"/>
                <w:lang w:eastAsia="zh-CN"/>
              </w:rPr>
              <w:t>）</w:t>
            </w:r>
            <w:r>
              <w:rPr>
                <w:rFonts w:hint="default" w:ascii="Times New Roman" w:hAnsi="Times New Roman" w:cs="Times New Roman"/>
                <w:color w:val="auto"/>
                <w:spacing w:val="0"/>
                <w:w w:val="100"/>
                <w:sz w:val="24"/>
                <w:szCs w:val="24"/>
                <w:lang w:eastAsia="zh-CN"/>
              </w:rPr>
              <w:t>格</w:t>
            </w:r>
            <w:r>
              <w:rPr>
                <w:rFonts w:hint="eastAsia" w:ascii="Times New Roman" w:hAnsi="Times New Roman" w:cs="Times New Roman"/>
                <w:color w:val="auto"/>
                <w:spacing w:val="0"/>
                <w:w w:val="100"/>
                <w:sz w:val="24"/>
                <w:szCs w:val="24"/>
                <w:lang w:eastAsia="zh-CN"/>
              </w:rPr>
              <w:t>栅</w:t>
            </w:r>
            <w:r>
              <w:rPr>
                <w:rFonts w:hint="default" w:ascii="Times New Roman" w:hAnsi="Times New Roman" w:cs="Times New Roman"/>
                <w:color w:val="auto"/>
                <w:spacing w:val="0"/>
                <w:w w:val="100"/>
                <w:sz w:val="24"/>
                <w:szCs w:val="24"/>
                <w:lang w:eastAsia="zh-CN"/>
              </w:rPr>
              <w:t>渣及沉砂池沉</w:t>
            </w:r>
            <w:r>
              <w:rPr>
                <w:rFonts w:hint="eastAsia" w:ascii="Times New Roman" w:hAnsi="Times New Roman" w:cs="Times New Roman"/>
                <w:color w:val="auto"/>
                <w:spacing w:val="0"/>
                <w:w w:val="100"/>
                <w:sz w:val="24"/>
                <w:szCs w:val="24"/>
                <w:lang w:eastAsia="zh-CN"/>
              </w:rPr>
              <w:t>砂</w:t>
            </w:r>
          </w:p>
          <w:p w14:paraId="78F9E72C">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sz w:val="24"/>
                <w:szCs w:val="24"/>
                <w:lang w:eastAsia="zh-CN"/>
              </w:rPr>
            </w:pPr>
            <w:r>
              <w:rPr>
                <w:rFonts w:hint="default" w:ascii="Times New Roman" w:hAnsi="Times New Roman" w:cs="Times New Roman"/>
                <w:color w:val="auto"/>
                <w:spacing w:val="0"/>
                <w:w w:val="100"/>
                <w:sz w:val="24"/>
                <w:szCs w:val="24"/>
                <w:lang w:eastAsia="zh-CN"/>
              </w:rPr>
              <w:t>在污水预处理阶段，由粗格栅井和细格栅井分离出一定的栅渣，主要是较大块状物、枝状物、软性物质和软塑料等粗、细垃圾和悬浮或漂浮状态的杂物。本项目粗格栅间距</w:t>
            </w:r>
            <w:r>
              <w:rPr>
                <w:rFonts w:hint="default" w:ascii="Times New Roman" w:hAnsi="Times New Roman" w:cs="Times New Roman"/>
                <w:color w:val="auto"/>
                <w:spacing w:val="0"/>
                <w:w w:val="100"/>
                <w:sz w:val="24"/>
                <w:szCs w:val="24"/>
                <w:lang w:val="en-US" w:eastAsia="zh-CN"/>
              </w:rPr>
              <w:t>1</w:t>
            </w:r>
            <w:r>
              <w:rPr>
                <w:rFonts w:hint="default" w:ascii="Times New Roman" w:hAnsi="Times New Roman" w:cs="Times New Roman"/>
                <w:color w:val="auto"/>
                <w:spacing w:val="0"/>
                <w:w w:val="100"/>
                <w:sz w:val="24"/>
                <w:szCs w:val="24"/>
                <w:lang w:eastAsia="zh-CN"/>
              </w:rPr>
              <w:t>0mm，再加上细格栅作用，栅渣</w:t>
            </w:r>
            <w:r>
              <w:rPr>
                <w:rFonts w:hint="default" w:ascii="Times New Roman" w:hAnsi="Times New Roman" w:cs="Times New Roman"/>
                <w:color w:val="auto"/>
                <w:spacing w:val="0"/>
                <w:w w:val="100"/>
                <w:position w:val="0"/>
                <w:sz w:val="24"/>
                <w:szCs w:val="24"/>
                <w:lang w:eastAsia="zh-CN"/>
              </w:rPr>
              <w:t>产生量</w:t>
            </w:r>
            <w:r>
              <w:rPr>
                <w:rFonts w:hint="default" w:ascii="Times New Roman" w:hAnsi="Times New Roman" w:cs="Times New Roman"/>
                <w:color w:val="auto"/>
                <w:spacing w:val="0"/>
                <w:w w:val="100"/>
                <w:sz w:val="24"/>
                <w:szCs w:val="24"/>
                <w:lang w:eastAsia="zh-CN"/>
              </w:rPr>
              <w:t>约为0.1m</w:t>
            </w:r>
            <w:r>
              <w:rPr>
                <w:rFonts w:hint="default" w:ascii="Times New Roman" w:hAnsi="Times New Roman" w:cs="Times New Roman"/>
                <w:color w:val="auto"/>
                <w:spacing w:val="0"/>
                <w:w w:val="100"/>
                <w:sz w:val="24"/>
                <w:szCs w:val="24"/>
                <w:vertAlign w:val="superscript"/>
                <w:lang w:eastAsia="zh-CN"/>
              </w:rPr>
              <w:t>3</w:t>
            </w:r>
            <w:r>
              <w:rPr>
                <w:rFonts w:hint="default" w:ascii="Times New Roman" w:hAnsi="Times New Roman" w:cs="Times New Roman"/>
                <w:color w:val="auto"/>
                <w:spacing w:val="0"/>
                <w:w w:val="100"/>
                <w:sz w:val="24"/>
                <w:szCs w:val="24"/>
                <w:lang w:eastAsia="zh-CN"/>
              </w:rPr>
              <w:t>/1000m</w:t>
            </w:r>
            <w:r>
              <w:rPr>
                <w:rFonts w:hint="default" w:ascii="Times New Roman" w:hAnsi="Times New Roman" w:cs="Times New Roman"/>
                <w:color w:val="auto"/>
                <w:spacing w:val="0"/>
                <w:w w:val="100"/>
                <w:sz w:val="24"/>
                <w:szCs w:val="24"/>
                <w:vertAlign w:val="superscript"/>
                <w:lang w:eastAsia="zh-CN"/>
              </w:rPr>
              <w:t>3</w:t>
            </w:r>
            <w:r>
              <w:rPr>
                <w:rFonts w:hint="default" w:ascii="Times New Roman" w:hAnsi="Times New Roman" w:cs="Times New Roman"/>
                <w:color w:val="auto"/>
                <w:spacing w:val="0"/>
                <w:w w:val="100"/>
                <w:sz w:val="24"/>
                <w:szCs w:val="24"/>
                <w:lang w:eastAsia="zh-CN"/>
              </w:rPr>
              <w:t>，含水量80%，容重960kg/m</w:t>
            </w:r>
            <w:r>
              <w:rPr>
                <w:rFonts w:hint="default" w:ascii="Times New Roman" w:hAnsi="Times New Roman" w:cs="Times New Roman"/>
                <w:color w:val="auto"/>
                <w:spacing w:val="0"/>
                <w:w w:val="100"/>
                <w:sz w:val="24"/>
                <w:szCs w:val="24"/>
                <w:vertAlign w:val="superscript"/>
                <w:lang w:eastAsia="zh-CN"/>
              </w:rPr>
              <w:t>3</w:t>
            </w:r>
            <w:r>
              <w:rPr>
                <w:rFonts w:hint="default" w:ascii="Times New Roman" w:hAnsi="Times New Roman" w:cs="Times New Roman"/>
                <w:color w:val="auto"/>
                <w:spacing w:val="0"/>
                <w:w w:val="100"/>
                <w:sz w:val="24"/>
                <w:szCs w:val="24"/>
                <w:lang w:eastAsia="zh-CN"/>
              </w:rPr>
              <w:t>。按此估算，栅渣产生量为</w:t>
            </w:r>
            <w:r>
              <w:rPr>
                <w:rFonts w:hint="eastAsia" w:ascii="Times New Roman" w:hAnsi="Times New Roman" w:cs="Times New Roman"/>
                <w:color w:val="auto"/>
                <w:spacing w:val="0"/>
                <w:w w:val="100"/>
                <w:sz w:val="24"/>
                <w:szCs w:val="24"/>
                <w:lang w:val="en-US" w:eastAsia="zh-CN"/>
              </w:rPr>
              <w:t>0.18</w:t>
            </w:r>
            <w:r>
              <w:rPr>
                <w:rFonts w:hint="default" w:ascii="Times New Roman" w:hAnsi="Times New Roman" w:cs="Times New Roman"/>
                <w:color w:val="auto"/>
                <w:spacing w:val="0"/>
                <w:w w:val="100"/>
                <w:sz w:val="24"/>
                <w:szCs w:val="24"/>
                <w:lang w:eastAsia="zh-CN"/>
              </w:rPr>
              <w:t>t/d（</w:t>
            </w:r>
            <w:r>
              <w:rPr>
                <w:rFonts w:hint="eastAsia" w:ascii="Times New Roman" w:hAnsi="Times New Roman" w:cs="Times New Roman"/>
                <w:color w:val="auto"/>
                <w:spacing w:val="0"/>
                <w:w w:val="100"/>
                <w:sz w:val="24"/>
                <w:szCs w:val="24"/>
                <w:lang w:val="en-US" w:eastAsia="zh-CN"/>
              </w:rPr>
              <w:t>65.7</w:t>
            </w:r>
            <w:r>
              <w:rPr>
                <w:rFonts w:hint="default" w:ascii="Times New Roman" w:hAnsi="Times New Roman" w:cs="Times New Roman"/>
                <w:color w:val="auto"/>
                <w:spacing w:val="0"/>
                <w:w w:val="100"/>
                <w:sz w:val="24"/>
                <w:szCs w:val="24"/>
                <w:lang w:eastAsia="zh-CN"/>
              </w:rPr>
              <w:t>t/a），在沉</w:t>
            </w:r>
            <w:r>
              <w:rPr>
                <w:rFonts w:hint="eastAsia" w:ascii="Times New Roman" w:hAnsi="Times New Roman" w:cs="Times New Roman"/>
                <w:color w:val="auto"/>
                <w:spacing w:val="0"/>
                <w:w w:val="100"/>
                <w:sz w:val="24"/>
                <w:szCs w:val="24"/>
                <w:lang w:eastAsia="zh-CN"/>
              </w:rPr>
              <w:t>砂</w:t>
            </w:r>
            <w:r>
              <w:rPr>
                <w:rFonts w:hint="default" w:ascii="Times New Roman" w:hAnsi="Times New Roman" w:cs="Times New Roman"/>
                <w:color w:val="auto"/>
                <w:spacing w:val="0"/>
                <w:w w:val="100"/>
                <w:sz w:val="24"/>
                <w:szCs w:val="24"/>
                <w:lang w:eastAsia="zh-CN"/>
              </w:rPr>
              <w:t>池</w:t>
            </w:r>
            <w:r>
              <w:rPr>
                <w:rFonts w:hint="eastAsia" w:ascii="Times New Roman" w:hAnsi="Times New Roman" w:cs="Times New Roman"/>
                <w:color w:val="auto"/>
                <w:spacing w:val="0"/>
                <w:w w:val="100"/>
                <w:sz w:val="24"/>
                <w:szCs w:val="24"/>
                <w:lang w:eastAsia="zh-CN"/>
              </w:rPr>
              <w:t>分离</w:t>
            </w:r>
            <w:r>
              <w:rPr>
                <w:rFonts w:hint="default" w:ascii="Times New Roman" w:hAnsi="Times New Roman" w:cs="Times New Roman"/>
                <w:color w:val="auto"/>
                <w:spacing w:val="0"/>
                <w:w w:val="100"/>
                <w:sz w:val="24"/>
                <w:szCs w:val="24"/>
                <w:lang w:eastAsia="zh-CN"/>
              </w:rPr>
              <w:t>出一定的沉砂，主要含</w:t>
            </w:r>
            <w:r>
              <w:rPr>
                <w:rFonts w:hint="eastAsia" w:ascii="Times New Roman" w:hAnsi="Times New Roman" w:cs="Times New Roman"/>
                <w:color w:val="auto"/>
                <w:spacing w:val="0"/>
                <w:w w:val="100"/>
                <w:sz w:val="24"/>
                <w:szCs w:val="24"/>
                <w:lang w:eastAsia="zh-CN"/>
              </w:rPr>
              <w:t>无机砂粒</w:t>
            </w:r>
            <w:r>
              <w:rPr>
                <w:rFonts w:hint="default" w:ascii="Times New Roman" w:hAnsi="Times New Roman" w:cs="Times New Roman"/>
                <w:color w:val="auto"/>
                <w:spacing w:val="0"/>
                <w:w w:val="100"/>
                <w:sz w:val="24"/>
                <w:szCs w:val="24"/>
                <w:lang w:eastAsia="zh-CN"/>
              </w:rPr>
              <w:t>，根据《室外排水设计规范》（GB50101-2005），每万吨污水约产生0.45t沉砂，含水率60%。按此估算，沉砂产生量约为</w:t>
            </w:r>
            <w:r>
              <w:rPr>
                <w:rFonts w:hint="eastAsia" w:ascii="Times New Roman" w:hAnsi="Times New Roman" w:cs="Times New Roman"/>
                <w:color w:val="auto"/>
                <w:spacing w:val="0"/>
                <w:w w:val="100"/>
                <w:sz w:val="24"/>
                <w:szCs w:val="24"/>
                <w:lang w:val="en-US" w:eastAsia="zh-CN"/>
              </w:rPr>
              <w:t>0.09</w:t>
            </w:r>
            <w:r>
              <w:rPr>
                <w:rFonts w:hint="default" w:ascii="Times New Roman" w:hAnsi="Times New Roman" w:cs="Times New Roman"/>
                <w:color w:val="auto"/>
                <w:spacing w:val="0"/>
                <w:w w:val="100"/>
                <w:sz w:val="24"/>
                <w:szCs w:val="24"/>
                <w:lang w:eastAsia="zh-CN"/>
              </w:rPr>
              <w:t>t/d（</w:t>
            </w:r>
            <w:r>
              <w:rPr>
                <w:rFonts w:hint="eastAsia" w:ascii="Times New Roman" w:hAnsi="Times New Roman" w:cs="Times New Roman"/>
                <w:color w:val="auto"/>
                <w:spacing w:val="0"/>
                <w:w w:val="100"/>
                <w:sz w:val="24"/>
                <w:szCs w:val="24"/>
                <w:lang w:val="en-US" w:eastAsia="zh-CN"/>
              </w:rPr>
              <w:t>32.85</w:t>
            </w:r>
            <w:r>
              <w:rPr>
                <w:rFonts w:hint="default" w:ascii="Times New Roman" w:hAnsi="Times New Roman" w:cs="Times New Roman"/>
                <w:color w:val="auto"/>
                <w:spacing w:val="0"/>
                <w:w w:val="100"/>
                <w:sz w:val="24"/>
                <w:szCs w:val="24"/>
                <w:lang w:eastAsia="zh-CN"/>
              </w:rPr>
              <w:t>t/a），格栅渣及沉砂</w:t>
            </w:r>
            <w:r>
              <w:rPr>
                <w:rFonts w:hint="eastAsia" w:ascii="Times New Roman" w:hAnsi="Times New Roman" w:cs="Times New Roman"/>
                <w:color w:val="auto"/>
                <w:spacing w:val="0"/>
                <w:w w:val="100"/>
                <w:sz w:val="24"/>
                <w:szCs w:val="24"/>
                <w:lang w:val="en-US" w:eastAsia="zh-CN"/>
              </w:rPr>
              <w:t>总量为98.55</w:t>
            </w:r>
            <w:r>
              <w:rPr>
                <w:rFonts w:hint="default" w:ascii="Times New Roman" w:hAnsi="Times New Roman" w:cs="Times New Roman"/>
                <w:color w:val="auto"/>
                <w:spacing w:val="0"/>
                <w:w w:val="100"/>
                <w:sz w:val="24"/>
                <w:szCs w:val="24"/>
                <w:lang w:eastAsia="zh-CN"/>
              </w:rPr>
              <w:t>t/a</w:t>
            </w:r>
            <w:r>
              <w:rPr>
                <w:rFonts w:hint="eastAsia" w:ascii="Times New Roman" w:hAnsi="Times New Roman" w:cs="Times New Roman"/>
                <w:color w:val="auto"/>
                <w:spacing w:val="0"/>
                <w:w w:val="100"/>
                <w:sz w:val="24"/>
                <w:szCs w:val="24"/>
                <w:lang w:val="en-US" w:eastAsia="zh-CN"/>
              </w:rPr>
              <w:t>，</w:t>
            </w:r>
            <w:r>
              <w:rPr>
                <w:rFonts w:hint="default" w:ascii="Times New Roman" w:hAnsi="Times New Roman" w:cs="Times New Roman"/>
                <w:color w:val="auto"/>
                <w:spacing w:val="0"/>
                <w:w w:val="100"/>
                <w:sz w:val="24"/>
                <w:szCs w:val="24"/>
                <w:lang w:eastAsia="zh-CN"/>
              </w:rPr>
              <w:t>为一般固体废物，统一收集后送生活垃圾填埋场处理。</w:t>
            </w:r>
          </w:p>
          <w:p w14:paraId="415DAFD1">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position w:val="0"/>
                <w:sz w:val="24"/>
                <w:szCs w:val="24"/>
                <w:lang w:eastAsia="zh-CN"/>
              </w:rPr>
            </w:pPr>
            <w:r>
              <w:rPr>
                <w:rFonts w:hint="default" w:ascii="Times New Roman" w:hAnsi="Times New Roman" w:cs="Times New Roman"/>
                <w:color w:val="auto"/>
                <w:spacing w:val="0"/>
                <w:w w:val="100"/>
                <w:position w:val="0"/>
                <w:sz w:val="24"/>
                <w:szCs w:val="24"/>
                <w:lang w:eastAsia="zh-CN"/>
              </w:rPr>
              <w:t>（</w:t>
            </w:r>
            <w:r>
              <w:rPr>
                <w:rFonts w:hint="default" w:ascii="Times New Roman" w:hAnsi="Times New Roman" w:cs="Times New Roman"/>
                <w:color w:val="auto"/>
                <w:spacing w:val="0"/>
                <w:w w:val="100"/>
                <w:position w:val="0"/>
                <w:sz w:val="24"/>
                <w:szCs w:val="24"/>
                <w:lang w:val="en-US" w:eastAsia="zh-CN"/>
              </w:rPr>
              <w:t>3</w:t>
            </w:r>
            <w:r>
              <w:rPr>
                <w:rFonts w:hint="default" w:ascii="Times New Roman" w:hAnsi="Times New Roman" w:cs="Times New Roman"/>
                <w:color w:val="auto"/>
                <w:spacing w:val="0"/>
                <w:w w:val="100"/>
                <w:position w:val="0"/>
                <w:sz w:val="24"/>
                <w:szCs w:val="24"/>
                <w:lang w:eastAsia="zh-CN"/>
              </w:rPr>
              <w:t>）污泥</w:t>
            </w:r>
          </w:p>
          <w:p w14:paraId="24B23D4C">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position w:val="0"/>
                <w:sz w:val="24"/>
                <w:szCs w:val="24"/>
              </w:rPr>
            </w:pPr>
            <w:r>
              <w:rPr>
                <w:rFonts w:hint="default" w:ascii="Times New Roman" w:hAnsi="Times New Roman" w:cs="Times New Roman"/>
                <w:color w:val="auto"/>
                <w:spacing w:val="0"/>
                <w:w w:val="100"/>
                <w:position w:val="0"/>
                <w:sz w:val="24"/>
                <w:szCs w:val="24"/>
              </w:rPr>
              <w:t>项目</w:t>
            </w:r>
            <w:r>
              <w:rPr>
                <w:rFonts w:hint="default" w:ascii="Times New Roman" w:hAnsi="Times New Roman" w:cs="Times New Roman"/>
                <w:color w:val="auto"/>
                <w:spacing w:val="0"/>
                <w:w w:val="100"/>
                <w:sz w:val="24"/>
                <w:szCs w:val="24"/>
                <w:lang w:eastAsia="zh-CN"/>
              </w:rPr>
              <w:t>拟建污水处理工艺为</w:t>
            </w:r>
            <w:r>
              <w:rPr>
                <w:rFonts w:hint="default" w:ascii="Times New Roman" w:hAnsi="Times New Roman" w:cs="Times New Roman"/>
                <w:color w:val="auto"/>
                <w:spacing w:val="0"/>
                <w:w w:val="100"/>
                <w:position w:val="0"/>
                <w:sz w:val="24"/>
                <w:szCs w:val="24"/>
                <w:lang w:val="en-US" w:eastAsia="en-US"/>
              </w:rPr>
              <w:t>A</w:t>
            </w:r>
            <w:r>
              <w:rPr>
                <w:rFonts w:hint="default" w:ascii="Times New Roman" w:hAnsi="Times New Roman" w:cs="Times New Roman"/>
                <w:color w:val="auto"/>
                <w:spacing w:val="0"/>
                <w:w w:val="100"/>
                <w:position w:val="0"/>
                <w:sz w:val="24"/>
                <w:szCs w:val="24"/>
                <w:vertAlign w:val="superscript"/>
                <w:lang w:val="en-US" w:eastAsia="zh-CN"/>
              </w:rPr>
              <w:t>2</w:t>
            </w:r>
            <w:r>
              <w:rPr>
                <w:rFonts w:hint="default" w:ascii="Times New Roman" w:hAnsi="Times New Roman" w:cs="Times New Roman"/>
                <w:color w:val="auto"/>
                <w:spacing w:val="0"/>
                <w:w w:val="100"/>
                <w:position w:val="0"/>
                <w:sz w:val="24"/>
                <w:szCs w:val="24"/>
                <w:lang w:val="en-US" w:eastAsia="zh-CN"/>
              </w:rPr>
              <w:t>/</w:t>
            </w:r>
            <w:r>
              <w:rPr>
                <w:rFonts w:hint="default" w:ascii="Times New Roman" w:hAnsi="Times New Roman" w:cs="Times New Roman"/>
                <w:color w:val="auto"/>
                <w:spacing w:val="0"/>
                <w:w w:val="100"/>
                <w:position w:val="0"/>
                <w:sz w:val="24"/>
                <w:szCs w:val="24"/>
                <w:lang w:val="en-US" w:eastAsia="en-US"/>
              </w:rPr>
              <w:t>O</w:t>
            </w:r>
            <w:r>
              <w:rPr>
                <w:rFonts w:hint="eastAsia" w:ascii="Times New Roman" w:hAnsi="Times New Roman" w:cs="Times New Roman"/>
                <w:color w:val="auto"/>
                <w:spacing w:val="0"/>
                <w:w w:val="100"/>
                <w:position w:val="0"/>
                <w:sz w:val="24"/>
                <w:szCs w:val="24"/>
                <w:lang w:val="en-US" w:eastAsia="zh-CN"/>
              </w:rPr>
              <w:t>+MBR</w:t>
            </w:r>
            <w:r>
              <w:rPr>
                <w:rFonts w:hint="default" w:ascii="Times New Roman" w:hAnsi="Times New Roman" w:cs="Times New Roman"/>
                <w:color w:val="auto"/>
                <w:spacing w:val="0"/>
                <w:w w:val="100"/>
                <w:position w:val="0"/>
                <w:sz w:val="24"/>
                <w:szCs w:val="24"/>
              </w:rPr>
              <w:t>工艺，污泥性质较为稳定，污泥消化时含水率高达95%以上（最高98%）。污泥经脱水后含水率降低到60%以下，外运垃圾填埋场处</w:t>
            </w:r>
            <w:r>
              <w:rPr>
                <w:rFonts w:hint="eastAsia" w:ascii="Times New Roman" w:hAnsi="Times New Roman" w:cs="Times New Roman"/>
                <w:color w:val="auto"/>
                <w:spacing w:val="0"/>
                <w:w w:val="100"/>
                <w:position w:val="0"/>
                <w:sz w:val="24"/>
                <w:szCs w:val="24"/>
                <w:lang w:eastAsia="zh-CN"/>
              </w:rPr>
              <w:t>理</w:t>
            </w:r>
            <w:r>
              <w:rPr>
                <w:rFonts w:hint="default" w:ascii="Times New Roman" w:hAnsi="Times New Roman" w:cs="Times New Roman"/>
                <w:color w:val="auto"/>
                <w:spacing w:val="0"/>
                <w:w w:val="100"/>
                <w:position w:val="0"/>
                <w:sz w:val="24"/>
                <w:szCs w:val="24"/>
                <w:lang w:eastAsia="zh-CN"/>
              </w:rPr>
              <w:t>。</w:t>
            </w:r>
          </w:p>
          <w:p w14:paraId="034C6B7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rightChars="0" w:firstLine="480" w:firstLineChars="200"/>
              <w:jc w:val="left"/>
              <w:textAlignment w:val="auto"/>
              <w:outlineLvl w:val="9"/>
              <w:rPr>
                <w:rFonts w:hint="default" w:ascii="Times New Roman" w:hAnsi="Times New Roman" w:cs="Times New Roman"/>
                <w:color w:val="auto"/>
                <w:spacing w:val="0"/>
                <w:w w:val="100"/>
                <w:sz w:val="24"/>
                <w:szCs w:val="24"/>
                <w:lang w:val="en-US" w:eastAsia="zh-CN"/>
              </w:rPr>
            </w:pPr>
            <w:r>
              <w:rPr>
                <w:rFonts w:hint="default" w:ascii="Times New Roman" w:hAnsi="Times New Roman" w:cs="Times New Roman"/>
                <w:color w:val="auto"/>
                <w:spacing w:val="0"/>
                <w:w w:val="100"/>
                <w:sz w:val="24"/>
                <w:szCs w:val="24"/>
                <w:lang w:val="en-US" w:eastAsia="zh-CN"/>
              </w:rPr>
              <w:t>根据《排污许可申请与核发技术规范-水处理（试行）》（HJ978-2018），污泥生产量按公式（15）核定：</w:t>
            </w:r>
          </w:p>
          <w:p w14:paraId="558107D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rightChars="0" w:firstLine="480" w:firstLineChars="200"/>
              <w:jc w:val="center"/>
              <w:textAlignment w:val="auto"/>
              <w:outlineLvl w:val="9"/>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E</w:t>
            </w:r>
            <w:r>
              <w:rPr>
                <w:rFonts w:hint="default" w:ascii="Times New Roman" w:hAnsi="Times New Roman" w:eastAsia="宋体" w:cs="Times New Roman"/>
                <w:color w:val="auto"/>
                <w:spacing w:val="0"/>
                <w:w w:val="100"/>
                <w:position w:val="0"/>
                <w:sz w:val="24"/>
                <w:szCs w:val="24"/>
                <w:vertAlign w:val="subscript"/>
                <w:lang w:val="en-US" w:eastAsia="zh-CN"/>
              </w:rPr>
              <w:t>产生量</w:t>
            </w:r>
            <w:r>
              <w:rPr>
                <w:rFonts w:hint="default" w:ascii="Times New Roman" w:hAnsi="Times New Roman" w:eastAsia="宋体" w:cs="Times New Roman"/>
                <w:color w:val="auto"/>
                <w:spacing w:val="0"/>
                <w:w w:val="100"/>
                <w:position w:val="0"/>
                <w:sz w:val="24"/>
                <w:szCs w:val="24"/>
                <w:lang w:val="en-US" w:eastAsia="zh-CN"/>
              </w:rPr>
              <w:t>=1.7×Q×W</w:t>
            </w:r>
            <w:r>
              <w:rPr>
                <w:rFonts w:hint="default" w:ascii="Times New Roman" w:hAnsi="Times New Roman" w:eastAsia="宋体" w:cs="Times New Roman"/>
                <w:color w:val="auto"/>
                <w:spacing w:val="0"/>
                <w:w w:val="100"/>
                <w:position w:val="0"/>
                <w:sz w:val="24"/>
                <w:szCs w:val="24"/>
                <w:vertAlign w:val="subscript"/>
                <w:lang w:val="en-US" w:eastAsia="zh-CN"/>
              </w:rPr>
              <w:t>深</w:t>
            </w:r>
            <w:r>
              <w:rPr>
                <w:rFonts w:hint="default" w:ascii="Times New Roman" w:hAnsi="Times New Roman" w:eastAsia="宋体" w:cs="Times New Roman"/>
                <w:color w:val="auto"/>
                <w:spacing w:val="0"/>
                <w:w w:val="100"/>
                <w:position w:val="0"/>
                <w:sz w:val="24"/>
                <w:szCs w:val="24"/>
                <w:lang w:val="en-US" w:eastAsia="zh-CN"/>
              </w:rPr>
              <w:t>×10</w:t>
            </w:r>
            <w:r>
              <w:rPr>
                <w:rFonts w:hint="default" w:ascii="Times New Roman" w:hAnsi="Times New Roman" w:eastAsia="宋体" w:cs="Times New Roman"/>
                <w:color w:val="auto"/>
                <w:spacing w:val="0"/>
                <w:w w:val="100"/>
                <w:position w:val="0"/>
                <w:sz w:val="24"/>
                <w:szCs w:val="24"/>
                <w:vertAlign w:val="superscript"/>
                <w:lang w:val="en-US" w:eastAsia="zh-CN"/>
              </w:rPr>
              <w:t>-4</w:t>
            </w:r>
          </w:p>
          <w:p w14:paraId="7A38B0D9">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式中∶E生量一污水处理过程中产生的污泥量，以干泥计，t；</w:t>
            </w:r>
          </w:p>
          <w:p w14:paraId="4A0649FC">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1200" w:firstLineChars="500"/>
              <w:textAlignment w:val="auto"/>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Q—核算时段内排污单位废水排放量，</w:t>
            </w:r>
            <w:r>
              <w:rPr>
                <w:rFonts w:hint="default" w:ascii="Times New Roman" w:hAnsi="Times New Roman" w:eastAsia="宋体" w:cs="Times New Roman"/>
                <w:color w:val="auto"/>
                <w:spacing w:val="0"/>
                <w:w w:val="100"/>
                <w:position w:val="0"/>
                <w:sz w:val="24"/>
                <w:szCs w:val="24"/>
                <w:highlight w:val="none"/>
                <w:lang w:val="en-US" w:eastAsia="zh-CN"/>
              </w:rPr>
              <w:t>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lang w:val="en-US" w:eastAsia="zh-CN"/>
              </w:rPr>
              <w:t>，具有有效出水口实测值按实测值计，无有效出水口实测值按进水口实测值计，无有效进水口实测值按协议进水水量计；</w:t>
            </w:r>
          </w:p>
          <w:p w14:paraId="322AB7A6">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1200" w:firstLineChars="500"/>
              <w:textAlignment w:val="auto"/>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W</w:t>
            </w:r>
            <w:r>
              <w:rPr>
                <w:rFonts w:hint="default" w:ascii="Times New Roman" w:hAnsi="Times New Roman" w:eastAsia="宋体" w:cs="Times New Roman"/>
                <w:color w:val="auto"/>
                <w:spacing w:val="0"/>
                <w:w w:val="100"/>
                <w:position w:val="0"/>
                <w:sz w:val="24"/>
                <w:szCs w:val="24"/>
                <w:vertAlign w:val="subscript"/>
                <w:lang w:val="en-US" w:eastAsia="zh-CN"/>
              </w:rPr>
              <w:t>深</w:t>
            </w:r>
            <w:r>
              <w:rPr>
                <w:rFonts w:hint="default" w:ascii="Times New Roman" w:hAnsi="Times New Roman" w:eastAsia="宋体" w:cs="Times New Roman"/>
                <w:color w:val="auto"/>
                <w:spacing w:val="0"/>
                <w:w w:val="100"/>
                <w:position w:val="0"/>
                <w:sz w:val="24"/>
                <w:szCs w:val="24"/>
                <w:lang w:val="en-US" w:eastAsia="zh-CN"/>
              </w:rPr>
              <w:t>——有深度处理工艺（添加化学药剂）时按2计，无深度处理工艺时按1计，量纲一。本项目取值以2计。</w:t>
            </w:r>
          </w:p>
          <w:p w14:paraId="6B6A8FBE">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val="en-US" w:eastAsia="zh-CN"/>
              </w:rPr>
              <w:t>本项目</w:t>
            </w:r>
            <w:r>
              <w:rPr>
                <w:rFonts w:hint="eastAsia" w:ascii="Times New Roman" w:hAnsi="Times New Roman" w:eastAsia="宋体" w:cs="Times New Roman"/>
                <w:color w:val="auto"/>
                <w:spacing w:val="0"/>
                <w:w w:val="100"/>
                <w:position w:val="0"/>
                <w:sz w:val="24"/>
                <w:szCs w:val="24"/>
                <w:lang w:val="en-US" w:eastAsia="zh-CN"/>
              </w:rPr>
              <w:t>污水处理规模为73</w:t>
            </w:r>
            <w:r>
              <w:rPr>
                <w:rFonts w:hint="default" w:ascii="Times New Roman" w:hAnsi="Times New Roman" w:eastAsia="宋体" w:cs="Times New Roman"/>
                <w:color w:val="auto"/>
                <w:spacing w:val="0"/>
                <w:w w:val="100"/>
                <w:position w:val="0"/>
                <w:sz w:val="24"/>
                <w:szCs w:val="24"/>
                <w:lang w:val="en-US" w:eastAsia="zh-CN"/>
              </w:rPr>
              <w:t>万</w:t>
            </w:r>
            <w:r>
              <w:rPr>
                <w:rFonts w:hint="default" w:ascii="Times New Roman" w:hAnsi="Times New Roman" w:eastAsia="宋体" w:cs="Times New Roman"/>
                <w:color w:val="auto"/>
                <w:spacing w:val="0"/>
                <w:w w:val="100"/>
                <w:position w:val="0"/>
                <w:sz w:val="24"/>
                <w:szCs w:val="24"/>
                <w:highlight w:val="none"/>
                <w:lang w:val="en-US" w:eastAsia="zh-CN"/>
              </w:rPr>
              <w:t>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lang w:val="en-US" w:eastAsia="zh-CN"/>
              </w:rPr>
              <w:t>/a</w:t>
            </w:r>
            <w:r>
              <w:rPr>
                <w:rFonts w:hint="eastAsia" w:ascii="Times New Roman" w:hAnsi="Times New Roman" w:eastAsia="宋体" w:cs="Times New Roman"/>
                <w:color w:val="auto"/>
                <w:spacing w:val="0"/>
                <w:w w:val="100"/>
                <w:position w:val="0"/>
                <w:sz w:val="24"/>
                <w:szCs w:val="24"/>
                <w:lang w:val="en-US" w:eastAsia="zh-CN"/>
              </w:rPr>
              <w:t>（含中水）</w:t>
            </w:r>
            <w:r>
              <w:rPr>
                <w:rFonts w:hint="default" w:ascii="Times New Roman" w:hAnsi="Times New Roman" w:eastAsia="宋体" w:cs="Times New Roman"/>
                <w:color w:val="auto"/>
                <w:spacing w:val="0"/>
                <w:w w:val="100"/>
                <w:position w:val="0"/>
                <w:sz w:val="24"/>
                <w:szCs w:val="24"/>
                <w:lang w:val="en-US" w:eastAsia="zh-CN"/>
              </w:rPr>
              <w:t>，根据计算，本项目干污泥产生量约为248.2t/a，</w:t>
            </w:r>
            <w:r>
              <w:rPr>
                <w:rFonts w:hint="eastAsia" w:ascii="Times New Roman" w:hAnsi="Times New Roman" w:eastAsia="宋体" w:cs="Times New Roman"/>
                <w:color w:val="auto"/>
                <w:spacing w:val="0"/>
                <w:w w:val="100"/>
                <w:position w:val="0"/>
                <w:sz w:val="24"/>
                <w:szCs w:val="24"/>
                <w:lang w:val="en-US" w:eastAsia="zh-CN"/>
              </w:rPr>
              <w:t>含水率以</w:t>
            </w:r>
            <w:r>
              <w:rPr>
                <w:rFonts w:hint="default" w:ascii="Times New Roman" w:hAnsi="Times New Roman" w:cs="Times New Roman"/>
                <w:color w:val="auto"/>
                <w:spacing w:val="0"/>
                <w:w w:val="100"/>
                <w:position w:val="0"/>
                <w:sz w:val="24"/>
                <w:szCs w:val="24"/>
              </w:rPr>
              <w:t>60%</w:t>
            </w:r>
            <w:r>
              <w:rPr>
                <w:rFonts w:hint="eastAsia" w:ascii="Times New Roman" w:hAnsi="Times New Roman" w:cs="Times New Roman"/>
                <w:color w:val="auto"/>
                <w:spacing w:val="0"/>
                <w:w w:val="100"/>
                <w:position w:val="0"/>
                <w:sz w:val="24"/>
                <w:szCs w:val="24"/>
                <w:lang w:val="en-US" w:eastAsia="zh-CN"/>
              </w:rPr>
              <w:t>计算，则本项目</w:t>
            </w:r>
            <w:r>
              <w:rPr>
                <w:rFonts w:hint="default" w:ascii="Times New Roman" w:hAnsi="Times New Roman" w:eastAsia="宋体" w:cs="Times New Roman"/>
                <w:color w:val="auto"/>
                <w:spacing w:val="0"/>
                <w:w w:val="100"/>
                <w:position w:val="0"/>
                <w:sz w:val="24"/>
                <w:szCs w:val="24"/>
                <w:lang w:val="en-US" w:eastAsia="zh-CN"/>
              </w:rPr>
              <w:t>污泥产生量约为</w:t>
            </w:r>
            <w:r>
              <w:rPr>
                <w:rFonts w:hint="eastAsia" w:ascii="Times New Roman" w:hAnsi="Times New Roman" w:eastAsia="宋体" w:cs="Times New Roman"/>
                <w:color w:val="auto"/>
                <w:spacing w:val="0"/>
                <w:w w:val="100"/>
                <w:position w:val="0"/>
                <w:sz w:val="24"/>
                <w:szCs w:val="24"/>
                <w:lang w:val="en-US" w:eastAsia="zh-CN"/>
              </w:rPr>
              <w:t>620.5</w:t>
            </w:r>
            <w:r>
              <w:rPr>
                <w:rFonts w:hint="default" w:ascii="Times New Roman" w:hAnsi="Times New Roman" w:eastAsia="宋体" w:cs="Times New Roman"/>
                <w:color w:val="auto"/>
                <w:spacing w:val="0"/>
                <w:w w:val="100"/>
                <w:position w:val="0"/>
                <w:sz w:val="24"/>
                <w:szCs w:val="24"/>
                <w:lang w:val="en-US" w:eastAsia="zh-CN"/>
              </w:rPr>
              <w:t>t/a。</w:t>
            </w:r>
          </w:p>
          <w:p w14:paraId="238DC915">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cs="Times New Roman"/>
                <w:color w:val="auto"/>
                <w:spacing w:val="0"/>
                <w:w w:val="100"/>
                <w:position w:val="0"/>
                <w:sz w:val="24"/>
                <w:szCs w:val="24"/>
                <w:lang w:eastAsia="zh-CN"/>
              </w:rPr>
            </w:pPr>
            <w:r>
              <w:rPr>
                <w:rFonts w:hint="eastAsia" w:ascii="Times New Roman" w:hAnsi="Times New Roman" w:cs="Times New Roman"/>
                <w:color w:val="auto"/>
                <w:spacing w:val="0"/>
                <w:w w:val="100"/>
                <w:position w:val="0"/>
                <w:sz w:val="24"/>
                <w:szCs w:val="24"/>
                <w:lang w:eastAsia="zh-CN"/>
              </w:rPr>
              <w:t>根据环境保护部《关于污（废）水处理设施产生污泥危险特性鉴别有关意见的函》（环函</w:t>
            </w:r>
            <w:r>
              <w:rPr>
                <w:rFonts w:hint="eastAsia" w:ascii="宋体" w:hAnsi="宋体" w:eastAsia="宋体" w:cs="宋体"/>
                <w:color w:val="auto"/>
                <w:spacing w:val="0"/>
                <w:w w:val="100"/>
                <w:position w:val="0"/>
                <w:sz w:val="24"/>
                <w:szCs w:val="24"/>
                <w:lang w:eastAsia="zh-CN"/>
              </w:rPr>
              <w:t>〔</w:t>
            </w:r>
            <w:r>
              <w:rPr>
                <w:rFonts w:hint="eastAsia" w:ascii="Times New Roman" w:hAnsi="Times New Roman" w:cs="Times New Roman"/>
                <w:color w:val="auto"/>
                <w:spacing w:val="0"/>
                <w:w w:val="100"/>
                <w:position w:val="0"/>
                <w:sz w:val="24"/>
                <w:szCs w:val="24"/>
                <w:lang w:eastAsia="zh-CN"/>
              </w:rPr>
              <w:t>2010〕129号），“专门处理工业废水（或同时处理少量生活污水）的处理设施产生的污泥，可能具有危险特性，应按《国家危险废物名录》</w:t>
            </w:r>
            <w:r>
              <w:rPr>
                <w:rFonts w:hint="default" w:ascii="Times New Roman" w:hAnsi="Times New Roman" w:cs="Times New Roman"/>
                <w:color w:val="auto"/>
                <w:spacing w:val="0"/>
                <w:w w:val="100"/>
                <w:sz w:val="24"/>
                <w:szCs w:val="24"/>
                <w:lang w:val="en-US" w:eastAsia="zh-CN"/>
              </w:rPr>
              <w:t>（</w:t>
            </w:r>
            <w:r>
              <w:rPr>
                <w:rFonts w:hint="eastAsia" w:ascii="Times New Roman" w:hAnsi="Times New Roman" w:cs="Times New Roman"/>
                <w:color w:val="auto"/>
                <w:spacing w:val="0"/>
                <w:w w:val="100"/>
                <w:sz w:val="24"/>
                <w:szCs w:val="24"/>
                <w:lang w:val="en-US" w:eastAsia="zh-CN"/>
              </w:rPr>
              <w:t>2025年版</w:t>
            </w:r>
            <w:r>
              <w:rPr>
                <w:rFonts w:hint="default" w:ascii="Times New Roman" w:hAnsi="Times New Roman" w:cs="Times New Roman"/>
                <w:color w:val="auto"/>
                <w:spacing w:val="0"/>
                <w:w w:val="100"/>
                <w:sz w:val="24"/>
                <w:szCs w:val="24"/>
                <w:lang w:val="en-US" w:eastAsia="zh-CN"/>
              </w:rPr>
              <w:t>）</w:t>
            </w:r>
            <w:r>
              <w:rPr>
                <w:rFonts w:hint="eastAsia" w:ascii="Times New Roman" w:hAnsi="Times New Roman" w:cs="Times New Roman"/>
                <w:color w:val="auto"/>
                <w:spacing w:val="0"/>
                <w:w w:val="100"/>
                <w:position w:val="0"/>
                <w:sz w:val="24"/>
                <w:szCs w:val="24"/>
                <w:lang w:eastAsia="zh-CN"/>
              </w:rPr>
              <w:t>、国家环境保护标准《危险废物鉴别技术规范》（HJ/T298 2007）和危险废物鉴别标准的规定，对污泥进行危险特性鉴别”，由于本项目污水处理含有部分工业废水，因此建设单位在试生产时先以危险废物要求管理和贮存剩余污泥，在建设项目竣工环保验收前进行毒性鉴别，根据毒性浸出结果决定最终处置方式。</w:t>
            </w:r>
          </w:p>
          <w:p w14:paraId="25645360">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4）在线设备产生的废试剂</w:t>
            </w:r>
          </w:p>
          <w:p w14:paraId="3F6838F7">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cs="Times New Roman" w:eastAsiaTheme="minorEastAsia"/>
                <w:color w:val="auto"/>
                <w:spacing w:val="0"/>
                <w:w w:val="100"/>
                <w:sz w:val="24"/>
                <w:szCs w:val="24"/>
                <w:lang w:val="en-US" w:eastAsia="zh-CN"/>
              </w:rPr>
            </w:pPr>
            <w:r>
              <w:rPr>
                <w:rFonts w:hint="default" w:ascii="Times New Roman" w:hAnsi="Times New Roman" w:cs="Times New Roman"/>
                <w:color w:val="auto"/>
                <w:spacing w:val="0"/>
                <w:w w:val="100"/>
                <w:sz w:val="24"/>
                <w:szCs w:val="24"/>
                <w:lang w:val="en-US" w:eastAsia="zh-CN"/>
              </w:rPr>
              <w:t>根据企业提供资料，并类比</w:t>
            </w:r>
            <w:r>
              <w:rPr>
                <w:rFonts w:hint="eastAsia" w:ascii="Times New Roman" w:hAnsi="Times New Roman" w:cs="Times New Roman"/>
                <w:color w:val="auto"/>
                <w:spacing w:val="0"/>
                <w:w w:val="100"/>
                <w:sz w:val="24"/>
                <w:szCs w:val="24"/>
                <w:lang w:val="en-US" w:eastAsia="zh-CN"/>
              </w:rPr>
              <w:t>《宝鸡市陈仓区虢镇污水处理厂准四提标改造及扩容工程项目》数据，其污水处理规模为5万</w:t>
            </w:r>
            <w:r>
              <w:rPr>
                <w:rFonts w:hint="default" w:ascii="Times New Roman" w:hAnsi="Times New Roman" w:eastAsia="宋体" w:cs="Times New Roman"/>
                <w:color w:val="auto"/>
                <w:sz w:val="24"/>
                <w:szCs w:val="32"/>
                <w:highlight w:val="none"/>
                <w:lang w:val="en-US" w:eastAsia="zh-CN"/>
              </w:rPr>
              <w:t>m</w:t>
            </w:r>
            <w:r>
              <w:rPr>
                <w:rFonts w:hint="default" w:ascii="Times New Roman" w:hAnsi="Times New Roman" w:eastAsia="宋体" w:cs="Times New Roman"/>
                <w:color w:val="auto"/>
                <w:sz w:val="24"/>
                <w:szCs w:val="32"/>
                <w:highlight w:val="none"/>
                <w:vertAlign w:val="superscript"/>
                <w:lang w:val="en-US" w:eastAsia="zh-CN"/>
              </w:rPr>
              <w:t>3</w:t>
            </w:r>
            <w:r>
              <w:rPr>
                <w:rFonts w:hint="default" w:ascii="Times New Roman" w:hAnsi="Times New Roman" w:eastAsia="宋体" w:cs="Times New Roman"/>
                <w:color w:val="auto"/>
                <w:sz w:val="24"/>
                <w:szCs w:val="32"/>
                <w:lang w:val="en-US" w:eastAsia="zh-CN"/>
              </w:rPr>
              <w:t>/d</w:t>
            </w:r>
            <w:r>
              <w:rPr>
                <w:rFonts w:hint="eastAsia" w:ascii="Times New Roman" w:hAnsi="Times New Roman" w:eastAsia="宋体" w:cs="Times New Roman"/>
                <w:color w:val="auto"/>
                <w:sz w:val="24"/>
                <w:szCs w:val="32"/>
                <w:lang w:val="en-US" w:eastAsia="zh-CN"/>
              </w:rPr>
              <w:t>，</w:t>
            </w:r>
            <w:r>
              <w:rPr>
                <w:rFonts w:hint="eastAsia" w:ascii="Times New Roman" w:hAnsi="Times New Roman" w:cs="Times New Roman"/>
                <w:color w:val="auto"/>
                <w:spacing w:val="0"/>
                <w:w w:val="100"/>
                <w:sz w:val="24"/>
                <w:szCs w:val="24"/>
                <w:lang w:val="en-US" w:eastAsia="zh-CN"/>
              </w:rPr>
              <w:t>在线设备产生</w:t>
            </w:r>
            <w:r>
              <w:rPr>
                <w:rFonts w:hint="default" w:ascii="Times New Roman" w:hAnsi="Times New Roman" w:cs="Times New Roman"/>
                <w:color w:val="auto"/>
                <w:spacing w:val="0"/>
                <w:w w:val="100"/>
                <w:sz w:val="24"/>
                <w:szCs w:val="24"/>
                <w:lang w:val="en-US" w:eastAsia="zh-CN"/>
              </w:rPr>
              <w:t>COD检测废液、氨氮检测废液、总氮检测废液、总磷检测废液产生量各</w:t>
            </w:r>
            <w:r>
              <w:rPr>
                <w:rFonts w:hint="eastAsia" w:ascii="Times New Roman" w:hAnsi="Times New Roman" w:cs="Times New Roman"/>
                <w:color w:val="auto"/>
                <w:spacing w:val="0"/>
                <w:w w:val="100"/>
                <w:sz w:val="24"/>
                <w:szCs w:val="24"/>
                <w:lang w:val="en-US" w:eastAsia="zh-CN"/>
              </w:rPr>
              <w:t>0.4t；本项目污水处理规模为2000m</w:t>
            </w:r>
            <w:r>
              <w:rPr>
                <w:rFonts w:hint="default" w:ascii="Times New Roman" w:hAnsi="Times New Roman" w:eastAsia="宋体" w:cs="Times New Roman"/>
                <w:color w:val="auto"/>
                <w:sz w:val="24"/>
                <w:szCs w:val="32"/>
                <w:highlight w:val="none"/>
                <w:vertAlign w:val="superscript"/>
                <w:lang w:val="en-US" w:eastAsia="zh-CN"/>
              </w:rPr>
              <w:t>3</w:t>
            </w:r>
            <w:r>
              <w:rPr>
                <w:rFonts w:hint="default" w:ascii="Times New Roman" w:hAnsi="Times New Roman" w:eastAsia="宋体" w:cs="Times New Roman"/>
                <w:color w:val="auto"/>
                <w:sz w:val="24"/>
                <w:szCs w:val="32"/>
                <w:lang w:val="en-US" w:eastAsia="zh-CN"/>
              </w:rPr>
              <w:t>/d</w:t>
            </w:r>
            <w:r>
              <w:rPr>
                <w:rFonts w:hint="eastAsia" w:ascii="Times New Roman" w:hAnsi="Times New Roman" w:eastAsia="宋体" w:cs="Times New Roman"/>
                <w:color w:val="auto"/>
                <w:sz w:val="24"/>
                <w:szCs w:val="32"/>
                <w:lang w:val="en-US" w:eastAsia="zh-CN"/>
              </w:rPr>
              <w:t>，则本项目</w:t>
            </w:r>
            <w:r>
              <w:rPr>
                <w:rFonts w:hint="default" w:ascii="Times New Roman" w:hAnsi="Times New Roman" w:cs="Times New Roman"/>
                <w:color w:val="auto"/>
                <w:spacing w:val="0"/>
                <w:w w:val="100"/>
                <w:sz w:val="24"/>
                <w:szCs w:val="24"/>
                <w:lang w:val="en-US" w:eastAsia="zh-CN"/>
              </w:rPr>
              <w:t>COD检测废液、氨氮检测废液、总氮检测废液、总磷检测废液产生量各</w:t>
            </w:r>
            <w:r>
              <w:rPr>
                <w:rFonts w:hint="eastAsia" w:ascii="Times New Roman" w:hAnsi="Times New Roman" w:cs="Times New Roman"/>
                <w:color w:val="auto"/>
                <w:spacing w:val="0"/>
                <w:w w:val="100"/>
                <w:sz w:val="24"/>
                <w:szCs w:val="24"/>
                <w:lang w:val="en-US" w:eastAsia="zh-CN"/>
              </w:rPr>
              <w:t>0.04t，属于</w:t>
            </w:r>
            <w:r>
              <w:rPr>
                <w:rFonts w:hint="default" w:ascii="Times New Roman" w:hAnsi="Times New Roman" w:cs="Times New Roman"/>
                <w:color w:val="auto"/>
                <w:spacing w:val="0"/>
                <w:w w:val="100"/>
                <w:sz w:val="24"/>
                <w:szCs w:val="24"/>
                <w:lang w:val="en-US" w:eastAsia="zh-CN"/>
              </w:rPr>
              <w:t>《国家危险废物名录》（</w:t>
            </w:r>
            <w:r>
              <w:rPr>
                <w:rFonts w:hint="eastAsia" w:ascii="Times New Roman" w:hAnsi="Times New Roman" w:cs="Times New Roman"/>
                <w:color w:val="auto"/>
                <w:spacing w:val="0"/>
                <w:w w:val="100"/>
                <w:sz w:val="24"/>
                <w:szCs w:val="24"/>
                <w:lang w:val="en-US" w:eastAsia="zh-CN"/>
              </w:rPr>
              <w:t>2025年版</w:t>
            </w:r>
            <w:r>
              <w:rPr>
                <w:rFonts w:hint="default" w:ascii="Times New Roman" w:hAnsi="Times New Roman" w:cs="Times New Roman"/>
                <w:color w:val="auto"/>
                <w:spacing w:val="0"/>
                <w:w w:val="100"/>
                <w:sz w:val="24"/>
                <w:szCs w:val="24"/>
                <w:lang w:val="en-US" w:eastAsia="zh-CN"/>
              </w:rPr>
              <w:t>）中HW</w:t>
            </w:r>
            <w:r>
              <w:rPr>
                <w:rFonts w:hint="eastAsia" w:ascii="Times New Roman" w:hAnsi="Times New Roman" w:cs="Times New Roman"/>
                <w:color w:val="auto"/>
                <w:spacing w:val="0"/>
                <w:w w:val="100"/>
                <w:sz w:val="24"/>
                <w:szCs w:val="24"/>
                <w:lang w:val="en-US" w:eastAsia="zh-CN"/>
              </w:rPr>
              <w:t>49</w:t>
            </w:r>
            <w:r>
              <w:rPr>
                <w:rFonts w:hint="default" w:ascii="Times New Roman" w:hAnsi="Times New Roman" w:cs="Times New Roman"/>
                <w:color w:val="auto"/>
                <w:spacing w:val="0"/>
                <w:w w:val="100"/>
                <w:sz w:val="24"/>
                <w:szCs w:val="24"/>
                <w:lang w:val="en-US" w:eastAsia="zh-CN"/>
              </w:rPr>
              <w:t>类</w:t>
            </w:r>
            <w:r>
              <w:rPr>
                <w:rFonts w:hint="eastAsia" w:ascii="Times New Roman" w:hAnsi="Times New Roman" w:cs="Times New Roman"/>
                <w:color w:val="auto"/>
                <w:spacing w:val="0"/>
                <w:w w:val="100"/>
                <w:sz w:val="24"/>
                <w:szCs w:val="24"/>
                <w:lang w:val="en-US" w:eastAsia="zh-CN"/>
              </w:rPr>
              <w:t>，</w:t>
            </w:r>
            <w:r>
              <w:rPr>
                <w:rFonts w:hint="default" w:ascii="Times New Roman" w:hAnsi="Times New Roman" w:cs="Times New Roman"/>
                <w:color w:val="auto"/>
                <w:spacing w:val="0"/>
                <w:w w:val="100"/>
                <w:sz w:val="24"/>
                <w:szCs w:val="24"/>
                <w:lang w:val="en-US" w:eastAsia="zh-CN"/>
              </w:rPr>
              <w:t>废物代码为</w:t>
            </w:r>
            <w:r>
              <w:rPr>
                <w:rFonts w:hint="eastAsia" w:ascii="Times New Roman" w:hAnsi="Times New Roman" w:cs="Times New Roman"/>
                <w:color w:val="auto"/>
                <w:spacing w:val="0"/>
                <w:w w:val="100"/>
                <w:sz w:val="24"/>
                <w:szCs w:val="24"/>
                <w:lang w:val="en-US" w:eastAsia="zh-CN"/>
              </w:rPr>
              <w:t>900-047-49。</w:t>
            </w:r>
          </w:p>
          <w:p w14:paraId="4574FD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cs="Times New Roman"/>
                <w:color w:val="auto"/>
                <w:spacing w:val="0"/>
                <w:w w:val="100"/>
                <w:position w:val="0"/>
                <w:sz w:val="24"/>
                <w:szCs w:val="24"/>
                <w:lang w:eastAsia="zh-CN"/>
              </w:rPr>
              <w:t>本期</w:t>
            </w:r>
            <w:r>
              <w:rPr>
                <w:rFonts w:hint="default" w:ascii="Times New Roman" w:hAnsi="Times New Roman" w:cs="Times New Roman"/>
                <w:color w:val="auto"/>
                <w:spacing w:val="0"/>
                <w:w w:val="100"/>
                <w:position w:val="0"/>
                <w:sz w:val="24"/>
                <w:szCs w:val="24"/>
              </w:rPr>
              <w:t>工程具体的固废产生情况见</w:t>
            </w:r>
            <w:r>
              <w:rPr>
                <w:rFonts w:hint="default" w:ascii="Times New Roman" w:hAnsi="Times New Roman" w:eastAsia="宋体" w:cs="Times New Roman"/>
                <w:color w:val="auto"/>
                <w:spacing w:val="0"/>
                <w:w w:val="100"/>
                <w:sz w:val="24"/>
                <w:szCs w:val="24"/>
                <w:lang w:eastAsia="zh-CN"/>
              </w:rPr>
              <w:t>下表</w:t>
            </w:r>
            <w:r>
              <w:rPr>
                <w:rFonts w:hint="default" w:ascii="Times New Roman" w:hAnsi="Times New Roman" w:eastAsia="宋体" w:cs="Times New Roman"/>
                <w:color w:val="auto"/>
                <w:spacing w:val="0"/>
                <w:w w:val="100"/>
                <w:sz w:val="24"/>
                <w:szCs w:val="24"/>
              </w:rPr>
              <w:t>。</w:t>
            </w:r>
          </w:p>
          <w:p w14:paraId="6418EE47">
            <w:pPr>
              <w:keepNext w:val="0"/>
              <w:keepLines w:val="0"/>
              <w:suppressLineNumbers w:val="0"/>
              <w:adjustRightInd w:val="0"/>
              <w:snapToGrid w:val="0"/>
              <w:spacing w:before="0" w:beforeAutospacing="0" w:after="0" w:afterAutospacing="0" w:line="240" w:lineRule="auto"/>
              <w:ind w:left="0" w:right="0" w:firstLine="420" w:firstLineChars="200"/>
              <w:jc w:val="center"/>
              <w:rPr>
                <w:rFonts w:hint="default" w:ascii="Times New Roman" w:hAnsi="Times New Roman" w:eastAsia="宋体" w:cs="Times New Roman"/>
                <w:b/>
                <w:bCs/>
                <w:color w:val="auto"/>
                <w:spacing w:val="0"/>
                <w:w w:val="100"/>
              </w:rPr>
            </w:pPr>
            <w:r>
              <w:rPr>
                <w:rFonts w:hint="default" w:ascii="Times New Roman" w:hAnsi="Times New Roman" w:eastAsia="宋体" w:cs="Times New Roman"/>
                <w:color w:val="auto"/>
                <w:spacing w:val="0"/>
                <w:w w:val="100"/>
                <w:sz w:val="21"/>
                <w:szCs w:val="21"/>
              </w:rPr>
              <w:t>表</w:t>
            </w:r>
            <w:r>
              <w:rPr>
                <w:rFonts w:hint="eastAsia" w:ascii="Times New Roman" w:hAnsi="Times New Roman" w:eastAsia="宋体" w:cs="Times New Roman"/>
                <w:color w:val="auto"/>
                <w:spacing w:val="0"/>
                <w:w w:val="100"/>
                <w:sz w:val="21"/>
                <w:szCs w:val="21"/>
                <w:lang w:val="en-US" w:eastAsia="zh-CN"/>
              </w:rPr>
              <w:t>4-15</w:t>
            </w:r>
            <w:r>
              <w:rPr>
                <w:rFonts w:hint="default" w:ascii="Times New Roman" w:hAnsi="Times New Roman" w:eastAsia="宋体" w:cs="Times New Roman"/>
                <w:color w:val="auto"/>
                <w:spacing w:val="0"/>
                <w:w w:val="100"/>
                <w:sz w:val="21"/>
                <w:szCs w:val="21"/>
                <w:lang w:val="en-US" w:eastAsia="zh-CN"/>
              </w:rPr>
              <w:t xml:space="preserve">  </w:t>
            </w:r>
            <w:r>
              <w:rPr>
                <w:rFonts w:hint="default" w:ascii="Times New Roman" w:hAnsi="Times New Roman" w:eastAsia="宋体" w:cs="Times New Roman"/>
                <w:color w:val="auto"/>
                <w:spacing w:val="0"/>
                <w:w w:val="100"/>
                <w:sz w:val="21"/>
                <w:szCs w:val="21"/>
              </w:rPr>
              <w:t xml:space="preserve">  项目固体废物产生情况一览表</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709"/>
              <w:gridCol w:w="1538"/>
              <w:gridCol w:w="864"/>
              <w:gridCol w:w="784"/>
              <w:gridCol w:w="840"/>
              <w:gridCol w:w="1118"/>
              <w:gridCol w:w="1728"/>
              <w:gridCol w:w="915"/>
            </w:tblGrid>
            <w:tr w14:paraId="11118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245" w:type="pct"/>
                  <w:noWrap w:val="0"/>
                  <w:vAlign w:val="center"/>
                </w:tcPr>
                <w:p w14:paraId="34CB5A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序号</w:t>
                  </w:r>
                </w:p>
              </w:tc>
              <w:tc>
                <w:tcPr>
                  <w:tcW w:w="396" w:type="pct"/>
                  <w:noWrap w:val="0"/>
                  <w:vAlign w:val="center"/>
                </w:tcPr>
                <w:p w14:paraId="44173B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产生环节</w:t>
                  </w:r>
                </w:p>
              </w:tc>
              <w:tc>
                <w:tcPr>
                  <w:tcW w:w="860" w:type="pct"/>
                  <w:noWrap w:val="0"/>
                  <w:vAlign w:val="center"/>
                </w:tcPr>
                <w:p w14:paraId="620541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名称</w:t>
                  </w:r>
                </w:p>
              </w:tc>
              <w:tc>
                <w:tcPr>
                  <w:tcW w:w="483" w:type="pct"/>
                  <w:noWrap w:val="0"/>
                  <w:vAlign w:val="center"/>
                </w:tcPr>
                <w:p w14:paraId="56A304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产生量t/a</w:t>
                  </w:r>
                </w:p>
              </w:tc>
              <w:tc>
                <w:tcPr>
                  <w:tcW w:w="438" w:type="pct"/>
                  <w:noWrap w:val="0"/>
                  <w:vAlign w:val="center"/>
                </w:tcPr>
                <w:p w14:paraId="342BE5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rPr>
                    <w:t>固废</w:t>
                  </w:r>
                  <w:r>
                    <w:rPr>
                      <w:rFonts w:hint="default" w:ascii="Times New Roman" w:hAnsi="Times New Roman" w:eastAsia="宋体" w:cs="Times New Roman"/>
                      <w:b w:val="0"/>
                      <w:bCs w:val="0"/>
                      <w:color w:val="auto"/>
                      <w:spacing w:val="0"/>
                      <w:w w:val="100"/>
                      <w:sz w:val="21"/>
                      <w:szCs w:val="21"/>
                      <w:lang w:eastAsia="zh-CN"/>
                    </w:rPr>
                    <w:t>属性</w:t>
                  </w:r>
                </w:p>
              </w:tc>
              <w:tc>
                <w:tcPr>
                  <w:tcW w:w="470" w:type="pct"/>
                  <w:noWrap w:val="0"/>
                  <w:vAlign w:val="center"/>
                </w:tcPr>
                <w:p w14:paraId="413483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eastAsia="zh-CN"/>
                    </w:rPr>
                    <w:t>固废代码</w:t>
                  </w:r>
                </w:p>
              </w:tc>
              <w:tc>
                <w:tcPr>
                  <w:tcW w:w="625" w:type="pct"/>
                  <w:noWrap w:val="0"/>
                  <w:vAlign w:val="center"/>
                </w:tcPr>
                <w:p w14:paraId="1AA780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rPr>
                    <w:t>主要有毒有害物质名称</w:t>
                  </w:r>
                  <w:r>
                    <w:rPr>
                      <w:rFonts w:hint="default" w:ascii="Times New Roman" w:hAnsi="Times New Roman" w:eastAsia="宋体" w:cs="Times New Roman"/>
                      <w:b w:val="0"/>
                      <w:bCs w:val="0"/>
                      <w:color w:val="auto"/>
                      <w:spacing w:val="0"/>
                      <w:w w:val="100"/>
                      <w:sz w:val="21"/>
                      <w:szCs w:val="21"/>
                      <w:lang w:eastAsia="zh-CN"/>
                    </w:rPr>
                    <w:t>、物理性状</w:t>
                  </w:r>
                </w:p>
              </w:tc>
              <w:tc>
                <w:tcPr>
                  <w:tcW w:w="967" w:type="pct"/>
                  <w:noWrap w:val="0"/>
                  <w:vAlign w:val="center"/>
                </w:tcPr>
                <w:p w14:paraId="5C3067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利用处置方式和去向</w:t>
                  </w:r>
                </w:p>
              </w:tc>
              <w:tc>
                <w:tcPr>
                  <w:tcW w:w="512" w:type="pct"/>
                  <w:noWrap w:val="0"/>
                  <w:vAlign w:val="center"/>
                </w:tcPr>
                <w:p w14:paraId="26F56A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利用或处置量</w:t>
                  </w:r>
                </w:p>
              </w:tc>
            </w:tr>
            <w:tr w14:paraId="4EF73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245" w:type="pct"/>
                  <w:noWrap w:val="0"/>
                  <w:vAlign w:val="center"/>
                </w:tcPr>
                <w:p w14:paraId="50803A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1</w:t>
                  </w:r>
                </w:p>
              </w:tc>
              <w:tc>
                <w:tcPr>
                  <w:tcW w:w="396" w:type="pct"/>
                  <w:noWrap w:val="0"/>
                  <w:vAlign w:val="center"/>
                </w:tcPr>
                <w:p w14:paraId="770E2420">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员工生活</w:t>
                  </w:r>
                </w:p>
              </w:tc>
              <w:tc>
                <w:tcPr>
                  <w:tcW w:w="860" w:type="pct"/>
                  <w:noWrap w:val="0"/>
                  <w:vAlign w:val="center"/>
                </w:tcPr>
                <w:p w14:paraId="3F7C941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生活垃圾</w:t>
                  </w:r>
                </w:p>
              </w:tc>
              <w:tc>
                <w:tcPr>
                  <w:tcW w:w="483" w:type="pct"/>
                  <w:noWrap w:val="0"/>
                  <w:vAlign w:val="center"/>
                </w:tcPr>
                <w:p w14:paraId="5200128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1.124</w:t>
                  </w:r>
                </w:p>
              </w:tc>
              <w:tc>
                <w:tcPr>
                  <w:tcW w:w="438" w:type="pct"/>
                  <w:noWrap w:val="0"/>
                  <w:vAlign w:val="center"/>
                </w:tcPr>
                <w:p w14:paraId="68DF22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rPr>
                    <w:t>一般固废</w:t>
                  </w:r>
                </w:p>
              </w:tc>
              <w:tc>
                <w:tcPr>
                  <w:tcW w:w="470" w:type="pct"/>
                  <w:noWrap w:val="0"/>
                  <w:vAlign w:val="center"/>
                </w:tcPr>
                <w:p w14:paraId="065A9B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w:t>
                  </w:r>
                </w:p>
              </w:tc>
              <w:tc>
                <w:tcPr>
                  <w:tcW w:w="625" w:type="pct"/>
                  <w:noWrap w:val="0"/>
                  <w:vAlign w:val="center"/>
                </w:tcPr>
                <w:p w14:paraId="3D16C8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w:t>
                  </w:r>
                </w:p>
              </w:tc>
              <w:tc>
                <w:tcPr>
                  <w:tcW w:w="967" w:type="pct"/>
                  <w:vMerge w:val="restart"/>
                  <w:noWrap w:val="0"/>
                  <w:vAlign w:val="center"/>
                </w:tcPr>
                <w:p w14:paraId="376E6704">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环卫部门处理</w:t>
                  </w:r>
                </w:p>
              </w:tc>
              <w:tc>
                <w:tcPr>
                  <w:tcW w:w="512" w:type="pct"/>
                  <w:noWrap w:val="0"/>
                  <w:vAlign w:val="center"/>
                </w:tcPr>
                <w:p w14:paraId="4AFB371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1.124</w:t>
                  </w:r>
                </w:p>
              </w:tc>
            </w:tr>
            <w:tr w14:paraId="02806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245" w:type="pct"/>
                  <w:noWrap w:val="0"/>
                  <w:vAlign w:val="center"/>
                </w:tcPr>
                <w:p w14:paraId="464931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2</w:t>
                  </w:r>
                </w:p>
              </w:tc>
              <w:tc>
                <w:tcPr>
                  <w:tcW w:w="396" w:type="pct"/>
                  <w:vMerge w:val="restart"/>
                  <w:noWrap w:val="0"/>
                  <w:vAlign w:val="center"/>
                </w:tcPr>
                <w:p w14:paraId="3AF39083">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污水处理</w:t>
                  </w:r>
                </w:p>
              </w:tc>
              <w:tc>
                <w:tcPr>
                  <w:tcW w:w="860" w:type="pct"/>
                  <w:noWrap w:val="0"/>
                  <w:vAlign w:val="center"/>
                </w:tcPr>
                <w:p w14:paraId="19B8078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eastAsiaTheme="minorEastAsia"/>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格栅渣及沉砂</w:t>
                  </w:r>
                </w:p>
              </w:tc>
              <w:tc>
                <w:tcPr>
                  <w:tcW w:w="483" w:type="pct"/>
                  <w:noWrap w:val="0"/>
                  <w:vAlign w:val="center"/>
                </w:tcPr>
                <w:p w14:paraId="3B7FFFC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eastAsiaTheme="minorEastAsia"/>
                      <w:b w:val="0"/>
                      <w:bCs w:val="0"/>
                      <w:color w:val="auto"/>
                      <w:spacing w:val="0"/>
                      <w:w w:val="100"/>
                      <w:kern w:val="2"/>
                      <w:sz w:val="21"/>
                      <w:szCs w:val="21"/>
                      <w:lang w:val="en-US" w:eastAsia="zh-CN" w:bidi="ar-SA"/>
                    </w:rPr>
                  </w:pPr>
                  <w:r>
                    <w:rPr>
                      <w:rFonts w:hint="eastAsia" w:ascii="Times New Roman" w:hAnsi="Times New Roman" w:cs="Times New Roman"/>
                      <w:b w:val="0"/>
                      <w:bCs w:val="0"/>
                      <w:color w:val="auto"/>
                      <w:spacing w:val="0"/>
                      <w:w w:val="100"/>
                      <w:kern w:val="2"/>
                      <w:sz w:val="21"/>
                      <w:szCs w:val="21"/>
                      <w:lang w:val="en-US" w:eastAsia="zh-CN" w:bidi="ar-SA"/>
                    </w:rPr>
                    <w:t>98.55</w:t>
                  </w:r>
                </w:p>
              </w:tc>
              <w:tc>
                <w:tcPr>
                  <w:tcW w:w="438" w:type="pct"/>
                  <w:noWrap w:val="0"/>
                  <w:vAlign w:val="center"/>
                </w:tcPr>
                <w:p w14:paraId="06B72412">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rPr>
                    <w:t>一般固废</w:t>
                  </w:r>
                </w:p>
              </w:tc>
              <w:tc>
                <w:tcPr>
                  <w:tcW w:w="470" w:type="pct"/>
                  <w:noWrap w:val="0"/>
                  <w:vAlign w:val="center"/>
                </w:tcPr>
                <w:p w14:paraId="2F7F9A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900-999-99</w:t>
                  </w:r>
                </w:p>
              </w:tc>
              <w:tc>
                <w:tcPr>
                  <w:tcW w:w="625" w:type="pct"/>
                  <w:noWrap w:val="0"/>
                  <w:vAlign w:val="center"/>
                </w:tcPr>
                <w:p w14:paraId="66676DC1">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w:t>
                  </w:r>
                </w:p>
              </w:tc>
              <w:tc>
                <w:tcPr>
                  <w:tcW w:w="967" w:type="pct"/>
                  <w:vMerge w:val="continue"/>
                  <w:noWrap w:val="0"/>
                  <w:vAlign w:val="center"/>
                </w:tcPr>
                <w:p w14:paraId="0BBA26E8">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color w:val="auto"/>
                      <w:spacing w:val="0"/>
                      <w:w w:val="100"/>
                      <w:position w:val="0"/>
                      <w:sz w:val="21"/>
                      <w:szCs w:val="21"/>
                      <w:lang w:eastAsia="zh-CN"/>
                    </w:rPr>
                  </w:pPr>
                </w:p>
              </w:tc>
              <w:tc>
                <w:tcPr>
                  <w:tcW w:w="512" w:type="pct"/>
                  <w:noWrap w:val="0"/>
                  <w:vAlign w:val="center"/>
                </w:tcPr>
                <w:p w14:paraId="25EC42B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spacing w:val="0"/>
                      <w:w w:val="100"/>
                      <w:sz w:val="21"/>
                      <w:szCs w:val="21"/>
                      <w:lang w:val="en-US" w:eastAsia="zh-CN"/>
                    </w:rPr>
                  </w:pPr>
                  <w:r>
                    <w:rPr>
                      <w:rFonts w:hint="eastAsia" w:ascii="Times New Roman" w:hAnsi="Times New Roman" w:cs="Times New Roman"/>
                      <w:b w:val="0"/>
                      <w:bCs w:val="0"/>
                      <w:color w:val="auto"/>
                      <w:spacing w:val="0"/>
                      <w:w w:val="100"/>
                      <w:kern w:val="2"/>
                      <w:sz w:val="21"/>
                      <w:szCs w:val="21"/>
                      <w:lang w:val="en-US" w:eastAsia="zh-CN" w:bidi="ar-SA"/>
                    </w:rPr>
                    <w:t>98.55</w:t>
                  </w:r>
                </w:p>
              </w:tc>
            </w:tr>
            <w:tr w14:paraId="453FA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245" w:type="pct"/>
                  <w:noWrap w:val="0"/>
                  <w:vAlign w:val="center"/>
                </w:tcPr>
                <w:p w14:paraId="710240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3</w:t>
                  </w:r>
                </w:p>
              </w:tc>
              <w:tc>
                <w:tcPr>
                  <w:tcW w:w="396" w:type="pct"/>
                  <w:vMerge w:val="continue"/>
                  <w:noWrap w:val="0"/>
                  <w:vAlign w:val="center"/>
                </w:tcPr>
                <w:p w14:paraId="7A329D6D">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860" w:type="pct"/>
                  <w:noWrap w:val="0"/>
                  <w:vAlign w:val="center"/>
                </w:tcPr>
                <w:p w14:paraId="09DFD04F">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污泥</w:t>
                  </w:r>
                </w:p>
              </w:tc>
              <w:tc>
                <w:tcPr>
                  <w:tcW w:w="483" w:type="pct"/>
                  <w:noWrap w:val="0"/>
                  <w:vAlign w:val="center"/>
                </w:tcPr>
                <w:p w14:paraId="072D76F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auto"/>
                      <w:spacing w:val="0"/>
                      <w:w w:val="100"/>
                      <w:kern w:val="2"/>
                      <w:sz w:val="21"/>
                      <w:szCs w:val="21"/>
                      <w:lang w:val="en-US" w:eastAsia="zh-CN" w:bidi="ar-SA"/>
                    </w:rPr>
                  </w:pPr>
                  <w:r>
                    <w:rPr>
                      <w:rFonts w:hint="default" w:ascii="Times New Roman" w:hAnsi="Times New Roman" w:cs="Times New Roman"/>
                      <w:b w:val="0"/>
                      <w:bCs w:val="0"/>
                      <w:color w:val="auto"/>
                      <w:spacing w:val="0"/>
                      <w:w w:val="100"/>
                      <w:kern w:val="2"/>
                      <w:sz w:val="21"/>
                      <w:szCs w:val="21"/>
                      <w:lang w:val="en-US" w:eastAsia="zh-CN" w:bidi="ar-SA"/>
                    </w:rPr>
                    <w:t>620.5</w:t>
                  </w:r>
                </w:p>
              </w:tc>
              <w:tc>
                <w:tcPr>
                  <w:tcW w:w="438" w:type="pct"/>
                  <w:noWrap w:val="0"/>
                  <w:vAlign w:val="center"/>
                </w:tcPr>
                <w:p w14:paraId="5934A98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auto"/>
                      <w:spacing w:val="0"/>
                      <w:w w:val="100"/>
                      <w:kern w:val="2"/>
                      <w:sz w:val="21"/>
                      <w:szCs w:val="21"/>
                      <w:lang w:val="en-US" w:eastAsia="zh-CN" w:bidi="ar-SA"/>
                    </w:rPr>
                  </w:pPr>
                  <w:r>
                    <w:rPr>
                      <w:rFonts w:hint="default" w:ascii="Times New Roman" w:hAnsi="Times New Roman" w:cs="Times New Roman"/>
                      <w:b w:val="0"/>
                      <w:bCs w:val="0"/>
                      <w:color w:val="auto"/>
                      <w:spacing w:val="0"/>
                      <w:w w:val="100"/>
                      <w:kern w:val="2"/>
                      <w:sz w:val="21"/>
                      <w:szCs w:val="21"/>
                      <w:lang w:val="en-US" w:eastAsia="zh-CN" w:bidi="ar-SA"/>
                    </w:rPr>
                    <w:t>待鉴定</w:t>
                  </w:r>
                </w:p>
              </w:tc>
              <w:tc>
                <w:tcPr>
                  <w:tcW w:w="470" w:type="pct"/>
                  <w:noWrap w:val="0"/>
                  <w:vAlign w:val="center"/>
                </w:tcPr>
                <w:p w14:paraId="559137F6">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w:t>
                  </w:r>
                </w:p>
              </w:tc>
              <w:tc>
                <w:tcPr>
                  <w:tcW w:w="625" w:type="pct"/>
                  <w:noWrap w:val="0"/>
                  <w:vAlign w:val="center"/>
                </w:tcPr>
                <w:p w14:paraId="7BA801CF">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w:t>
                  </w:r>
                </w:p>
              </w:tc>
              <w:tc>
                <w:tcPr>
                  <w:tcW w:w="967" w:type="pct"/>
                  <w:noWrap w:val="0"/>
                  <w:vAlign w:val="center"/>
                </w:tcPr>
                <w:p w14:paraId="2CC77EB6">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eastAsia="zh-CN"/>
                    </w:rPr>
                    <w:t>竣工环保验收前进行毒性鉴别，根据毒性浸出结果决定最终处置方式</w:t>
                  </w:r>
                </w:p>
              </w:tc>
              <w:tc>
                <w:tcPr>
                  <w:tcW w:w="512" w:type="pct"/>
                  <w:noWrap w:val="0"/>
                  <w:vAlign w:val="center"/>
                </w:tcPr>
                <w:p w14:paraId="64CAB0BD">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bCs/>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620.5</w:t>
                  </w:r>
                </w:p>
              </w:tc>
            </w:tr>
            <w:tr w14:paraId="000DD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245" w:type="pct"/>
                  <w:vMerge w:val="restart"/>
                  <w:noWrap w:val="0"/>
                  <w:vAlign w:val="center"/>
                </w:tcPr>
                <w:p w14:paraId="18486F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4</w:t>
                  </w:r>
                </w:p>
              </w:tc>
              <w:tc>
                <w:tcPr>
                  <w:tcW w:w="396" w:type="pct"/>
                  <w:vMerge w:val="restart"/>
                  <w:noWrap w:val="0"/>
                  <w:vAlign w:val="center"/>
                </w:tcPr>
                <w:p w14:paraId="4F1DEE8E">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在线设备</w:t>
                  </w:r>
                </w:p>
              </w:tc>
              <w:tc>
                <w:tcPr>
                  <w:tcW w:w="860" w:type="pct"/>
                  <w:noWrap w:val="0"/>
                  <w:vAlign w:val="center"/>
                </w:tcPr>
                <w:p w14:paraId="26BF534C">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COD检测废液</w:t>
                  </w:r>
                </w:p>
              </w:tc>
              <w:tc>
                <w:tcPr>
                  <w:tcW w:w="483" w:type="pct"/>
                  <w:noWrap w:val="0"/>
                  <w:vAlign w:val="center"/>
                </w:tcPr>
                <w:p w14:paraId="4366894C">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eastAsia" w:ascii="Times New Roman" w:hAnsi="Times New Roman" w:eastAsia="宋体" w:cs="Times New Roman"/>
                      <w:b w:val="0"/>
                      <w:bCs w:val="0"/>
                      <w:color w:val="auto"/>
                      <w:spacing w:val="0"/>
                      <w:w w:val="100"/>
                      <w:sz w:val="21"/>
                      <w:szCs w:val="21"/>
                      <w:lang w:val="en-US" w:eastAsia="zh-CN"/>
                    </w:rPr>
                    <w:t>0.016</w:t>
                  </w:r>
                </w:p>
              </w:tc>
              <w:tc>
                <w:tcPr>
                  <w:tcW w:w="438" w:type="pct"/>
                  <w:vMerge w:val="restart"/>
                  <w:noWrap w:val="0"/>
                  <w:vAlign w:val="center"/>
                </w:tcPr>
                <w:p w14:paraId="480962F1">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危险废物</w:t>
                  </w:r>
                </w:p>
              </w:tc>
              <w:tc>
                <w:tcPr>
                  <w:tcW w:w="470" w:type="pct"/>
                  <w:vMerge w:val="restart"/>
                  <w:noWrap w:val="0"/>
                  <w:vAlign w:val="center"/>
                </w:tcPr>
                <w:p w14:paraId="3E0AF56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color w:val="auto"/>
                      <w:kern w:val="0"/>
                      <w:sz w:val="21"/>
                      <w:szCs w:val="21"/>
                      <w:lang w:val="en-US" w:eastAsia="zh-CN" w:bidi="ar"/>
                    </w:rPr>
                    <w:t>9</w:t>
                  </w:r>
                  <w:r>
                    <w:rPr>
                      <w:rFonts w:hint="default" w:ascii="Times New Roman" w:hAnsi="Times New Roman" w:eastAsia="宋体" w:cs="Times New Roman"/>
                      <w:b w:val="0"/>
                      <w:bCs w:val="0"/>
                      <w:color w:val="auto"/>
                      <w:spacing w:val="0"/>
                      <w:w w:val="100"/>
                      <w:sz w:val="21"/>
                      <w:szCs w:val="21"/>
                      <w:lang w:val="en-US" w:eastAsia="zh-CN"/>
                    </w:rPr>
                    <w:t>00-047-49</w:t>
                  </w:r>
                </w:p>
              </w:tc>
              <w:tc>
                <w:tcPr>
                  <w:tcW w:w="625" w:type="pct"/>
                  <w:vMerge w:val="restart"/>
                  <w:noWrap w:val="0"/>
                  <w:vAlign w:val="center"/>
                </w:tcPr>
                <w:p w14:paraId="2D5E3EDA">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cs="Times New Roman"/>
                      <w:b w:val="0"/>
                      <w:bCs w:val="0"/>
                      <w:color w:val="auto"/>
                      <w:spacing w:val="0"/>
                      <w:w w:val="100"/>
                      <w:position w:val="0"/>
                      <w:sz w:val="21"/>
                      <w:szCs w:val="21"/>
                      <w:lang w:eastAsia="zh-CN"/>
                    </w:rPr>
                    <w:t>废酸碱试剂</w:t>
                  </w:r>
                  <w:r>
                    <w:rPr>
                      <w:rFonts w:hint="default" w:ascii="Times New Roman" w:hAnsi="Times New Roman" w:cs="Times New Roman"/>
                      <w:b w:val="0"/>
                      <w:bCs w:val="0"/>
                      <w:color w:val="auto"/>
                      <w:spacing w:val="0"/>
                      <w:w w:val="100"/>
                      <w:position w:val="0"/>
                      <w:sz w:val="21"/>
                      <w:szCs w:val="21"/>
                    </w:rPr>
                    <w:t>等</w:t>
                  </w:r>
                </w:p>
              </w:tc>
              <w:tc>
                <w:tcPr>
                  <w:tcW w:w="967" w:type="pct"/>
                  <w:vMerge w:val="restart"/>
                  <w:noWrap w:val="0"/>
                  <w:vAlign w:val="center"/>
                </w:tcPr>
                <w:p w14:paraId="69A27587">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color w:val="auto"/>
                      <w:spacing w:val="0"/>
                      <w:w w:val="100"/>
                      <w:position w:val="0"/>
                      <w:sz w:val="21"/>
                      <w:szCs w:val="21"/>
                      <w:lang w:eastAsia="zh-CN"/>
                    </w:rPr>
                    <w:t>有资质单位处理</w:t>
                  </w:r>
                </w:p>
              </w:tc>
              <w:tc>
                <w:tcPr>
                  <w:tcW w:w="512" w:type="pct"/>
                  <w:noWrap w:val="0"/>
                  <w:vAlign w:val="center"/>
                </w:tcPr>
                <w:p w14:paraId="7EF55DB5">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eastAsia" w:ascii="Times New Roman" w:hAnsi="Times New Roman" w:eastAsia="宋体" w:cs="Times New Roman"/>
                      <w:b w:val="0"/>
                      <w:bCs w:val="0"/>
                      <w:color w:val="auto"/>
                      <w:spacing w:val="0"/>
                      <w:w w:val="100"/>
                      <w:sz w:val="21"/>
                      <w:szCs w:val="21"/>
                      <w:lang w:val="en-US" w:eastAsia="zh-CN"/>
                    </w:rPr>
                    <w:t>0.016</w:t>
                  </w:r>
                </w:p>
              </w:tc>
            </w:tr>
            <w:tr w14:paraId="03624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245" w:type="pct"/>
                  <w:vMerge w:val="continue"/>
                  <w:noWrap w:val="0"/>
                  <w:vAlign w:val="center"/>
                </w:tcPr>
                <w:p w14:paraId="374411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396" w:type="pct"/>
                  <w:vMerge w:val="continue"/>
                  <w:noWrap w:val="0"/>
                  <w:vAlign w:val="center"/>
                </w:tcPr>
                <w:p w14:paraId="4D746EC4">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860" w:type="pct"/>
                  <w:noWrap w:val="0"/>
                  <w:vAlign w:val="center"/>
                </w:tcPr>
                <w:p w14:paraId="627C8663">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氨氮检测废液</w:t>
                  </w:r>
                </w:p>
              </w:tc>
              <w:tc>
                <w:tcPr>
                  <w:tcW w:w="483" w:type="pct"/>
                  <w:noWrap w:val="0"/>
                  <w:vAlign w:val="center"/>
                </w:tcPr>
                <w:p w14:paraId="140EEFB5">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eastAsia" w:ascii="Times New Roman" w:hAnsi="Times New Roman" w:eastAsia="宋体" w:cs="Times New Roman"/>
                      <w:b w:val="0"/>
                      <w:bCs w:val="0"/>
                      <w:color w:val="auto"/>
                      <w:spacing w:val="0"/>
                      <w:w w:val="100"/>
                      <w:sz w:val="21"/>
                      <w:szCs w:val="21"/>
                      <w:lang w:val="en-US" w:eastAsia="zh-CN"/>
                    </w:rPr>
                    <w:t>0.016</w:t>
                  </w:r>
                </w:p>
              </w:tc>
              <w:tc>
                <w:tcPr>
                  <w:tcW w:w="438" w:type="pct"/>
                  <w:vMerge w:val="continue"/>
                  <w:noWrap w:val="0"/>
                  <w:vAlign w:val="center"/>
                </w:tcPr>
                <w:p w14:paraId="598E7C19">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470" w:type="pct"/>
                  <w:vMerge w:val="continue"/>
                  <w:noWrap w:val="0"/>
                  <w:vAlign w:val="center"/>
                </w:tcPr>
                <w:p w14:paraId="76958B6E">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625" w:type="pct"/>
                  <w:vMerge w:val="continue"/>
                  <w:noWrap w:val="0"/>
                  <w:vAlign w:val="center"/>
                </w:tcPr>
                <w:p w14:paraId="6224E05C">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967" w:type="pct"/>
                  <w:vMerge w:val="continue"/>
                  <w:noWrap w:val="0"/>
                  <w:vAlign w:val="center"/>
                </w:tcPr>
                <w:p w14:paraId="3FE6557B">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512" w:type="pct"/>
                  <w:noWrap w:val="0"/>
                  <w:vAlign w:val="center"/>
                </w:tcPr>
                <w:p w14:paraId="50528F6B">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eastAsia" w:ascii="Times New Roman" w:hAnsi="Times New Roman" w:eastAsia="宋体" w:cs="Times New Roman"/>
                      <w:b w:val="0"/>
                      <w:bCs w:val="0"/>
                      <w:color w:val="auto"/>
                      <w:spacing w:val="0"/>
                      <w:w w:val="100"/>
                      <w:sz w:val="21"/>
                      <w:szCs w:val="21"/>
                      <w:lang w:val="en-US" w:eastAsia="zh-CN"/>
                    </w:rPr>
                    <w:t>0.016</w:t>
                  </w:r>
                </w:p>
              </w:tc>
            </w:tr>
            <w:tr w14:paraId="26C87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245" w:type="pct"/>
                  <w:vMerge w:val="continue"/>
                  <w:noWrap w:val="0"/>
                  <w:vAlign w:val="center"/>
                </w:tcPr>
                <w:p w14:paraId="785E2E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396" w:type="pct"/>
                  <w:vMerge w:val="continue"/>
                  <w:noWrap w:val="0"/>
                  <w:vAlign w:val="center"/>
                </w:tcPr>
                <w:p w14:paraId="19833BBC">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860" w:type="pct"/>
                  <w:noWrap w:val="0"/>
                  <w:vAlign w:val="center"/>
                </w:tcPr>
                <w:p w14:paraId="066154D9">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总氮检测废液</w:t>
                  </w:r>
                </w:p>
              </w:tc>
              <w:tc>
                <w:tcPr>
                  <w:tcW w:w="483" w:type="pct"/>
                  <w:noWrap w:val="0"/>
                  <w:vAlign w:val="center"/>
                </w:tcPr>
                <w:p w14:paraId="7A0F116D">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eastAsia" w:ascii="Times New Roman" w:hAnsi="Times New Roman" w:eastAsia="宋体" w:cs="Times New Roman"/>
                      <w:b w:val="0"/>
                      <w:bCs w:val="0"/>
                      <w:color w:val="auto"/>
                      <w:spacing w:val="0"/>
                      <w:w w:val="100"/>
                      <w:sz w:val="21"/>
                      <w:szCs w:val="21"/>
                      <w:lang w:val="en-US" w:eastAsia="zh-CN"/>
                    </w:rPr>
                    <w:t>0.016</w:t>
                  </w:r>
                </w:p>
              </w:tc>
              <w:tc>
                <w:tcPr>
                  <w:tcW w:w="438" w:type="pct"/>
                  <w:vMerge w:val="continue"/>
                  <w:noWrap w:val="0"/>
                  <w:vAlign w:val="center"/>
                </w:tcPr>
                <w:p w14:paraId="09F5D465">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470" w:type="pct"/>
                  <w:vMerge w:val="continue"/>
                  <w:noWrap w:val="0"/>
                  <w:vAlign w:val="center"/>
                </w:tcPr>
                <w:p w14:paraId="152BEA5C">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625" w:type="pct"/>
                  <w:vMerge w:val="continue"/>
                  <w:noWrap w:val="0"/>
                  <w:vAlign w:val="center"/>
                </w:tcPr>
                <w:p w14:paraId="5FD8AE9D">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967" w:type="pct"/>
                  <w:vMerge w:val="continue"/>
                  <w:noWrap w:val="0"/>
                  <w:vAlign w:val="center"/>
                </w:tcPr>
                <w:p w14:paraId="1F78AD88">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512" w:type="pct"/>
                  <w:noWrap w:val="0"/>
                  <w:vAlign w:val="center"/>
                </w:tcPr>
                <w:p w14:paraId="56BBC56B">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eastAsia" w:ascii="Times New Roman" w:hAnsi="Times New Roman" w:eastAsia="宋体" w:cs="Times New Roman"/>
                      <w:b w:val="0"/>
                      <w:bCs w:val="0"/>
                      <w:color w:val="auto"/>
                      <w:spacing w:val="0"/>
                      <w:w w:val="100"/>
                      <w:sz w:val="21"/>
                      <w:szCs w:val="21"/>
                      <w:lang w:val="en-US" w:eastAsia="zh-CN"/>
                    </w:rPr>
                    <w:t>0.016</w:t>
                  </w:r>
                </w:p>
              </w:tc>
            </w:tr>
            <w:tr w14:paraId="33171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245" w:type="pct"/>
                  <w:vMerge w:val="continue"/>
                  <w:noWrap w:val="0"/>
                  <w:vAlign w:val="center"/>
                </w:tcPr>
                <w:p w14:paraId="1F931B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396" w:type="pct"/>
                  <w:vMerge w:val="continue"/>
                  <w:noWrap w:val="0"/>
                  <w:vAlign w:val="center"/>
                </w:tcPr>
                <w:p w14:paraId="36B6F67A">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860" w:type="pct"/>
                  <w:noWrap w:val="0"/>
                  <w:vAlign w:val="center"/>
                </w:tcPr>
                <w:p w14:paraId="341B0D50">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总磷检测废液</w:t>
                  </w:r>
                </w:p>
              </w:tc>
              <w:tc>
                <w:tcPr>
                  <w:tcW w:w="483" w:type="pct"/>
                  <w:noWrap w:val="0"/>
                  <w:vAlign w:val="center"/>
                </w:tcPr>
                <w:p w14:paraId="2786A8EC">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eastAsia" w:ascii="Times New Roman" w:hAnsi="Times New Roman" w:eastAsia="宋体" w:cs="Times New Roman"/>
                      <w:b w:val="0"/>
                      <w:bCs w:val="0"/>
                      <w:color w:val="auto"/>
                      <w:spacing w:val="0"/>
                      <w:w w:val="100"/>
                      <w:sz w:val="21"/>
                      <w:szCs w:val="21"/>
                      <w:lang w:val="en-US" w:eastAsia="zh-CN"/>
                    </w:rPr>
                    <w:t>0.016</w:t>
                  </w:r>
                </w:p>
              </w:tc>
              <w:tc>
                <w:tcPr>
                  <w:tcW w:w="438" w:type="pct"/>
                  <w:vMerge w:val="continue"/>
                  <w:noWrap w:val="0"/>
                  <w:vAlign w:val="center"/>
                </w:tcPr>
                <w:p w14:paraId="6414CDD4">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470" w:type="pct"/>
                  <w:vMerge w:val="continue"/>
                  <w:noWrap w:val="0"/>
                  <w:vAlign w:val="center"/>
                </w:tcPr>
                <w:p w14:paraId="127DE328">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625" w:type="pct"/>
                  <w:vMerge w:val="continue"/>
                  <w:noWrap w:val="0"/>
                  <w:vAlign w:val="center"/>
                </w:tcPr>
                <w:p w14:paraId="02E5F029">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967" w:type="pct"/>
                  <w:vMerge w:val="continue"/>
                  <w:noWrap w:val="0"/>
                  <w:vAlign w:val="center"/>
                </w:tcPr>
                <w:p w14:paraId="1B22BA6A">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c>
                <w:tcPr>
                  <w:tcW w:w="512" w:type="pct"/>
                  <w:noWrap w:val="0"/>
                  <w:vAlign w:val="center"/>
                </w:tcPr>
                <w:p w14:paraId="7A6D0A03">
                  <w:pPr>
                    <w:pStyle w:val="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eastAsia" w:ascii="Times New Roman" w:hAnsi="Times New Roman" w:eastAsia="宋体" w:cs="Times New Roman"/>
                      <w:b w:val="0"/>
                      <w:bCs w:val="0"/>
                      <w:color w:val="auto"/>
                      <w:spacing w:val="0"/>
                      <w:w w:val="100"/>
                      <w:sz w:val="21"/>
                      <w:szCs w:val="21"/>
                      <w:lang w:val="en-US" w:eastAsia="zh-CN"/>
                    </w:rPr>
                    <w:t>0.016</w:t>
                  </w:r>
                </w:p>
              </w:tc>
            </w:tr>
          </w:tbl>
          <w:p w14:paraId="1108D307">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w:t>
            </w:r>
            <w:r>
              <w:rPr>
                <w:rFonts w:hint="default" w:ascii="Times New Roman" w:hAnsi="Times New Roman" w:eastAsia="宋体" w:cs="Times New Roman"/>
                <w:color w:val="auto"/>
                <w:spacing w:val="0"/>
                <w:w w:val="100"/>
                <w:sz w:val="24"/>
                <w:szCs w:val="24"/>
                <w:lang w:val="en-US" w:eastAsia="zh-CN"/>
              </w:rPr>
              <w:t>3）环境</w:t>
            </w:r>
            <w:r>
              <w:rPr>
                <w:rFonts w:hint="default" w:ascii="Times New Roman" w:hAnsi="Times New Roman" w:cs="Times New Roman"/>
                <w:color w:val="auto"/>
                <w:spacing w:val="0"/>
                <w:w w:val="100"/>
                <w:sz w:val="24"/>
                <w:lang w:val="en-US" w:eastAsia="zh-CN"/>
              </w:rPr>
              <w:t>管理</w:t>
            </w:r>
            <w:r>
              <w:rPr>
                <w:rFonts w:hint="default" w:ascii="Times New Roman" w:hAnsi="Times New Roman" w:eastAsia="宋体" w:cs="Times New Roman"/>
                <w:color w:val="auto"/>
                <w:spacing w:val="0"/>
                <w:w w:val="100"/>
                <w:sz w:val="24"/>
                <w:szCs w:val="24"/>
                <w:lang w:val="en-US" w:eastAsia="zh-CN"/>
              </w:rPr>
              <w:t>要求</w:t>
            </w:r>
          </w:p>
          <w:p w14:paraId="6D79551F">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rPr>
            </w:pPr>
            <w:r>
              <w:rPr>
                <w:rFonts w:hint="default" w:ascii="Times New Roman" w:hAnsi="Times New Roman" w:cs="Times New Roman"/>
                <w:color w:val="auto"/>
                <w:spacing w:val="0"/>
                <w:w w:val="100"/>
                <w:sz w:val="24"/>
              </w:rPr>
              <w:t>本项目固体废物包括</w:t>
            </w:r>
            <w:r>
              <w:rPr>
                <w:rFonts w:hint="eastAsia" w:ascii="Times New Roman" w:hAnsi="Times New Roman" w:cs="Times New Roman"/>
                <w:color w:val="auto"/>
                <w:spacing w:val="0"/>
                <w:w w:val="100"/>
                <w:sz w:val="24"/>
                <w:lang w:eastAsia="zh-CN"/>
              </w:rPr>
              <w:t>格栅渣及沉砂</w:t>
            </w:r>
            <w:r>
              <w:rPr>
                <w:rFonts w:hint="default" w:ascii="Times New Roman" w:hAnsi="Times New Roman" w:cs="Times New Roman"/>
                <w:color w:val="auto"/>
                <w:spacing w:val="0"/>
                <w:w w:val="100"/>
                <w:sz w:val="24"/>
                <w:lang w:eastAsia="zh-CN"/>
              </w:rPr>
              <w:t>、污水处理污泥、在线设备产生的废检测试剂及</w:t>
            </w:r>
            <w:r>
              <w:rPr>
                <w:rFonts w:hint="default" w:ascii="Times New Roman" w:hAnsi="Times New Roman" w:cs="Times New Roman"/>
                <w:color w:val="auto"/>
                <w:spacing w:val="0"/>
                <w:w w:val="100"/>
                <w:sz w:val="24"/>
              </w:rPr>
              <w:t>生活垃圾。</w:t>
            </w:r>
          </w:p>
          <w:p w14:paraId="0F6E757F">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pacing w:val="0"/>
                <w:w w:val="100"/>
                <w:sz w:val="24"/>
                <w:lang w:eastAsia="zh-CN"/>
              </w:rPr>
            </w:pPr>
            <w:r>
              <w:rPr>
                <w:rFonts w:hint="default" w:ascii="Times New Roman" w:hAnsi="Times New Roman" w:cs="Times New Roman"/>
                <w:color w:val="auto"/>
                <w:spacing w:val="0"/>
                <w:w w:val="100"/>
                <w:sz w:val="24"/>
              </w:rPr>
              <w:t>本项目生活垃圾</w:t>
            </w:r>
            <w:r>
              <w:rPr>
                <w:rFonts w:hint="eastAsia" w:ascii="Times New Roman" w:hAnsi="Times New Roman" w:cs="Times New Roman"/>
                <w:color w:val="auto"/>
                <w:spacing w:val="0"/>
                <w:w w:val="100"/>
                <w:sz w:val="24"/>
                <w:lang w:eastAsia="zh-CN"/>
              </w:rPr>
              <w:t>、格栅渣及沉砂</w:t>
            </w:r>
            <w:r>
              <w:rPr>
                <w:rFonts w:hint="default" w:ascii="Times New Roman" w:hAnsi="Times New Roman" w:cs="Times New Roman"/>
                <w:color w:val="auto"/>
                <w:spacing w:val="0"/>
                <w:w w:val="100"/>
                <w:sz w:val="24"/>
              </w:rPr>
              <w:t>定点堆放，由当地环卫部门定期收集处置</w:t>
            </w:r>
            <w:r>
              <w:rPr>
                <w:rFonts w:hint="default" w:ascii="Times New Roman" w:hAnsi="Times New Roman" w:cs="Times New Roman"/>
                <w:color w:val="auto"/>
                <w:spacing w:val="0"/>
                <w:w w:val="100"/>
                <w:sz w:val="24"/>
                <w:lang w:eastAsia="zh-CN"/>
              </w:rPr>
              <w:t>；污泥</w:t>
            </w:r>
            <w:r>
              <w:rPr>
                <w:rFonts w:hint="eastAsia" w:ascii="Times New Roman" w:hAnsi="Times New Roman" w:cs="Times New Roman"/>
                <w:color w:val="auto"/>
                <w:spacing w:val="0"/>
                <w:w w:val="100"/>
                <w:sz w:val="24"/>
                <w:lang w:eastAsia="zh-CN"/>
              </w:rPr>
              <w:t>在</w:t>
            </w:r>
            <w:r>
              <w:rPr>
                <w:rFonts w:hint="eastAsia" w:ascii="Times New Roman" w:hAnsi="Times New Roman" w:cs="Times New Roman"/>
                <w:color w:val="auto"/>
                <w:spacing w:val="0"/>
                <w:w w:val="100"/>
                <w:position w:val="0"/>
                <w:sz w:val="24"/>
                <w:szCs w:val="24"/>
                <w:lang w:eastAsia="zh-CN"/>
              </w:rPr>
              <w:t>竣工环保验收前进行毒性鉴别，根据毒性浸出结果决定最终处置方式，若为一般固废拉运至填埋场进行填埋，若为危废，危废间暂存后交由有资质单位处置</w:t>
            </w:r>
            <w:r>
              <w:rPr>
                <w:rFonts w:hint="default" w:ascii="Times New Roman" w:hAnsi="Times New Roman" w:cs="Times New Roman"/>
                <w:color w:val="auto"/>
                <w:spacing w:val="0"/>
                <w:w w:val="100"/>
                <w:sz w:val="24"/>
                <w:lang w:eastAsia="zh-CN"/>
              </w:rPr>
              <w:t>；</w:t>
            </w:r>
            <w:r>
              <w:rPr>
                <w:rFonts w:hint="default" w:ascii="Times New Roman" w:hAnsi="Times New Roman" w:cs="Times New Roman"/>
                <w:color w:val="auto"/>
                <w:spacing w:val="0"/>
                <w:w w:val="100"/>
                <w:sz w:val="24"/>
                <w:lang w:val="en-US" w:eastAsia="zh-CN"/>
              </w:rPr>
              <w:t>危险废物</w:t>
            </w:r>
            <w:r>
              <w:rPr>
                <w:rFonts w:hint="default" w:ascii="Times New Roman" w:hAnsi="Times New Roman" w:cs="Times New Roman"/>
                <w:color w:val="auto"/>
                <w:spacing w:val="0"/>
                <w:w w:val="100"/>
                <w:sz w:val="24"/>
                <w:lang w:eastAsia="zh-CN"/>
              </w:rPr>
              <w:t>厂区危废间收集暂存后交由有资质单位处理</w:t>
            </w:r>
            <w:r>
              <w:rPr>
                <w:rFonts w:hint="default" w:ascii="Times New Roman" w:hAnsi="Times New Roman" w:cs="Times New Roman"/>
                <w:color w:val="auto"/>
                <w:spacing w:val="0"/>
                <w:w w:val="100"/>
                <w:sz w:val="24"/>
                <w:lang w:val="en-US" w:eastAsia="zh-CN"/>
              </w:rPr>
              <w:t>。</w:t>
            </w:r>
          </w:p>
          <w:p w14:paraId="294F49A6">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lang w:eastAsia="zh-CN"/>
              </w:rPr>
            </w:pPr>
            <w:r>
              <w:rPr>
                <w:rFonts w:hint="default" w:ascii="Times New Roman" w:hAnsi="Times New Roman" w:eastAsia="宋体" w:cs="Times New Roman"/>
                <w:color w:val="auto"/>
                <w:spacing w:val="0"/>
                <w:w w:val="100"/>
                <w:sz w:val="24"/>
                <w:lang w:eastAsia="zh-CN"/>
              </w:rPr>
              <w:t>针对危险废物，本次环评要求</w:t>
            </w:r>
            <w:r>
              <w:rPr>
                <w:rFonts w:hint="default" w:ascii="Times New Roman" w:hAnsi="Times New Roman" w:eastAsia="宋体" w:cs="Times New Roman"/>
                <w:color w:val="auto"/>
                <w:spacing w:val="0"/>
                <w:w w:val="100"/>
                <w:sz w:val="24"/>
              </w:rPr>
              <w:t>在</w:t>
            </w:r>
            <w:r>
              <w:rPr>
                <w:rFonts w:hint="default" w:ascii="Times New Roman" w:hAnsi="Times New Roman" w:eastAsia="宋体" w:cs="Times New Roman"/>
                <w:color w:val="auto"/>
                <w:spacing w:val="0"/>
                <w:w w:val="100"/>
                <w:sz w:val="24"/>
                <w:lang w:eastAsia="zh-CN"/>
              </w:rPr>
              <w:t>依托</w:t>
            </w:r>
            <w:r>
              <w:rPr>
                <w:rFonts w:hint="default" w:ascii="Times New Roman" w:hAnsi="Times New Roman" w:eastAsia="宋体" w:cs="Times New Roman"/>
                <w:color w:val="auto"/>
                <w:spacing w:val="0"/>
                <w:w w:val="100"/>
                <w:sz w:val="24"/>
              </w:rPr>
              <w:t>项目专用的危险废物临时贮存设施</w:t>
            </w:r>
            <w:r>
              <w:rPr>
                <w:rFonts w:hint="default" w:ascii="Times New Roman" w:hAnsi="Times New Roman" w:eastAsia="宋体" w:cs="Times New Roman"/>
                <w:color w:val="auto"/>
                <w:spacing w:val="0"/>
                <w:w w:val="100"/>
                <w:sz w:val="24"/>
                <w:lang w:eastAsia="zh-CN"/>
              </w:rPr>
              <w:t>，符合</w:t>
            </w:r>
            <w:r>
              <w:rPr>
                <w:rFonts w:hint="default" w:ascii="Times New Roman" w:hAnsi="Times New Roman" w:eastAsia="宋体" w:cs="Times New Roman"/>
                <w:color w:val="auto"/>
                <w:spacing w:val="0"/>
                <w:w w:val="100"/>
                <w:sz w:val="24"/>
              </w:rPr>
              <w:t>《危险废物收集贮存运输技术规范》（HJ2025-2012）、</w:t>
            </w:r>
            <w:r>
              <w:rPr>
                <w:rFonts w:hint="eastAsia" w:ascii="Times New Roman" w:hAnsi="Times New Roman" w:eastAsia="宋体" w:cs="Times New Roman"/>
                <w:color w:val="auto"/>
                <w:spacing w:val="0"/>
                <w:w w:val="100"/>
                <w:sz w:val="24"/>
                <w:lang w:eastAsia="zh-CN"/>
              </w:rPr>
              <w:t>《危险废物贮存污染控制标准》（GB18597-2023）</w:t>
            </w:r>
            <w:r>
              <w:rPr>
                <w:rFonts w:hint="default" w:ascii="Times New Roman" w:hAnsi="Times New Roman" w:eastAsia="宋体" w:cs="Times New Roman"/>
                <w:color w:val="auto"/>
                <w:spacing w:val="0"/>
                <w:w w:val="100"/>
                <w:sz w:val="24"/>
              </w:rPr>
              <w:t>相关规定、技术规范要求</w:t>
            </w:r>
            <w:r>
              <w:rPr>
                <w:rFonts w:hint="default" w:ascii="Times New Roman" w:hAnsi="Times New Roman" w:eastAsia="宋体" w:cs="Times New Roman"/>
                <w:color w:val="auto"/>
                <w:spacing w:val="0"/>
                <w:w w:val="100"/>
                <w:sz w:val="24"/>
                <w:lang w:eastAsia="zh-CN"/>
              </w:rPr>
              <w:t>。</w:t>
            </w:r>
          </w:p>
          <w:p w14:paraId="04A3D86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spacing w:val="0"/>
                <w:w w:val="100"/>
              </w:rPr>
            </w:pPr>
            <w:r>
              <w:rPr>
                <w:rFonts w:hint="default" w:ascii="Times New Roman" w:hAnsi="Times New Roman" w:eastAsia="宋体" w:cs="Times New Roman"/>
                <w:color w:val="auto"/>
                <w:spacing w:val="0"/>
                <w:w w:val="100"/>
                <w:sz w:val="24"/>
              </w:rPr>
              <w:t>综上所述，本项目固体废物处置能满足《危险废物贮存污染控制标准》</w:t>
            </w:r>
            <w:r>
              <w:rPr>
                <w:rFonts w:hint="eastAsia" w:ascii="Times New Roman" w:hAnsi="Times New Roman" w:eastAsia="宋体" w:cs="Times New Roman"/>
                <w:color w:val="auto"/>
                <w:spacing w:val="0"/>
                <w:w w:val="100"/>
                <w:sz w:val="24"/>
                <w:lang w:eastAsia="zh-CN"/>
              </w:rPr>
              <w:t>（</w:t>
            </w:r>
            <w:r>
              <w:rPr>
                <w:rFonts w:hint="default" w:ascii="Times New Roman" w:hAnsi="Times New Roman" w:eastAsia="宋体" w:cs="Times New Roman"/>
                <w:color w:val="auto"/>
                <w:spacing w:val="0"/>
                <w:w w:val="100"/>
                <w:sz w:val="24"/>
              </w:rPr>
              <w:t>GB 18597-2001</w:t>
            </w:r>
            <w:r>
              <w:rPr>
                <w:rFonts w:hint="eastAsia" w:ascii="Times New Roman" w:hAnsi="Times New Roman" w:eastAsia="宋体" w:cs="Times New Roman"/>
                <w:color w:val="auto"/>
                <w:spacing w:val="0"/>
                <w:w w:val="100"/>
                <w:sz w:val="24"/>
                <w:lang w:eastAsia="zh-CN"/>
              </w:rPr>
              <w:t>）</w:t>
            </w:r>
            <w:r>
              <w:rPr>
                <w:rFonts w:hint="default" w:ascii="Times New Roman" w:hAnsi="Times New Roman" w:eastAsia="宋体" w:cs="Times New Roman"/>
                <w:color w:val="auto"/>
                <w:spacing w:val="0"/>
                <w:w w:val="100"/>
                <w:sz w:val="24"/>
              </w:rPr>
              <w:t>标准的要求，符合国家对固体废物处置的“减量化、资源化和无害化”的基本原则，处置率达100%，对周围环境的影响较小。</w:t>
            </w:r>
          </w:p>
          <w:p w14:paraId="009FC6DD">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eastAsia" w:ascii="Times New Roman" w:hAnsi="Times New Roman" w:cs="Times New Roman"/>
                <w:color w:val="auto"/>
                <w:spacing w:val="0"/>
                <w:w w:val="100"/>
                <w:sz w:val="24"/>
                <w:lang w:val="en-US" w:eastAsia="zh-CN"/>
              </w:rPr>
              <w:t>（4）自行监测要求</w:t>
            </w:r>
          </w:p>
          <w:p w14:paraId="54BDDB31">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b/>
                <w:bCs/>
                <w:color w:val="auto"/>
                <w:sz w:val="21"/>
                <w:szCs w:val="21"/>
              </w:rPr>
            </w:pPr>
            <w:r>
              <w:rPr>
                <w:rFonts w:hint="default" w:ascii="Times New Roman" w:hAnsi="Times New Roman" w:eastAsia="宋体" w:cs="Times New Roman"/>
                <w:snapToGrid w:val="0"/>
                <w:color w:val="auto"/>
                <w:kern w:val="0"/>
                <w:sz w:val="24"/>
              </w:rPr>
              <w:t>根据本项目运营期的环境污染特点与</w:t>
            </w:r>
            <w:r>
              <w:rPr>
                <w:rFonts w:hint="default" w:ascii="Times New Roman" w:hAnsi="Times New Roman" w:eastAsia="宋体" w:cs="Times New Roman"/>
                <w:snapToGrid w:val="0"/>
                <w:color w:val="auto"/>
                <w:kern w:val="0"/>
                <w:sz w:val="24"/>
                <w:lang w:eastAsia="zh-CN"/>
              </w:rPr>
              <w:t>《排污单位自行监测技术指南</w:t>
            </w:r>
            <w:r>
              <w:rPr>
                <w:rFonts w:hint="default" w:ascii="Times New Roman" w:hAnsi="Times New Roman" w:eastAsia="宋体" w:cs="Times New Roman"/>
                <w:snapToGrid w:val="0"/>
                <w:color w:val="auto"/>
                <w:kern w:val="0"/>
                <w:sz w:val="24"/>
                <w:lang w:val="en-US" w:eastAsia="zh-CN"/>
              </w:rPr>
              <w:t xml:space="preserve"> 水处理</w:t>
            </w:r>
            <w:r>
              <w:rPr>
                <w:rFonts w:hint="default" w:ascii="Times New Roman" w:hAnsi="Times New Roman" w:eastAsia="宋体" w:cs="Times New Roman"/>
                <w:snapToGrid w:val="0"/>
                <w:color w:val="auto"/>
                <w:kern w:val="0"/>
                <w:sz w:val="24"/>
                <w:lang w:eastAsia="zh-CN"/>
              </w:rPr>
              <w:t>》（</w:t>
            </w:r>
            <w:r>
              <w:rPr>
                <w:rFonts w:hint="default" w:ascii="Times New Roman" w:hAnsi="Times New Roman" w:eastAsia="宋体" w:cs="Times New Roman"/>
                <w:snapToGrid w:val="0"/>
                <w:color w:val="auto"/>
                <w:kern w:val="0"/>
                <w:sz w:val="24"/>
                <w:lang w:val="en-US" w:eastAsia="zh-CN"/>
              </w:rPr>
              <w:t>HJ1083-2020</w:t>
            </w:r>
            <w:r>
              <w:rPr>
                <w:rFonts w:hint="default" w:ascii="Times New Roman" w:hAnsi="Times New Roman" w:eastAsia="宋体" w:cs="Times New Roman"/>
                <w:snapToGrid w:val="0"/>
                <w:color w:val="auto"/>
                <w:kern w:val="0"/>
                <w:sz w:val="24"/>
                <w:lang w:eastAsia="zh-CN"/>
              </w:rPr>
              <w:t>）《排污许可证申请与核发技术规范</w:t>
            </w:r>
            <w:r>
              <w:rPr>
                <w:rFonts w:hint="default" w:ascii="Times New Roman" w:hAnsi="Times New Roman" w:eastAsia="宋体" w:cs="Times New Roman"/>
                <w:snapToGrid w:val="0"/>
                <w:color w:val="auto"/>
                <w:kern w:val="0"/>
                <w:sz w:val="24"/>
                <w:lang w:val="en-US" w:eastAsia="zh-CN"/>
              </w:rPr>
              <w:t>-水处理（试行）</w:t>
            </w:r>
            <w:r>
              <w:rPr>
                <w:rFonts w:hint="default" w:ascii="Times New Roman" w:hAnsi="Times New Roman" w:eastAsia="宋体" w:cs="Times New Roman"/>
                <w:snapToGrid w:val="0"/>
                <w:color w:val="auto"/>
                <w:kern w:val="0"/>
                <w:sz w:val="24"/>
                <w:lang w:eastAsia="zh-CN"/>
              </w:rPr>
              <w:t>》（</w:t>
            </w:r>
            <w:r>
              <w:rPr>
                <w:rFonts w:hint="default" w:ascii="Times New Roman" w:hAnsi="Times New Roman" w:eastAsia="宋体" w:cs="Times New Roman"/>
                <w:snapToGrid w:val="0"/>
                <w:color w:val="auto"/>
                <w:kern w:val="0"/>
                <w:sz w:val="24"/>
                <w:lang w:val="en-US" w:eastAsia="zh-CN"/>
              </w:rPr>
              <w:t>HJ978-2018</w:t>
            </w:r>
            <w:r>
              <w:rPr>
                <w:rFonts w:hint="default" w:ascii="Times New Roman" w:hAnsi="Times New Roman" w:eastAsia="宋体" w:cs="Times New Roman"/>
                <w:snapToGrid w:val="0"/>
                <w:color w:val="auto"/>
                <w:kern w:val="0"/>
                <w:sz w:val="24"/>
                <w:lang w:eastAsia="zh-CN"/>
              </w:rPr>
              <w:t>）</w:t>
            </w:r>
            <w:r>
              <w:rPr>
                <w:rFonts w:hint="default" w:ascii="Times New Roman" w:hAnsi="Times New Roman" w:eastAsia="宋体" w:cs="Times New Roman"/>
                <w:snapToGrid w:val="0"/>
                <w:color w:val="auto"/>
                <w:kern w:val="0"/>
                <w:sz w:val="24"/>
              </w:rPr>
              <w:t>，本项目制定了污染源监测计划表，</w:t>
            </w:r>
            <w:r>
              <w:rPr>
                <w:rFonts w:hint="default" w:ascii="Times New Roman" w:hAnsi="Times New Roman" w:eastAsia="宋体" w:cs="Times New Roman"/>
                <w:color w:val="auto"/>
                <w:kern w:val="0"/>
                <w:sz w:val="24"/>
              </w:rPr>
              <w:t>见</w:t>
            </w:r>
            <w:r>
              <w:rPr>
                <w:rFonts w:hint="default" w:ascii="Times New Roman" w:hAnsi="Times New Roman" w:eastAsia="宋体" w:cs="Times New Roman"/>
                <w:color w:val="auto"/>
                <w:kern w:val="0"/>
                <w:sz w:val="24"/>
                <w:lang w:eastAsia="zh-CN"/>
              </w:rPr>
              <w:t>下</w:t>
            </w:r>
            <w:r>
              <w:rPr>
                <w:rFonts w:hint="default" w:ascii="Times New Roman" w:hAnsi="Times New Roman" w:eastAsia="宋体" w:cs="Times New Roman"/>
                <w:color w:val="auto"/>
                <w:kern w:val="0"/>
                <w:sz w:val="24"/>
              </w:rPr>
              <w:t>表。</w:t>
            </w:r>
          </w:p>
          <w:p w14:paraId="1654310F">
            <w:pPr>
              <w:keepNext w:val="0"/>
              <w:keepLines w:val="0"/>
              <w:suppressLineNumbers w:val="0"/>
              <w:adjustRightInd w:val="0"/>
              <w:spacing w:before="0" w:beforeAutospacing="0" w:after="0" w:afterAutospacing="0" w:line="36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val="0"/>
                <w:bCs w:val="0"/>
                <w:color w:val="auto"/>
                <w:sz w:val="21"/>
                <w:szCs w:val="21"/>
              </w:rPr>
              <w:t>表</w:t>
            </w:r>
            <w:r>
              <w:rPr>
                <w:rFonts w:hint="eastAsia" w:ascii="Times New Roman" w:hAnsi="Times New Roman" w:cs="Times New Roman"/>
                <w:b w:val="0"/>
                <w:bCs w:val="0"/>
                <w:color w:val="auto"/>
                <w:sz w:val="21"/>
                <w:szCs w:val="21"/>
                <w:lang w:val="en-US" w:eastAsia="zh-CN"/>
              </w:rPr>
              <w:t>4-16</w:t>
            </w:r>
            <w:r>
              <w:rPr>
                <w:rFonts w:hint="default" w:ascii="Times New Roman" w:hAnsi="Times New Roman" w:cs="Times New Roman"/>
                <w:b w:val="0"/>
                <w:bCs w:val="0"/>
                <w:color w:val="auto"/>
                <w:sz w:val="21"/>
                <w:szCs w:val="21"/>
                <w:lang w:val="en-US" w:eastAsia="zh-CN"/>
              </w:rPr>
              <w:t xml:space="preserve"> </w:t>
            </w:r>
            <w:r>
              <w:rPr>
                <w:rFonts w:hint="default" w:ascii="Times New Roman" w:hAnsi="Times New Roman" w:cs="Times New Roman"/>
                <w:b w:val="0"/>
                <w:bCs w:val="0"/>
                <w:color w:val="auto"/>
                <w:sz w:val="21"/>
                <w:szCs w:val="21"/>
              </w:rPr>
              <w:t xml:space="preserve"> </w:t>
            </w:r>
            <w:r>
              <w:rPr>
                <w:rFonts w:hint="eastAsia" w:ascii="Times New Roman" w:hAnsi="Times New Roman" w:cs="Times New Roman"/>
                <w:b w:val="0"/>
                <w:bCs w:val="0"/>
                <w:color w:val="auto"/>
                <w:sz w:val="21"/>
                <w:szCs w:val="21"/>
                <w:lang w:eastAsia="zh-CN"/>
              </w:rPr>
              <w:t>污泥</w:t>
            </w:r>
            <w:r>
              <w:rPr>
                <w:rFonts w:hint="default" w:ascii="Times New Roman" w:hAnsi="Times New Roman" w:cs="Times New Roman"/>
                <w:b w:val="0"/>
                <w:bCs w:val="0"/>
                <w:color w:val="auto"/>
                <w:sz w:val="21"/>
                <w:szCs w:val="21"/>
              </w:rPr>
              <w:t>监测计划一览表</w:t>
            </w:r>
          </w:p>
          <w:tbl>
            <w:tblPr>
              <w:tblStyle w:val="21"/>
              <w:tblW w:w="88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5"/>
              <w:gridCol w:w="716"/>
              <w:gridCol w:w="1950"/>
              <w:gridCol w:w="2908"/>
              <w:gridCol w:w="1105"/>
              <w:gridCol w:w="1423"/>
            </w:tblGrid>
            <w:tr w14:paraId="14C7A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55" w:type="dxa"/>
                  <w:noWrap w:val="0"/>
                  <w:vAlign w:val="center"/>
                </w:tcPr>
                <w:p w14:paraId="532FC8D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类别</w:t>
                  </w:r>
                </w:p>
              </w:tc>
              <w:tc>
                <w:tcPr>
                  <w:tcW w:w="2666" w:type="dxa"/>
                  <w:gridSpan w:val="2"/>
                  <w:noWrap w:val="0"/>
                  <w:vAlign w:val="center"/>
                </w:tcPr>
                <w:p w14:paraId="16E5CA5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监测项目</w:t>
                  </w:r>
                </w:p>
              </w:tc>
              <w:tc>
                <w:tcPr>
                  <w:tcW w:w="2908" w:type="dxa"/>
                  <w:noWrap w:val="0"/>
                  <w:vAlign w:val="center"/>
                </w:tcPr>
                <w:p w14:paraId="1588C61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执行标准</w:t>
                  </w:r>
                </w:p>
              </w:tc>
              <w:tc>
                <w:tcPr>
                  <w:tcW w:w="1105" w:type="dxa"/>
                  <w:noWrap w:val="0"/>
                  <w:vAlign w:val="center"/>
                </w:tcPr>
                <w:p w14:paraId="2350554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监测频次</w:t>
                  </w:r>
                </w:p>
              </w:tc>
              <w:tc>
                <w:tcPr>
                  <w:tcW w:w="1423" w:type="dxa"/>
                  <w:noWrap w:val="0"/>
                  <w:vAlign w:val="center"/>
                </w:tcPr>
                <w:p w14:paraId="67FB84B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监测点位</w:t>
                  </w:r>
                </w:p>
              </w:tc>
            </w:tr>
            <w:tr w14:paraId="2EA5D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55" w:type="dxa"/>
                  <w:vMerge w:val="restart"/>
                  <w:noWrap w:val="0"/>
                  <w:vAlign w:val="center"/>
                </w:tcPr>
                <w:p w14:paraId="3EC7C74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固废</w:t>
                  </w:r>
                </w:p>
              </w:tc>
              <w:tc>
                <w:tcPr>
                  <w:tcW w:w="716" w:type="dxa"/>
                  <w:vMerge w:val="restart"/>
                  <w:noWrap w:val="0"/>
                  <w:vAlign w:val="center"/>
                </w:tcPr>
                <w:p w14:paraId="73453C0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污泥</w:t>
                  </w:r>
                </w:p>
              </w:tc>
              <w:tc>
                <w:tcPr>
                  <w:tcW w:w="1950" w:type="dxa"/>
                  <w:noWrap w:val="0"/>
                  <w:vAlign w:val="center"/>
                </w:tcPr>
                <w:p w14:paraId="3808284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r>
                    <w:rPr>
                      <w:rFonts w:hint="default" w:ascii="Times New Roman" w:hAnsi="Times New Roman" w:eastAsia="宋体" w:cs="Times New Roman"/>
                      <w:b w:val="0"/>
                      <w:bCs w:val="0"/>
                      <w:color w:val="auto"/>
                      <w:sz w:val="21"/>
                      <w:szCs w:val="21"/>
                    </w:rPr>
                    <w:t>含水率</w:t>
                  </w:r>
                </w:p>
              </w:tc>
              <w:tc>
                <w:tcPr>
                  <w:tcW w:w="2908" w:type="dxa"/>
                  <w:vMerge w:val="restart"/>
                  <w:noWrap w:val="0"/>
                  <w:vAlign w:val="center"/>
                </w:tcPr>
                <w:p w14:paraId="58927A0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符合《城镇污水处理厂污染物排放标准》（GB</w:t>
                  </w:r>
                  <w:r>
                    <w:rPr>
                      <w:rFonts w:hint="eastAsia" w:ascii="Times New Roman" w:hAnsi="Times New Roman" w:eastAsia="宋体" w:cs="Times New Roman"/>
                      <w:b w:val="0"/>
                      <w:bCs w:val="0"/>
                      <w:color w:val="auto"/>
                      <w:sz w:val="21"/>
                      <w:szCs w:val="21"/>
                      <w:lang w:val="en-US" w:eastAsia="zh-CN"/>
                    </w:rPr>
                    <w:t xml:space="preserve"> </w:t>
                  </w:r>
                  <w:r>
                    <w:rPr>
                      <w:rFonts w:hint="default" w:ascii="Times New Roman" w:hAnsi="Times New Roman" w:eastAsia="宋体" w:cs="Times New Roman"/>
                      <w:b w:val="0"/>
                      <w:bCs w:val="0"/>
                      <w:color w:val="auto"/>
                      <w:sz w:val="21"/>
                      <w:szCs w:val="21"/>
                    </w:rPr>
                    <w:t>18918-2002）中污泥排放标准</w:t>
                  </w:r>
                </w:p>
              </w:tc>
              <w:tc>
                <w:tcPr>
                  <w:tcW w:w="1105" w:type="dxa"/>
                  <w:noWrap w:val="0"/>
                  <w:vAlign w:val="center"/>
                </w:tcPr>
                <w:p w14:paraId="54E4985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一</w:t>
                  </w:r>
                  <w:r>
                    <w:rPr>
                      <w:rFonts w:hint="eastAsia" w:ascii="Times New Roman" w:hAnsi="Times New Roman" w:cs="Times New Roman"/>
                      <w:b w:val="0"/>
                      <w:bCs w:val="0"/>
                      <w:color w:val="auto"/>
                      <w:sz w:val="21"/>
                      <w:szCs w:val="21"/>
                      <w:lang w:eastAsia="zh-CN"/>
                    </w:rPr>
                    <w:t>日</w:t>
                  </w:r>
                  <w:r>
                    <w:rPr>
                      <w:rFonts w:hint="default" w:ascii="Times New Roman" w:hAnsi="Times New Roman" w:cs="Times New Roman"/>
                      <w:b w:val="0"/>
                      <w:bCs w:val="0"/>
                      <w:color w:val="auto"/>
                      <w:sz w:val="21"/>
                      <w:szCs w:val="21"/>
                    </w:rPr>
                    <w:t>一次</w:t>
                  </w:r>
                </w:p>
              </w:tc>
              <w:tc>
                <w:tcPr>
                  <w:tcW w:w="1423" w:type="dxa"/>
                  <w:vMerge w:val="restart"/>
                  <w:noWrap w:val="0"/>
                  <w:vAlign w:val="center"/>
                </w:tcPr>
                <w:p w14:paraId="2D37BB9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rPr>
                    <w:t>污泥脱水间</w:t>
                  </w:r>
                </w:p>
              </w:tc>
            </w:tr>
            <w:tr w14:paraId="5412D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jc w:val="center"/>
              </w:trPr>
              <w:tc>
                <w:tcPr>
                  <w:tcW w:w="755" w:type="dxa"/>
                  <w:vMerge w:val="continue"/>
                  <w:noWrap w:val="0"/>
                  <w:vAlign w:val="center"/>
                </w:tcPr>
                <w:p w14:paraId="5B1B957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p>
              </w:tc>
              <w:tc>
                <w:tcPr>
                  <w:tcW w:w="716" w:type="dxa"/>
                  <w:vMerge w:val="continue"/>
                  <w:noWrap w:val="0"/>
                  <w:vAlign w:val="center"/>
                </w:tcPr>
                <w:p w14:paraId="2B251C0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p>
              </w:tc>
              <w:tc>
                <w:tcPr>
                  <w:tcW w:w="1950" w:type="dxa"/>
                  <w:noWrap w:val="0"/>
                  <w:vAlign w:val="center"/>
                </w:tcPr>
                <w:p w14:paraId="41D43AF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r>
                    <w:rPr>
                      <w:rFonts w:hint="default" w:ascii="Times New Roman" w:hAnsi="Times New Roman" w:eastAsia="宋体" w:cs="Times New Roman"/>
                      <w:b w:val="0"/>
                      <w:bCs w:val="0"/>
                      <w:color w:val="auto"/>
                      <w:sz w:val="21"/>
                      <w:szCs w:val="21"/>
                    </w:rPr>
                    <w:t>蠕虫卵死亡率、粪大肠群菌值</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有机物降解率</w:t>
                  </w:r>
                </w:p>
              </w:tc>
              <w:tc>
                <w:tcPr>
                  <w:tcW w:w="2908" w:type="dxa"/>
                  <w:vMerge w:val="continue"/>
                  <w:noWrap w:val="0"/>
                  <w:vAlign w:val="center"/>
                </w:tcPr>
                <w:p w14:paraId="568CE39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rPr>
                  </w:pPr>
                </w:p>
              </w:tc>
              <w:tc>
                <w:tcPr>
                  <w:tcW w:w="1105" w:type="dxa"/>
                  <w:noWrap w:val="0"/>
                  <w:vAlign w:val="center"/>
                </w:tcPr>
                <w:p w14:paraId="7479580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一</w:t>
                  </w:r>
                  <w:r>
                    <w:rPr>
                      <w:rFonts w:hint="default" w:ascii="Times New Roman" w:hAnsi="Times New Roman" w:cs="Times New Roman"/>
                      <w:b w:val="0"/>
                      <w:bCs w:val="0"/>
                      <w:color w:val="auto"/>
                      <w:sz w:val="21"/>
                      <w:szCs w:val="21"/>
                      <w:lang w:eastAsia="zh-CN"/>
                    </w:rPr>
                    <w:t>月</w:t>
                  </w:r>
                  <w:r>
                    <w:rPr>
                      <w:rFonts w:hint="default" w:ascii="Times New Roman" w:hAnsi="Times New Roman" w:cs="Times New Roman"/>
                      <w:b w:val="0"/>
                      <w:bCs w:val="0"/>
                      <w:color w:val="auto"/>
                      <w:sz w:val="21"/>
                      <w:szCs w:val="21"/>
                    </w:rPr>
                    <w:t>一次</w:t>
                  </w:r>
                </w:p>
              </w:tc>
              <w:tc>
                <w:tcPr>
                  <w:tcW w:w="1423" w:type="dxa"/>
                  <w:vMerge w:val="continue"/>
                  <w:noWrap w:val="0"/>
                  <w:vAlign w:val="center"/>
                </w:tcPr>
                <w:p w14:paraId="5565A2C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p>
              </w:tc>
            </w:tr>
          </w:tbl>
          <w:p w14:paraId="79CD35B0">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lang w:val="en-US" w:eastAsia="zh-CN"/>
              </w:rPr>
            </w:pPr>
            <w:r>
              <w:rPr>
                <w:rFonts w:hint="default" w:ascii="Times New Roman" w:hAnsi="Times New Roman" w:cs="Times New Roman"/>
                <w:color w:val="auto"/>
                <w:spacing w:val="0"/>
                <w:w w:val="100"/>
                <w:sz w:val="24"/>
                <w:lang w:val="en-US" w:eastAsia="zh-CN"/>
              </w:rPr>
              <w:t>5、土壤及地下水</w:t>
            </w:r>
          </w:p>
          <w:p w14:paraId="4F49AC26">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（1）污染源及污染途径识别</w:t>
            </w:r>
          </w:p>
          <w:p w14:paraId="6413CC0F">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地下水及土壤可能的污染来源为各污水管线、污水池、处理设施等构筑物防渗层由于老化腐蚀等原因出现破裂后，会导致污水处理系统中的废水持续</w:t>
            </w:r>
            <w:r>
              <w:rPr>
                <w:rFonts w:hint="eastAsia" w:ascii="Times New Roman" w:hAnsi="Times New Roman" w:eastAsia="宋体" w:cs="Times New Roman"/>
                <w:b w:val="0"/>
                <w:bCs w:val="0"/>
                <w:color w:val="auto"/>
                <w:spacing w:val="0"/>
                <w:w w:val="100"/>
                <w:sz w:val="24"/>
                <w:szCs w:val="24"/>
                <w:lang w:eastAsia="zh-CN"/>
              </w:rPr>
              <w:t>泄漏</w:t>
            </w:r>
            <w:r>
              <w:rPr>
                <w:rFonts w:hint="default" w:ascii="Times New Roman" w:hAnsi="Times New Roman" w:eastAsia="宋体" w:cs="Times New Roman"/>
                <w:b w:val="0"/>
                <w:bCs w:val="0"/>
                <w:color w:val="auto"/>
                <w:spacing w:val="0"/>
                <w:w w:val="100"/>
                <w:sz w:val="24"/>
                <w:szCs w:val="24"/>
              </w:rPr>
              <w:t>进入地下水系统中，并且下渗进入含水层，对环境造成影响。</w:t>
            </w:r>
          </w:p>
          <w:p w14:paraId="33D0AD14">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本项目主要污染物类型为农村生活污水，不含难降解有机物及重金属等易累积污染物。</w:t>
            </w:r>
          </w:p>
          <w:p w14:paraId="1A3A7495">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（2）污染防控措施</w:t>
            </w:r>
          </w:p>
          <w:p w14:paraId="1D61B04E">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本项目地下水及土壤污染防治措施和对策，应坚持“源头控制、分区防治、污染监控、应急响应”的原则。本项目拟采取的防治措施如下所述。</w:t>
            </w:r>
          </w:p>
          <w:p w14:paraId="0884373F">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①源头控制措施</w:t>
            </w:r>
          </w:p>
          <w:p w14:paraId="276182C2">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项目应根据国家现行相关规范加强环境管理，采取防止和降低污染物跑、冒、滴、漏的措施。正常生产过程中应加强巡检及时处理污染物跑、冒、滴、漏，同时应加强对防渗工程的检查，若发现防渗密封材料老化或损坏</w:t>
            </w:r>
            <w:r>
              <w:rPr>
                <w:rFonts w:hint="default" w:ascii="Times New Roman" w:hAnsi="Times New Roman" w:eastAsia="宋体" w:cs="Times New Roman"/>
                <w:b w:val="0"/>
                <w:bCs w:val="0"/>
                <w:color w:val="auto"/>
                <w:spacing w:val="0"/>
                <w:w w:val="100"/>
                <w:sz w:val="24"/>
                <w:szCs w:val="24"/>
                <w:lang w:val="en-US" w:eastAsia="zh-CN"/>
              </w:rPr>
              <w:t>，</w:t>
            </w:r>
            <w:r>
              <w:rPr>
                <w:rFonts w:hint="default" w:ascii="Times New Roman" w:hAnsi="Times New Roman" w:eastAsia="宋体" w:cs="Times New Roman"/>
                <w:b w:val="0"/>
                <w:bCs w:val="0"/>
                <w:color w:val="auto"/>
                <w:spacing w:val="0"/>
                <w:w w:val="100"/>
                <w:sz w:val="24"/>
                <w:szCs w:val="24"/>
              </w:rPr>
              <w:t>应及时维修更换；检修、拆卸时必须采取措施，集中收集渗漏污水，杜绝任意排放；在厂区</w:t>
            </w:r>
            <w:r>
              <w:rPr>
                <w:rFonts w:hint="eastAsia" w:ascii="Times New Roman" w:hAnsi="Times New Roman" w:eastAsia="宋体" w:cs="Times New Roman"/>
                <w:b w:val="0"/>
                <w:bCs w:val="0"/>
                <w:color w:val="auto"/>
                <w:spacing w:val="0"/>
                <w:w w:val="100"/>
                <w:sz w:val="24"/>
                <w:szCs w:val="24"/>
                <w:lang w:eastAsia="zh-CN"/>
              </w:rPr>
              <w:t>设置</w:t>
            </w:r>
            <w:r>
              <w:rPr>
                <w:rFonts w:hint="default" w:ascii="Times New Roman" w:hAnsi="Times New Roman" w:eastAsia="宋体" w:cs="Times New Roman"/>
                <w:b w:val="0"/>
                <w:bCs w:val="0"/>
                <w:color w:val="auto"/>
                <w:spacing w:val="0"/>
                <w:w w:val="100"/>
                <w:sz w:val="24"/>
                <w:szCs w:val="24"/>
              </w:rPr>
              <w:t>地下水检测点，监控地下水水质受污染情况；穿过构筑物壁的管道预先设置防水套管，套管环缝隙采用柔性材料填塞。</w:t>
            </w:r>
          </w:p>
          <w:p w14:paraId="73ECE78F">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②分区防治措施</w:t>
            </w:r>
          </w:p>
          <w:p w14:paraId="419531EE">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为了避免项目营运对区域地下水及土壤环境的影响，项目制定了厂区污染防治方案，针对不同区域进行防渗设计、采取合理的防渗措施。评价将项目厂区分为重点防渗区、一般防渗区、简单防渗区等三个等级区域，如下表：</w:t>
            </w:r>
          </w:p>
          <w:p w14:paraId="4A7DF326">
            <w:pPr>
              <w:keepNext w:val="0"/>
              <w:keepLines w:val="0"/>
              <w:pageBreakBefore w:val="0"/>
              <w:suppressLineNumbers w:val="0"/>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表</w:t>
            </w:r>
            <w:r>
              <w:rPr>
                <w:rFonts w:hint="eastAsia" w:ascii="Times New Roman" w:hAnsi="Times New Roman" w:eastAsia="宋体" w:cs="Times New Roman"/>
                <w:b w:val="0"/>
                <w:bCs w:val="0"/>
                <w:color w:val="auto"/>
                <w:spacing w:val="0"/>
                <w:w w:val="100"/>
                <w:sz w:val="21"/>
                <w:szCs w:val="21"/>
                <w:lang w:val="en-US" w:eastAsia="zh-CN"/>
              </w:rPr>
              <w:t>4-17</w:t>
            </w:r>
            <w:r>
              <w:rPr>
                <w:rFonts w:hint="default" w:ascii="Times New Roman" w:hAnsi="Times New Roman" w:eastAsia="宋体" w:cs="Times New Roman"/>
                <w:b w:val="0"/>
                <w:bCs w:val="0"/>
                <w:color w:val="auto"/>
                <w:spacing w:val="0"/>
                <w:w w:val="100"/>
                <w:sz w:val="21"/>
                <w:szCs w:val="21"/>
                <w:lang w:val="en-US" w:eastAsia="zh-CN"/>
              </w:rPr>
              <w:t xml:space="preserve">  </w:t>
            </w:r>
            <w:r>
              <w:rPr>
                <w:rFonts w:hint="default" w:ascii="Times New Roman" w:hAnsi="Times New Roman" w:eastAsia="宋体" w:cs="Times New Roman"/>
                <w:b w:val="0"/>
                <w:bCs w:val="0"/>
                <w:color w:val="auto"/>
                <w:spacing w:val="0"/>
                <w:w w:val="100"/>
                <w:sz w:val="21"/>
                <w:szCs w:val="21"/>
              </w:rPr>
              <w:t>本项目地下水污染分区防渗</w:t>
            </w:r>
            <w:r>
              <w:rPr>
                <w:rFonts w:hint="eastAsia" w:ascii="Times New Roman" w:hAnsi="Times New Roman" w:eastAsia="宋体" w:cs="Times New Roman"/>
                <w:b w:val="0"/>
                <w:bCs w:val="0"/>
                <w:color w:val="auto"/>
                <w:spacing w:val="0"/>
                <w:w w:val="100"/>
                <w:sz w:val="21"/>
                <w:szCs w:val="21"/>
                <w:lang w:eastAsia="zh-CN"/>
              </w:rPr>
              <w:t>建议</w:t>
            </w:r>
            <w:r>
              <w:rPr>
                <w:rFonts w:hint="default" w:ascii="Times New Roman" w:hAnsi="Times New Roman" w:eastAsia="宋体" w:cs="Times New Roman"/>
                <w:b w:val="0"/>
                <w:bCs w:val="0"/>
                <w:color w:val="auto"/>
                <w:spacing w:val="0"/>
                <w:w w:val="100"/>
                <w:sz w:val="21"/>
                <w:szCs w:val="21"/>
              </w:rPr>
              <w:t>方案</w:t>
            </w:r>
          </w:p>
          <w:tbl>
            <w:tblPr>
              <w:tblStyle w:val="58"/>
              <w:tblW w:w="895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63"/>
              <w:gridCol w:w="1676"/>
              <w:gridCol w:w="1604"/>
              <w:gridCol w:w="4807"/>
            </w:tblGrid>
            <w:tr w14:paraId="7DD4B1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482" w:type="pct"/>
                  <w:vAlign w:val="center"/>
                </w:tcPr>
                <w:p w14:paraId="75B0CD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防渗分区</w:t>
                  </w:r>
                </w:p>
              </w:tc>
              <w:tc>
                <w:tcPr>
                  <w:tcW w:w="936" w:type="pct"/>
                  <w:vAlign w:val="center"/>
                </w:tcPr>
                <w:p w14:paraId="534F055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本项目构筑物</w:t>
                  </w:r>
                </w:p>
              </w:tc>
              <w:tc>
                <w:tcPr>
                  <w:tcW w:w="896" w:type="pct"/>
                  <w:vAlign w:val="center"/>
                </w:tcPr>
                <w:p w14:paraId="7A9C01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防渗技术要求</w:t>
                  </w:r>
                </w:p>
              </w:tc>
              <w:tc>
                <w:tcPr>
                  <w:tcW w:w="2685" w:type="pct"/>
                  <w:vAlign w:val="center"/>
                </w:tcPr>
                <w:p w14:paraId="019F631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防渗措施</w:t>
                  </w:r>
                </w:p>
              </w:tc>
            </w:tr>
            <w:tr w14:paraId="5868BC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jc w:val="center"/>
              </w:trPr>
              <w:tc>
                <w:tcPr>
                  <w:tcW w:w="482" w:type="pct"/>
                  <w:vAlign w:val="center"/>
                </w:tcPr>
                <w:p w14:paraId="451274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重点防渗</w:t>
                  </w:r>
                </w:p>
              </w:tc>
              <w:tc>
                <w:tcPr>
                  <w:tcW w:w="936" w:type="pct"/>
                  <w:vAlign w:val="center"/>
                </w:tcPr>
                <w:p w14:paraId="49C3038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各单元水池构筑物及污泥池、废水管道、危险废物暂</w:t>
                  </w:r>
                </w:p>
              </w:tc>
              <w:tc>
                <w:tcPr>
                  <w:tcW w:w="896" w:type="pct"/>
                  <w:vAlign w:val="center"/>
                </w:tcPr>
                <w:p w14:paraId="7A68C8B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等效黏土防渗层</w:t>
                  </w:r>
                </w:p>
                <w:p w14:paraId="2C38D72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Mb≥6.0m</w:t>
                  </w:r>
                  <w:r>
                    <w:rPr>
                      <w:rFonts w:hint="eastAsia" w:ascii="Times New Roman" w:hAnsi="Times New Roman" w:eastAsia="宋体" w:cs="Times New Roman"/>
                      <w:b w:val="0"/>
                      <w:bCs w:val="0"/>
                      <w:color w:val="auto"/>
                      <w:spacing w:val="0"/>
                      <w:w w:val="100"/>
                      <w:sz w:val="21"/>
                      <w:szCs w:val="21"/>
                      <w:lang w:eastAsia="zh-CN"/>
                    </w:rPr>
                    <w:t xml:space="preserve">, </w:t>
                  </w:r>
                  <w:r>
                    <w:rPr>
                      <w:rFonts w:hint="default" w:ascii="Times New Roman" w:hAnsi="Times New Roman" w:eastAsia="宋体" w:cs="Times New Roman"/>
                      <w:b w:val="0"/>
                      <w:bCs w:val="0"/>
                      <w:color w:val="auto"/>
                      <w:spacing w:val="0"/>
                      <w:w w:val="100"/>
                      <w:sz w:val="21"/>
                      <w:szCs w:val="21"/>
                    </w:rPr>
                    <w:t>K≤1×10</w:t>
                  </w:r>
                  <w:r>
                    <w:rPr>
                      <w:rFonts w:hint="default" w:ascii="Times New Roman" w:hAnsi="Times New Roman" w:eastAsia="宋体" w:cs="Times New Roman"/>
                      <w:b w:val="0"/>
                      <w:bCs w:val="0"/>
                      <w:color w:val="auto"/>
                      <w:spacing w:val="0"/>
                      <w:w w:val="100"/>
                      <w:sz w:val="21"/>
                      <w:szCs w:val="21"/>
                      <w:vertAlign w:val="superscript"/>
                    </w:rPr>
                    <w:t>-10</w:t>
                  </w:r>
                  <w:r>
                    <w:rPr>
                      <w:rFonts w:hint="default" w:ascii="Times New Roman" w:hAnsi="Times New Roman" w:eastAsia="宋体" w:cs="Times New Roman"/>
                      <w:b w:val="0"/>
                      <w:bCs w:val="0"/>
                      <w:color w:val="auto"/>
                      <w:spacing w:val="0"/>
                      <w:w w:val="100"/>
                      <w:sz w:val="21"/>
                      <w:szCs w:val="21"/>
                    </w:rPr>
                    <w:t>cm/s</w:t>
                  </w:r>
                </w:p>
              </w:tc>
              <w:tc>
                <w:tcPr>
                  <w:tcW w:w="2685" w:type="pct"/>
                  <w:vAlign w:val="center"/>
                </w:tcPr>
                <w:p w14:paraId="1858812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危废暂存间地面和裙脚设置1m厚黏土层+抗渗混凝土（P6）+2mmHDPE，确保渗透系数≤10</w:t>
                  </w:r>
                  <w:r>
                    <w:rPr>
                      <w:rFonts w:hint="default" w:ascii="Times New Roman" w:hAnsi="Times New Roman" w:eastAsia="宋体" w:cs="Times New Roman"/>
                      <w:b w:val="0"/>
                      <w:bCs w:val="0"/>
                      <w:color w:val="auto"/>
                      <w:spacing w:val="0"/>
                      <w:w w:val="100"/>
                      <w:position w:val="6"/>
                      <w:sz w:val="21"/>
                      <w:szCs w:val="21"/>
                      <w:vertAlign w:val="superscript"/>
                    </w:rPr>
                    <w:t>-10</w:t>
                  </w:r>
                  <w:r>
                    <w:rPr>
                      <w:rFonts w:hint="default" w:ascii="Times New Roman" w:hAnsi="Times New Roman" w:eastAsia="宋体" w:cs="Times New Roman"/>
                      <w:b w:val="0"/>
                      <w:bCs w:val="0"/>
                      <w:color w:val="auto"/>
                      <w:spacing w:val="0"/>
                      <w:w w:val="100"/>
                      <w:sz w:val="21"/>
                      <w:szCs w:val="21"/>
                    </w:rPr>
                    <w:t>cm/s；污水处理构筑物重点防渗区应按照要求进行“防渗、防腐”处理，水泥基渗透结晶抗渗混凝土（厚度</w:t>
                  </w:r>
                  <w:r>
                    <w:rPr>
                      <w:rFonts w:hint="eastAsia" w:ascii="Times New Roman" w:hAnsi="Times New Roman" w:eastAsia="宋体" w:cs="Times New Roman"/>
                      <w:b w:val="0"/>
                      <w:bCs w:val="0"/>
                      <w:color w:val="auto"/>
                      <w:spacing w:val="0"/>
                      <w:w w:val="100"/>
                      <w:sz w:val="21"/>
                      <w:szCs w:val="21"/>
                      <w:lang w:eastAsia="zh-CN"/>
                    </w:rPr>
                    <w:t>不宜</w:t>
                  </w:r>
                  <w:r>
                    <w:rPr>
                      <w:rFonts w:hint="default" w:ascii="Times New Roman" w:hAnsi="Times New Roman" w:eastAsia="宋体" w:cs="Times New Roman"/>
                      <w:b w:val="0"/>
                      <w:bCs w:val="0"/>
                      <w:color w:val="auto"/>
                      <w:spacing w:val="0"/>
                      <w:w w:val="100"/>
                      <w:sz w:val="21"/>
                      <w:szCs w:val="21"/>
                    </w:rPr>
                    <w:t>小于150mm）+水泥基渗透结晶型防渗涂层（厚度不小于0.8mm）+HDPE土工膜（厚度不小于1.5mm）结构形式，防渗结构层渗透系数不应大于1.0×10</w:t>
                  </w:r>
                  <w:r>
                    <w:rPr>
                      <w:rFonts w:hint="default" w:ascii="Times New Roman" w:hAnsi="Times New Roman" w:eastAsia="宋体" w:cs="Times New Roman"/>
                      <w:b w:val="0"/>
                      <w:bCs w:val="0"/>
                      <w:color w:val="auto"/>
                      <w:spacing w:val="0"/>
                      <w:w w:val="100"/>
                      <w:sz w:val="21"/>
                      <w:szCs w:val="21"/>
                      <w:vertAlign w:val="superscript"/>
                    </w:rPr>
                    <w:t>-10</w:t>
                  </w:r>
                  <w:r>
                    <w:rPr>
                      <w:rFonts w:hint="default" w:ascii="Times New Roman" w:hAnsi="Times New Roman" w:eastAsia="宋体" w:cs="Times New Roman"/>
                      <w:b w:val="0"/>
                      <w:bCs w:val="0"/>
                      <w:color w:val="auto"/>
                      <w:spacing w:val="0"/>
                      <w:w w:val="100"/>
                      <w:sz w:val="21"/>
                      <w:szCs w:val="21"/>
                    </w:rPr>
                    <w:t>cm/s。</w:t>
                  </w:r>
                </w:p>
              </w:tc>
            </w:tr>
            <w:tr w14:paraId="28EDA5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9" w:hRule="atLeast"/>
                <w:jc w:val="center"/>
              </w:trPr>
              <w:tc>
                <w:tcPr>
                  <w:tcW w:w="482" w:type="pct"/>
                  <w:vAlign w:val="center"/>
                </w:tcPr>
                <w:p w14:paraId="27281A5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一般防渗</w:t>
                  </w:r>
                </w:p>
              </w:tc>
              <w:tc>
                <w:tcPr>
                  <w:tcW w:w="936" w:type="pct"/>
                  <w:vAlign w:val="center"/>
                </w:tcPr>
                <w:p w14:paraId="25942FF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在线监测仪表间、变配电间等</w:t>
                  </w:r>
                </w:p>
              </w:tc>
              <w:tc>
                <w:tcPr>
                  <w:tcW w:w="896" w:type="pct"/>
                  <w:vAlign w:val="center"/>
                </w:tcPr>
                <w:p w14:paraId="2FA6E0A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等效黏土防渗层Mb≥1.5m，K≤1×10</w:t>
                  </w:r>
                  <w:r>
                    <w:rPr>
                      <w:rFonts w:hint="default" w:ascii="Times New Roman" w:hAnsi="Times New Roman" w:eastAsia="宋体" w:cs="Times New Roman"/>
                      <w:b w:val="0"/>
                      <w:bCs w:val="0"/>
                      <w:color w:val="auto"/>
                      <w:spacing w:val="0"/>
                      <w:w w:val="100"/>
                      <w:position w:val="6"/>
                      <w:sz w:val="21"/>
                      <w:szCs w:val="21"/>
                      <w:vertAlign w:val="superscript"/>
                    </w:rPr>
                    <w:t>-7</w:t>
                  </w:r>
                  <w:r>
                    <w:rPr>
                      <w:rFonts w:hint="default" w:ascii="Times New Roman" w:hAnsi="Times New Roman" w:eastAsia="宋体" w:cs="Times New Roman"/>
                      <w:b w:val="0"/>
                      <w:bCs w:val="0"/>
                      <w:color w:val="auto"/>
                      <w:spacing w:val="0"/>
                      <w:w w:val="100"/>
                      <w:sz w:val="21"/>
                      <w:szCs w:val="21"/>
                    </w:rPr>
                    <w:t>cm/s</w:t>
                  </w:r>
                </w:p>
              </w:tc>
              <w:tc>
                <w:tcPr>
                  <w:tcW w:w="2685" w:type="pct"/>
                  <w:vAlign w:val="center"/>
                </w:tcPr>
                <w:p w14:paraId="516F14C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采取粘土铺底，再在上层铺20cm的钢筋混凝土进行硬化，渗透系数K≤1×10</w:t>
                  </w:r>
                  <w:r>
                    <w:rPr>
                      <w:rFonts w:hint="default" w:ascii="Times New Roman" w:hAnsi="Times New Roman" w:eastAsia="宋体" w:cs="Times New Roman"/>
                      <w:b w:val="0"/>
                      <w:bCs w:val="0"/>
                      <w:color w:val="auto"/>
                      <w:spacing w:val="0"/>
                      <w:w w:val="100"/>
                      <w:position w:val="6"/>
                      <w:sz w:val="21"/>
                      <w:szCs w:val="21"/>
                      <w:vertAlign w:val="superscript"/>
                      <w:lang w:val="en-US" w:eastAsia="zh-CN"/>
                    </w:rPr>
                    <w:t>-7</w:t>
                  </w:r>
                  <w:r>
                    <w:rPr>
                      <w:rFonts w:hint="default" w:ascii="Times New Roman" w:hAnsi="Times New Roman" w:eastAsia="宋体" w:cs="Times New Roman"/>
                      <w:b w:val="0"/>
                      <w:bCs w:val="0"/>
                      <w:color w:val="auto"/>
                      <w:spacing w:val="0"/>
                      <w:w w:val="100"/>
                      <w:sz w:val="21"/>
                      <w:szCs w:val="21"/>
                    </w:rPr>
                    <w:t>cm/s。</w:t>
                  </w:r>
                </w:p>
              </w:tc>
            </w:tr>
            <w:tr w14:paraId="47F260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9" w:hRule="atLeast"/>
                <w:jc w:val="center"/>
              </w:trPr>
              <w:tc>
                <w:tcPr>
                  <w:tcW w:w="482" w:type="pct"/>
                  <w:vAlign w:val="center"/>
                </w:tcPr>
                <w:p w14:paraId="190F47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简单防渗</w:t>
                  </w:r>
                </w:p>
              </w:tc>
              <w:tc>
                <w:tcPr>
                  <w:tcW w:w="936" w:type="pct"/>
                  <w:vAlign w:val="center"/>
                </w:tcPr>
                <w:p w14:paraId="344561D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厂区综合楼、鼓风机房、厂区道路</w:t>
                  </w:r>
                </w:p>
              </w:tc>
              <w:tc>
                <w:tcPr>
                  <w:tcW w:w="896" w:type="pct"/>
                  <w:vAlign w:val="center"/>
                </w:tcPr>
                <w:p w14:paraId="537B41A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一般地面硬化</w:t>
                  </w:r>
                </w:p>
              </w:tc>
              <w:tc>
                <w:tcPr>
                  <w:tcW w:w="2685" w:type="pct"/>
                  <w:vAlign w:val="center"/>
                </w:tcPr>
                <w:p w14:paraId="222FE55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一般地面硬化</w:t>
                  </w:r>
                </w:p>
              </w:tc>
            </w:tr>
          </w:tbl>
          <w:p w14:paraId="0D2F359B">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eastAsia" w:ascii="Times New Roman" w:hAnsi="Times New Roman" w:eastAsia="宋体" w:cs="Times New Roman"/>
                <w:b w:val="0"/>
                <w:bCs w:val="0"/>
                <w:color w:val="auto"/>
                <w:spacing w:val="0"/>
                <w:w w:val="100"/>
                <w:sz w:val="24"/>
                <w:szCs w:val="24"/>
                <w:lang w:val="en-US" w:eastAsia="zh-CN"/>
              </w:rPr>
              <w:t>1）</w:t>
            </w:r>
            <w:r>
              <w:rPr>
                <w:rFonts w:hint="default" w:ascii="Times New Roman" w:hAnsi="Times New Roman" w:eastAsia="宋体" w:cs="Times New Roman"/>
                <w:b w:val="0"/>
                <w:bCs w:val="0"/>
                <w:color w:val="auto"/>
                <w:spacing w:val="0"/>
                <w:w w:val="100"/>
                <w:sz w:val="24"/>
                <w:szCs w:val="24"/>
              </w:rPr>
              <w:t>重点防渗区：</w:t>
            </w:r>
          </w:p>
          <w:p w14:paraId="73044621">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①所有废水、污泥处理构筑物池体混凝土抗压强度、抗渗、抗冻性能必须达到设计要求；底板混凝土高程和坡度要满足设计要求；池壁要垂直、表面平整，</w:t>
            </w:r>
            <w:r>
              <w:rPr>
                <w:rFonts w:hint="eastAsia" w:ascii="Times New Roman" w:hAnsi="Times New Roman" w:eastAsia="宋体" w:cs="Times New Roman"/>
                <w:b w:val="0"/>
                <w:bCs w:val="0"/>
                <w:color w:val="auto"/>
                <w:spacing w:val="0"/>
                <w:w w:val="100"/>
                <w:sz w:val="24"/>
                <w:szCs w:val="24"/>
                <w:lang w:eastAsia="zh-CN"/>
              </w:rPr>
              <w:t>相邻</w:t>
            </w:r>
            <w:r>
              <w:rPr>
                <w:rFonts w:hint="default" w:ascii="Times New Roman" w:hAnsi="Times New Roman" w:eastAsia="宋体" w:cs="Times New Roman"/>
                <w:b w:val="0"/>
                <w:bCs w:val="0"/>
                <w:color w:val="auto"/>
                <w:spacing w:val="0"/>
                <w:w w:val="100"/>
                <w:sz w:val="24"/>
                <w:szCs w:val="24"/>
              </w:rPr>
              <w:t>湿接缝部位的混凝土应紧密，保护层厚度符合规定；浇注池壁混凝土前，混凝土施工缝应凿毛冲洗干净，混凝土要衔接紧密不得渗漏；预埋管件、止水带和填缝板要安装牢固，位置准确；每座水池必须做满水</w:t>
            </w:r>
            <w:r>
              <w:rPr>
                <w:rFonts w:hint="eastAsia" w:ascii="Times New Roman" w:hAnsi="Times New Roman" w:eastAsia="宋体" w:cs="Times New Roman"/>
                <w:b w:val="0"/>
                <w:bCs w:val="0"/>
                <w:color w:val="auto"/>
                <w:spacing w:val="0"/>
                <w:w w:val="100"/>
                <w:sz w:val="24"/>
                <w:szCs w:val="24"/>
                <w:lang w:eastAsia="zh-CN"/>
              </w:rPr>
              <w:t>试验</w:t>
            </w:r>
            <w:r>
              <w:rPr>
                <w:rFonts w:hint="default" w:ascii="Times New Roman" w:hAnsi="Times New Roman" w:eastAsia="宋体" w:cs="Times New Roman"/>
                <w:b w:val="0"/>
                <w:bCs w:val="0"/>
                <w:color w:val="auto"/>
                <w:spacing w:val="0"/>
                <w:w w:val="100"/>
                <w:sz w:val="24"/>
                <w:szCs w:val="24"/>
              </w:rPr>
              <w:t>，确保质量合格。</w:t>
            </w:r>
          </w:p>
          <w:p w14:paraId="039EF388">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②废水管道</w:t>
            </w:r>
          </w:p>
          <w:p w14:paraId="1FBCA8E4">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废水、污泥输送全部采用管道输送，本次评价对</w:t>
            </w:r>
            <w:r>
              <w:rPr>
                <w:rFonts w:hint="eastAsia" w:ascii="Times New Roman" w:hAnsi="Times New Roman" w:eastAsia="宋体" w:cs="Times New Roman"/>
                <w:b w:val="0"/>
                <w:bCs w:val="0"/>
                <w:color w:val="auto"/>
                <w:spacing w:val="0"/>
                <w:w w:val="100"/>
                <w:sz w:val="24"/>
                <w:szCs w:val="24"/>
                <w:lang w:val="en-US" w:eastAsia="zh-CN"/>
              </w:rPr>
              <w:t>厂区</w:t>
            </w:r>
            <w:r>
              <w:rPr>
                <w:rFonts w:hint="default" w:ascii="Times New Roman" w:hAnsi="Times New Roman" w:eastAsia="宋体" w:cs="Times New Roman"/>
                <w:b w:val="0"/>
                <w:bCs w:val="0"/>
                <w:color w:val="auto"/>
                <w:spacing w:val="0"/>
                <w:w w:val="100"/>
                <w:sz w:val="24"/>
                <w:szCs w:val="24"/>
              </w:rPr>
              <w:t>废水、污泥输送管道提出如下要求：</w:t>
            </w:r>
          </w:p>
          <w:p w14:paraId="0F3F8FBE">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A、排水管道必须具有足够的强度，以承受外部荷载和内部水压，外部荷载包括土压力形成的静荷载和由车辆运行所造成的动荷载。重力流排水管道在发生淤塞，也会形成内部水压，因此重力流排水管道也需适当考虑承受内压力。</w:t>
            </w:r>
          </w:p>
          <w:p w14:paraId="71A55C32">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B、排水管渠除具有抗废水中杂质的冲刷和磨损的作用外，还应该具有一定的抗腐蚀的性能，以免受废水或地下水的侵蚀作用而损坏。</w:t>
            </w:r>
          </w:p>
          <w:p w14:paraId="271E619E">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C、排水管道应具有良好的防渗漏性能，以防止废水渗出或地下水渗入。废水从管道渗出，不仅会污染地下水或土壤，还可能导致破坏管道及附近建筑物的基础；而地下水渗入污水管道，将降低管道的排水能力，增大污水泵站及处理构筑物的水力负荷。</w:t>
            </w:r>
          </w:p>
          <w:p w14:paraId="2AFD16C9">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D、</w:t>
            </w:r>
            <w:r>
              <w:rPr>
                <w:rFonts w:hint="eastAsia" w:ascii="Times New Roman" w:hAnsi="Times New Roman" w:eastAsia="宋体" w:cs="Times New Roman"/>
                <w:b w:val="0"/>
                <w:bCs w:val="0"/>
                <w:color w:val="auto"/>
                <w:spacing w:val="0"/>
                <w:w w:val="100"/>
                <w:sz w:val="24"/>
                <w:szCs w:val="24"/>
                <w:lang w:eastAsia="zh-CN"/>
              </w:rPr>
              <w:t>排水管道</w:t>
            </w:r>
            <w:r>
              <w:rPr>
                <w:rFonts w:hint="default" w:ascii="Times New Roman" w:hAnsi="Times New Roman" w:eastAsia="宋体" w:cs="Times New Roman"/>
                <w:b w:val="0"/>
                <w:bCs w:val="0"/>
                <w:color w:val="auto"/>
                <w:spacing w:val="0"/>
                <w:w w:val="100"/>
                <w:sz w:val="24"/>
                <w:szCs w:val="24"/>
              </w:rPr>
              <w:t>的内壁应光滑，以尽量减小管道输水的阻力损失。</w:t>
            </w:r>
          </w:p>
          <w:p w14:paraId="746AE89D">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E、加强施工质量管理，对管道和施工技术质量要求进行严格控制。</w:t>
            </w:r>
          </w:p>
          <w:p w14:paraId="49789879">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③采用仪器设备定期检测管道漏点，及时处理，检查法兰、阀门、弯管和三通等部位，减少管道中的跑冒滴漏现象，将污染物控制在源头；加强固废（污泥、生活垃圾）的跟踪管理，防止污水或固体渗滤液渗漏污染地下水及土壤。</w:t>
            </w:r>
          </w:p>
          <w:p w14:paraId="6C537596">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④重点污染防治区，危险废物暂存间按照</w:t>
            </w:r>
            <w:r>
              <w:rPr>
                <w:rFonts w:hint="eastAsia" w:ascii="Times New Roman" w:hAnsi="Times New Roman" w:eastAsia="宋体" w:cs="Times New Roman"/>
                <w:b w:val="0"/>
                <w:bCs w:val="0"/>
                <w:color w:val="auto"/>
                <w:spacing w:val="0"/>
                <w:w w:val="100"/>
                <w:sz w:val="24"/>
                <w:szCs w:val="24"/>
                <w:lang w:eastAsia="zh-CN"/>
              </w:rPr>
              <w:t>《危险废物贮存污染控制标准》（GB18597-2023）</w:t>
            </w:r>
            <w:r>
              <w:rPr>
                <w:rFonts w:hint="default" w:ascii="Times New Roman" w:hAnsi="Times New Roman" w:eastAsia="宋体" w:cs="Times New Roman"/>
                <w:b w:val="0"/>
                <w:bCs w:val="0"/>
                <w:color w:val="auto"/>
                <w:spacing w:val="0"/>
                <w:w w:val="100"/>
                <w:sz w:val="24"/>
                <w:szCs w:val="24"/>
              </w:rPr>
              <w:t>的要求进行防风、防雨、防晒“三防”措施，危废暂存间地面和裙脚设置1m厚黏土层+抗渗混凝土（P6）+2mmHDPE，确保渗透系数≤10</w:t>
            </w:r>
            <w:r>
              <w:rPr>
                <w:rFonts w:hint="eastAsia" w:ascii="Times New Roman" w:hAnsi="Times New Roman" w:eastAsia="宋体" w:cs="Times New Roman"/>
                <w:b w:val="0"/>
                <w:bCs w:val="0"/>
                <w:color w:val="auto"/>
                <w:spacing w:val="0"/>
                <w:w w:val="100"/>
                <w:sz w:val="24"/>
                <w:szCs w:val="24"/>
                <w:vertAlign w:val="superscript"/>
                <w:lang w:val="en-US" w:eastAsia="zh-CN"/>
              </w:rPr>
              <w:t>-</w:t>
            </w:r>
            <w:r>
              <w:rPr>
                <w:rFonts w:hint="default" w:ascii="Times New Roman" w:hAnsi="Times New Roman" w:eastAsia="宋体" w:cs="Times New Roman"/>
                <w:b w:val="0"/>
                <w:bCs w:val="0"/>
                <w:color w:val="auto"/>
                <w:spacing w:val="0"/>
                <w:w w:val="100"/>
                <w:sz w:val="24"/>
                <w:szCs w:val="24"/>
                <w:vertAlign w:val="superscript"/>
              </w:rPr>
              <w:t>10</w:t>
            </w:r>
            <w:r>
              <w:rPr>
                <w:rFonts w:hint="default" w:ascii="Times New Roman" w:hAnsi="Times New Roman" w:eastAsia="宋体" w:cs="Times New Roman"/>
                <w:b w:val="0"/>
                <w:bCs w:val="0"/>
                <w:color w:val="auto"/>
                <w:spacing w:val="0"/>
                <w:w w:val="100"/>
                <w:sz w:val="24"/>
                <w:szCs w:val="24"/>
              </w:rPr>
              <w:t>cm/s，同时在放置危险废物区域内设置堵截泄漏的裙脚，地面与裙脚所围建的容积不低于堵截最大容器的最大储量，防止泄漏液体流出，并有利于泄漏液体的收集。</w:t>
            </w:r>
          </w:p>
          <w:p w14:paraId="57C9E799">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污水处理构筑物重点防渗区应按照要求进行“防渗、防腐”处理，水泥基渗透结晶抗渗混凝土（厚度</w:t>
            </w:r>
            <w:r>
              <w:rPr>
                <w:rFonts w:hint="eastAsia" w:ascii="Times New Roman" w:hAnsi="Times New Roman" w:eastAsia="宋体" w:cs="Times New Roman"/>
                <w:b w:val="0"/>
                <w:bCs w:val="0"/>
                <w:color w:val="auto"/>
                <w:spacing w:val="0"/>
                <w:w w:val="100"/>
                <w:sz w:val="24"/>
                <w:szCs w:val="24"/>
                <w:lang w:eastAsia="zh-CN"/>
              </w:rPr>
              <w:t>不宜</w:t>
            </w:r>
            <w:r>
              <w:rPr>
                <w:rFonts w:hint="default" w:ascii="Times New Roman" w:hAnsi="Times New Roman" w:eastAsia="宋体" w:cs="Times New Roman"/>
                <w:b w:val="0"/>
                <w:bCs w:val="0"/>
                <w:color w:val="auto"/>
                <w:spacing w:val="0"/>
                <w:w w:val="100"/>
                <w:sz w:val="24"/>
                <w:szCs w:val="24"/>
              </w:rPr>
              <w:t>小于150mm）+水泥基渗透结晶型防渗涂层（厚度不小于0.8mm）+HDPE土工膜（厚度不小于1.5mm）结构形式，防渗结构层渗透系数不应大于1.0×10</w:t>
            </w:r>
            <w:r>
              <w:rPr>
                <w:rFonts w:hint="default" w:ascii="Times New Roman" w:hAnsi="Times New Roman" w:eastAsia="宋体" w:cs="Times New Roman"/>
                <w:b w:val="0"/>
                <w:bCs w:val="0"/>
                <w:color w:val="auto"/>
                <w:spacing w:val="0"/>
                <w:w w:val="100"/>
                <w:sz w:val="24"/>
                <w:szCs w:val="24"/>
                <w:vertAlign w:val="superscript"/>
              </w:rPr>
              <w:t>-10</w:t>
            </w:r>
            <w:r>
              <w:rPr>
                <w:rFonts w:hint="default" w:ascii="Times New Roman" w:hAnsi="Times New Roman" w:eastAsia="宋体" w:cs="Times New Roman"/>
                <w:b w:val="0"/>
                <w:bCs w:val="0"/>
                <w:color w:val="auto"/>
                <w:spacing w:val="0"/>
                <w:w w:val="100"/>
                <w:sz w:val="24"/>
                <w:szCs w:val="24"/>
              </w:rPr>
              <w:t>cm/s。</w:t>
            </w:r>
          </w:p>
          <w:p w14:paraId="4E56DE6F">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2）</w:t>
            </w:r>
            <w:r>
              <w:rPr>
                <w:rFonts w:hint="default" w:ascii="Times New Roman" w:hAnsi="Times New Roman" w:eastAsia="宋体" w:cs="Times New Roman"/>
                <w:b w:val="0"/>
                <w:bCs w:val="0"/>
                <w:color w:val="auto"/>
                <w:spacing w:val="0"/>
                <w:w w:val="100"/>
                <w:sz w:val="24"/>
                <w:szCs w:val="24"/>
              </w:rPr>
              <w:t>一般防渗区：</w:t>
            </w:r>
          </w:p>
          <w:p w14:paraId="06EF6DF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在线监测仪表间、变配电间做地面一般防渗，采取粘土铺底，再在上层铺20cm的钢筋混凝土进行硬化，渗透系数K≤1×10</w:t>
            </w:r>
            <w:r>
              <w:rPr>
                <w:rFonts w:hint="eastAsia" w:ascii="Times New Roman" w:hAnsi="Times New Roman" w:eastAsia="宋体" w:cs="Times New Roman"/>
                <w:b w:val="0"/>
                <w:bCs w:val="0"/>
                <w:color w:val="auto"/>
                <w:spacing w:val="0"/>
                <w:w w:val="100"/>
                <w:sz w:val="24"/>
                <w:szCs w:val="24"/>
                <w:vertAlign w:val="superscript"/>
                <w:lang w:val="en-US" w:eastAsia="zh-CN"/>
              </w:rPr>
              <w:t>-7</w:t>
            </w:r>
            <w:r>
              <w:rPr>
                <w:rFonts w:hint="default" w:ascii="Times New Roman" w:hAnsi="Times New Roman" w:eastAsia="宋体" w:cs="Times New Roman"/>
                <w:b w:val="0"/>
                <w:bCs w:val="0"/>
                <w:color w:val="auto"/>
                <w:spacing w:val="0"/>
                <w:w w:val="100"/>
                <w:sz w:val="24"/>
                <w:szCs w:val="24"/>
              </w:rPr>
              <w:t>cm/s。</w:t>
            </w:r>
          </w:p>
          <w:p w14:paraId="452D468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rPr>
            </w:pPr>
            <w:r>
              <w:rPr>
                <w:rFonts w:hint="eastAsia" w:ascii="Times New Roman" w:hAnsi="Times New Roman" w:eastAsia="宋体" w:cs="Times New Roman"/>
                <w:b w:val="0"/>
                <w:bCs w:val="0"/>
                <w:color w:val="auto"/>
                <w:spacing w:val="0"/>
                <w:w w:val="100"/>
                <w:sz w:val="24"/>
                <w:szCs w:val="24"/>
                <w:lang w:val="en-US" w:eastAsia="zh-CN"/>
              </w:rPr>
              <w:t>3）</w:t>
            </w:r>
            <w:r>
              <w:rPr>
                <w:rFonts w:hint="default" w:ascii="Times New Roman" w:hAnsi="Times New Roman" w:eastAsia="宋体" w:cs="Times New Roman"/>
                <w:b w:val="0"/>
                <w:bCs w:val="0"/>
                <w:color w:val="auto"/>
                <w:spacing w:val="0"/>
                <w:w w:val="100"/>
                <w:sz w:val="24"/>
                <w:szCs w:val="24"/>
              </w:rPr>
              <w:t>简单防渗区：</w:t>
            </w:r>
          </w:p>
          <w:p w14:paraId="57A19F3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厂区综合楼、鼓风机房、厂区道路进行一般水泥硬化。</w:t>
            </w:r>
          </w:p>
          <w:p w14:paraId="5D300F1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分析认为，项目在实施过程中对废水产、排点采取了严格的防渗措施，排水管网定期巡检，可杜绝地下水污染隐患，项目建设区域对地下水及土壤环境的影响不明显。</w:t>
            </w:r>
          </w:p>
          <w:p w14:paraId="6D9614D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③污染跟踪监控</w:t>
            </w:r>
          </w:p>
          <w:p w14:paraId="7285B29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rPr>
            </w:pPr>
            <w:r>
              <w:rPr>
                <w:rFonts w:hint="eastAsia" w:ascii="Times New Roman" w:hAnsi="Times New Roman" w:eastAsia="宋体" w:cs="Times New Roman"/>
                <w:b w:val="0"/>
                <w:bCs w:val="0"/>
                <w:color w:val="auto"/>
                <w:spacing w:val="0"/>
                <w:w w:val="100"/>
                <w:sz w:val="24"/>
                <w:szCs w:val="24"/>
                <w:lang w:eastAsia="zh-CN"/>
              </w:rPr>
              <w:t>根据</w:t>
            </w:r>
            <w:r>
              <w:rPr>
                <w:rFonts w:hint="default" w:ascii="Times New Roman" w:hAnsi="Times New Roman" w:eastAsia="宋体" w:cs="Times New Roman"/>
                <w:b w:val="0"/>
                <w:bCs w:val="0"/>
                <w:color w:val="auto"/>
                <w:spacing w:val="0"/>
                <w:w w:val="100"/>
                <w:sz w:val="24"/>
                <w:szCs w:val="24"/>
              </w:rPr>
              <w:t>《排污单位自行监测技术指南</w:t>
            </w:r>
            <w:r>
              <w:rPr>
                <w:rFonts w:hint="eastAsia" w:ascii="Times New Roman" w:hAnsi="Times New Roman" w:eastAsia="宋体" w:cs="Times New Roman"/>
                <w:b w:val="0"/>
                <w:bCs w:val="0"/>
                <w:color w:val="auto"/>
                <w:spacing w:val="0"/>
                <w:w w:val="100"/>
                <w:sz w:val="24"/>
                <w:szCs w:val="24"/>
                <w:lang w:val="en-US" w:eastAsia="zh-CN"/>
              </w:rPr>
              <w:t xml:space="preserve"> 水处理</w:t>
            </w:r>
            <w:r>
              <w:rPr>
                <w:rFonts w:hint="default" w:ascii="Times New Roman" w:hAnsi="Times New Roman" w:eastAsia="宋体" w:cs="Times New Roman"/>
                <w:b w:val="0"/>
                <w:bCs w:val="0"/>
                <w:color w:val="auto"/>
                <w:spacing w:val="0"/>
                <w:w w:val="100"/>
                <w:sz w:val="24"/>
                <w:szCs w:val="24"/>
              </w:rPr>
              <w:t>》（HJ</w:t>
            </w:r>
            <w:r>
              <w:rPr>
                <w:rFonts w:hint="eastAsia" w:ascii="Times New Roman" w:hAnsi="Times New Roman" w:eastAsia="宋体" w:cs="Times New Roman"/>
                <w:b w:val="0"/>
                <w:bCs w:val="0"/>
                <w:color w:val="auto"/>
                <w:spacing w:val="0"/>
                <w:w w:val="100"/>
                <w:sz w:val="24"/>
                <w:szCs w:val="24"/>
                <w:lang w:val="en-US" w:eastAsia="zh-CN"/>
              </w:rPr>
              <w:t>1083</w:t>
            </w:r>
            <w:r>
              <w:rPr>
                <w:rFonts w:hint="default" w:ascii="Times New Roman" w:hAnsi="Times New Roman" w:eastAsia="宋体" w:cs="Times New Roman"/>
                <w:b w:val="0"/>
                <w:bCs w:val="0"/>
                <w:color w:val="auto"/>
                <w:spacing w:val="0"/>
                <w:w w:val="100"/>
                <w:sz w:val="24"/>
                <w:szCs w:val="24"/>
              </w:rPr>
              <w:t>-20</w:t>
            </w:r>
            <w:r>
              <w:rPr>
                <w:rFonts w:hint="eastAsia" w:ascii="Times New Roman" w:hAnsi="Times New Roman" w:eastAsia="宋体" w:cs="Times New Roman"/>
                <w:b w:val="0"/>
                <w:bCs w:val="0"/>
                <w:color w:val="auto"/>
                <w:spacing w:val="0"/>
                <w:w w:val="100"/>
                <w:sz w:val="24"/>
                <w:szCs w:val="24"/>
                <w:lang w:val="en-US" w:eastAsia="zh-CN"/>
              </w:rPr>
              <w:t>20</w:t>
            </w:r>
            <w:r>
              <w:rPr>
                <w:rFonts w:hint="default" w:ascii="Times New Roman" w:hAnsi="Times New Roman" w:eastAsia="宋体" w:cs="Times New Roman"/>
                <w:b w:val="0"/>
                <w:bCs w:val="0"/>
                <w:color w:val="auto"/>
                <w:spacing w:val="0"/>
                <w:w w:val="100"/>
                <w:sz w:val="24"/>
                <w:szCs w:val="24"/>
              </w:rPr>
              <w:t>）</w:t>
            </w:r>
            <w:r>
              <w:rPr>
                <w:rFonts w:hint="eastAsia" w:ascii="Times New Roman" w:hAnsi="Times New Roman" w:eastAsia="宋体" w:cs="Times New Roman"/>
                <w:b w:val="0"/>
                <w:bCs w:val="0"/>
                <w:color w:val="auto"/>
                <w:spacing w:val="0"/>
                <w:w w:val="100"/>
                <w:sz w:val="24"/>
                <w:szCs w:val="24"/>
                <w:lang w:eastAsia="zh-CN"/>
              </w:rPr>
              <w:t>，</w:t>
            </w:r>
            <w:r>
              <w:rPr>
                <w:rFonts w:hint="eastAsia" w:ascii="Times New Roman" w:hAnsi="Times New Roman" w:eastAsia="宋体" w:cs="Times New Roman"/>
                <w:b w:val="0"/>
                <w:bCs w:val="0"/>
                <w:color w:val="auto"/>
                <w:spacing w:val="0"/>
                <w:w w:val="100"/>
                <w:sz w:val="24"/>
                <w:szCs w:val="24"/>
                <w:lang w:val="en-US" w:eastAsia="zh-CN"/>
              </w:rPr>
              <w:t>本项目无需进行地下水监测。并根据</w:t>
            </w:r>
            <w:r>
              <w:rPr>
                <w:rFonts w:hint="default" w:ascii="Times New Roman" w:hAnsi="Times New Roman" w:eastAsia="宋体" w:cs="Times New Roman"/>
                <w:b w:val="0"/>
                <w:bCs w:val="0"/>
                <w:color w:val="auto"/>
                <w:spacing w:val="0"/>
                <w:w w:val="100"/>
                <w:sz w:val="24"/>
                <w:szCs w:val="24"/>
              </w:rPr>
              <w:t>《排污单位自行监测技术指南总则》（HJ819-2017）、《排污许可证申请与核发技术规范总则（HJ942-2018）》，</w:t>
            </w:r>
            <w:r>
              <w:rPr>
                <w:rFonts w:hint="eastAsia" w:ascii="Times New Roman" w:hAnsi="Times New Roman" w:eastAsia="宋体" w:cs="Times New Roman"/>
                <w:b w:val="0"/>
                <w:bCs w:val="0"/>
                <w:color w:val="auto"/>
                <w:spacing w:val="0"/>
                <w:w w:val="100"/>
                <w:sz w:val="24"/>
                <w:szCs w:val="24"/>
                <w:lang w:eastAsia="zh-CN"/>
              </w:rPr>
              <w:t>“</w:t>
            </w:r>
            <w:r>
              <w:rPr>
                <w:rFonts w:hint="eastAsia" w:ascii="Times New Roman" w:hAnsi="Times New Roman" w:eastAsia="宋体" w:cs="Times New Roman"/>
                <w:b w:val="0"/>
                <w:bCs w:val="0"/>
                <w:color w:val="auto"/>
                <w:spacing w:val="0"/>
                <w:w w:val="100"/>
                <w:sz w:val="24"/>
                <w:szCs w:val="24"/>
                <w:lang w:val="en-US" w:eastAsia="zh-CN"/>
              </w:rPr>
              <w:t>涉重金属、难降解类有机污染物等重点排污单位土壤、地下水每年至少监测一次</w:t>
            </w:r>
            <w:r>
              <w:rPr>
                <w:rFonts w:hint="eastAsia" w:ascii="Times New Roman" w:hAnsi="Times New Roman" w:eastAsia="宋体" w:cs="Times New Roman"/>
                <w:b w:val="0"/>
                <w:bCs w:val="0"/>
                <w:color w:val="auto"/>
                <w:spacing w:val="0"/>
                <w:w w:val="100"/>
                <w:sz w:val="24"/>
                <w:szCs w:val="24"/>
                <w:lang w:eastAsia="zh-CN"/>
              </w:rPr>
              <w:t>”</w:t>
            </w:r>
            <w:r>
              <w:rPr>
                <w:rFonts w:hint="eastAsia" w:ascii="Times New Roman" w:hAnsi="Times New Roman" w:eastAsia="宋体" w:cs="Times New Roman"/>
                <w:b w:val="0"/>
                <w:bCs w:val="0"/>
                <w:color w:val="auto"/>
                <w:spacing w:val="0"/>
                <w:w w:val="100"/>
                <w:sz w:val="24"/>
                <w:szCs w:val="24"/>
                <w:lang w:val="en-US" w:eastAsia="zh-CN"/>
              </w:rPr>
              <w:t>。本项目为城镇污水处理厂建设项目，不涉及重金属且不含难降解类有机污染物，因此无需进行地下水监测。</w:t>
            </w:r>
          </w:p>
          <w:p w14:paraId="2CF42A2E">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④应急响应</w:t>
            </w:r>
          </w:p>
          <w:p w14:paraId="6FBE6F8E">
            <w:pPr>
              <w:keepNext w:val="0"/>
              <w:keepLines w:val="0"/>
              <w:pageBreakBefore w:val="0"/>
              <w:suppressLineNumbers w:val="0"/>
              <w:wordWrap/>
              <w:overflowPunct/>
              <w:topLinePunct w:val="0"/>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环评要求企业制定专</w:t>
            </w:r>
            <w:r>
              <w:rPr>
                <w:rFonts w:hint="eastAsia" w:ascii="Times New Roman" w:hAnsi="Times New Roman" w:eastAsia="宋体" w:cs="Times New Roman"/>
                <w:b w:val="0"/>
                <w:bCs w:val="0"/>
                <w:color w:val="auto"/>
                <w:spacing w:val="0"/>
                <w:w w:val="100"/>
                <w:sz w:val="24"/>
                <w:szCs w:val="24"/>
                <w:lang w:eastAsia="zh-CN"/>
              </w:rPr>
              <w:t>门的</w:t>
            </w:r>
            <w:r>
              <w:rPr>
                <w:rFonts w:hint="default" w:ascii="Times New Roman" w:hAnsi="Times New Roman" w:eastAsia="宋体" w:cs="Times New Roman"/>
                <w:b w:val="0"/>
                <w:bCs w:val="0"/>
                <w:color w:val="auto"/>
                <w:spacing w:val="0"/>
                <w:w w:val="100"/>
                <w:sz w:val="24"/>
                <w:szCs w:val="24"/>
              </w:rPr>
              <w:t>污染事故应急措施并与其他应急预案相协调。应急预案编制组应由应急指挥、环境评估、环境生态恢复、生产过程控制、安全、组织管理、医疗急救、监测等方面的专业人员及专家组成，制定明确的预案编制任务、职责分工和工作计划等。</w:t>
            </w:r>
          </w:p>
          <w:p w14:paraId="02221AF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pacing w:val="0"/>
                <w:w w:val="100"/>
                <w:szCs w:val="21"/>
                <w:lang w:val="en-US" w:eastAsia="zh-CN"/>
              </w:rPr>
            </w:pPr>
            <w:r>
              <w:rPr>
                <w:rFonts w:hint="default" w:ascii="Times New Roman" w:hAnsi="Times New Roman" w:eastAsia="宋体" w:cs="Times New Roman"/>
                <w:b w:val="0"/>
                <w:bCs w:val="0"/>
                <w:color w:val="auto"/>
                <w:spacing w:val="0"/>
                <w:w w:val="100"/>
                <w:sz w:val="24"/>
                <w:szCs w:val="24"/>
              </w:rPr>
              <w:t>当发生地下水及土壤环境异常情况时，按照制定的应急预案采取应急措施。组织专业队伍对事故现场进行调查、监测，查找环境事故发生地点，分析事故原因，将紧急事件局部化，采取包括切断生产装置或设施、设置围堤等拦堵设施、疏散等，防止事故扩散、蔓延及连锁反应，缩小污染事故对人、环境和财产的影响。</w:t>
            </w:r>
          </w:p>
          <w:p w14:paraId="1F37F66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6、生态防护措施</w:t>
            </w:r>
          </w:p>
          <w:p w14:paraId="536F876A">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rPr>
              <w:t>本项目为新建项目，用地范围内无生态环境保护目标。为</w:t>
            </w:r>
            <w:r>
              <w:rPr>
                <w:rFonts w:hint="eastAsia" w:ascii="Times New Roman" w:hAnsi="Times New Roman" w:eastAsia="宋体" w:cs="Times New Roman"/>
                <w:b w:val="0"/>
                <w:bCs w:val="0"/>
                <w:color w:val="auto"/>
                <w:spacing w:val="0"/>
                <w:w w:val="100"/>
                <w:sz w:val="24"/>
                <w:szCs w:val="24"/>
                <w:lang w:eastAsia="zh-CN"/>
              </w:rPr>
              <w:t>按照</w:t>
            </w:r>
            <w:r>
              <w:rPr>
                <w:rFonts w:hint="default" w:ascii="Times New Roman" w:hAnsi="Times New Roman" w:eastAsia="宋体" w:cs="Times New Roman"/>
                <w:b w:val="0"/>
                <w:bCs w:val="0"/>
                <w:color w:val="auto"/>
                <w:spacing w:val="0"/>
                <w:w w:val="100"/>
                <w:sz w:val="24"/>
                <w:szCs w:val="24"/>
              </w:rPr>
              <w:t>相关规范保护生态环境，环评提出如下措施：</w:t>
            </w:r>
          </w:p>
          <w:p w14:paraId="2E93F1A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（1）工程占地</w:t>
            </w:r>
          </w:p>
          <w:p w14:paraId="527B56B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本项目运营期占地</w:t>
            </w:r>
            <w:r>
              <w:rPr>
                <w:rFonts w:hint="eastAsia" w:ascii="Times New Roman" w:hAnsi="Times New Roman" w:eastAsia="宋体" w:cs="Times New Roman"/>
                <w:color w:val="auto"/>
                <w:spacing w:val="0"/>
                <w:w w:val="100"/>
                <w:sz w:val="24"/>
                <w:szCs w:val="24"/>
                <w:lang w:val="en-US" w:eastAsia="zh-CN"/>
              </w:rPr>
              <w:t>14351.6</w:t>
            </w:r>
            <w:r>
              <w:rPr>
                <w:rFonts w:hint="default" w:ascii="Times New Roman" w:hAnsi="Times New Roman" w:eastAsia="Times New Roman" w:cs="Times New Roman"/>
                <w:color w:val="auto"/>
                <w:spacing w:val="0"/>
                <w:w w:val="100"/>
                <w:sz w:val="24"/>
                <w:szCs w:val="24"/>
              </w:rPr>
              <w:t>m</w:t>
            </w:r>
            <w:r>
              <w:rPr>
                <w:rFonts w:hint="default" w:ascii="Times New Roman" w:hAnsi="Times New Roman" w:eastAsia="Times New Roman" w:cs="Times New Roman"/>
                <w:color w:val="auto"/>
                <w:spacing w:val="0"/>
                <w:w w:val="100"/>
                <w:position w:val="9"/>
                <w:sz w:val="16"/>
                <w:szCs w:val="16"/>
              </w:rPr>
              <w:t>2</w:t>
            </w:r>
            <w:r>
              <w:rPr>
                <w:rFonts w:hint="default" w:ascii="宋体" w:hAnsi="宋体" w:eastAsia="宋体" w:cs="宋体"/>
                <w:color w:val="auto"/>
                <w:spacing w:val="0"/>
                <w:w w:val="100"/>
                <w:sz w:val="24"/>
                <w:szCs w:val="24"/>
              </w:rPr>
              <w:t>，</w:t>
            </w:r>
            <w:r>
              <w:rPr>
                <w:rFonts w:hint="default" w:ascii="Times New Roman" w:hAnsi="Times New Roman" w:eastAsia="宋体" w:cs="Times New Roman"/>
                <w:b w:val="0"/>
                <w:bCs w:val="0"/>
                <w:color w:val="auto"/>
                <w:spacing w:val="0"/>
                <w:w w:val="100"/>
                <w:sz w:val="24"/>
                <w:szCs w:val="24"/>
              </w:rPr>
              <w:t>根据</w:t>
            </w:r>
            <w:r>
              <w:rPr>
                <w:rFonts w:hint="eastAsia" w:ascii="Times New Roman" w:hAnsi="Times New Roman" w:eastAsia="宋体" w:cs="Times New Roman"/>
                <w:b w:val="0"/>
                <w:bCs w:val="0"/>
                <w:color w:val="auto"/>
                <w:spacing w:val="0"/>
                <w:w w:val="100"/>
                <w:sz w:val="24"/>
                <w:szCs w:val="24"/>
                <w:lang w:val="en-US" w:eastAsia="zh-CN"/>
              </w:rPr>
              <w:t>可研报告，项目位于陇县经济技术开发区新材料产业区</w:t>
            </w:r>
            <w:r>
              <w:rPr>
                <w:rFonts w:hint="default" w:ascii="Times New Roman" w:hAnsi="Times New Roman" w:eastAsia="宋体" w:cs="Times New Roman"/>
                <w:b w:val="0"/>
                <w:bCs w:val="0"/>
                <w:color w:val="auto"/>
                <w:spacing w:val="0"/>
                <w:w w:val="100"/>
                <w:sz w:val="24"/>
                <w:szCs w:val="24"/>
              </w:rPr>
              <w:t>，</w:t>
            </w:r>
            <w:r>
              <w:rPr>
                <w:rFonts w:hint="eastAsia" w:ascii="Times New Roman" w:hAnsi="Times New Roman" w:eastAsia="宋体" w:cs="Times New Roman"/>
                <w:b w:val="0"/>
                <w:bCs w:val="0"/>
                <w:color w:val="auto"/>
                <w:spacing w:val="0"/>
                <w:w w:val="100"/>
                <w:sz w:val="24"/>
                <w:szCs w:val="24"/>
                <w:lang w:val="en-US" w:eastAsia="zh-CN"/>
              </w:rPr>
              <w:t>污水处理厂</w:t>
            </w:r>
            <w:r>
              <w:rPr>
                <w:rFonts w:hint="default" w:ascii="Times New Roman" w:hAnsi="Times New Roman" w:eastAsia="宋体" w:cs="Times New Roman"/>
                <w:b w:val="0"/>
                <w:bCs w:val="0"/>
                <w:color w:val="auto"/>
                <w:spacing w:val="0"/>
                <w:w w:val="100"/>
                <w:sz w:val="24"/>
                <w:szCs w:val="24"/>
              </w:rPr>
              <w:t>所在</w:t>
            </w:r>
            <w:r>
              <w:rPr>
                <w:rFonts w:hint="eastAsia" w:ascii="Times New Roman" w:hAnsi="Times New Roman" w:eastAsia="宋体" w:cs="Times New Roman"/>
                <w:b w:val="0"/>
                <w:bCs w:val="0"/>
                <w:color w:val="auto"/>
                <w:spacing w:val="0"/>
                <w:w w:val="100"/>
                <w:sz w:val="24"/>
                <w:szCs w:val="24"/>
                <w:lang w:val="en-US" w:eastAsia="zh-CN"/>
              </w:rPr>
              <w:t>占地</w:t>
            </w:r>
            <w:r>
              <w:rPr>
                <w:rFonts w:hint="default" w:ascii="Times New Roman" w:hAnsi="Times New Roman" w:eastAsia="宋体" w:cs="Times New Roman"/>
                <w:b w:val="0"/>
                <w:bCs w:val="0"/>
                <w:color w:val="auto"/>
                <w:spacing w:val="0"/>
                <w:w w:val="100"/>
                <w:sz w:val="24"/>
                <w:szCs w:val="24"/>
              </w:rPr>
              <w:t>范围内无风景名</w:t>
            </w:r>
            <w:r>
              <w:rPr>
                <w:rFonts w:hint="eastAsia" w:ascii="Times New Roman" w:hAnsi="Times New Roman" w:eastAsia="宋体" w:cs="Times New Roman"/>
                <w:b w:val="0"/>
                <w:bCs w:val="0"/>
                <w:color w:val="auto"/>
                <w:spacing w:val="0"/>
                <w:w w:val="100"/>
                <w:sz w:val="24"/>
                <w:szCs w:val="24"/>
                <w:lang w:eastAsia="zh-CN"/>
              </w:rPr>
              <w:t>胜区</w:t>
            </w:r>
            <w:r>
              <w:rPr>
                <w:rFonts w:hint="default" w:ascii="Times New Roman" w:hAnsi="Times New Roman" w:eastAsia="宋体" w:cs="Times New Roman"/>
                <w:b w:val="0"/>
                <w:bCs w:val="0"/>
                <w:color w:val="auto"/>
                <w:spacing w:val="0"/>
                <w:w w:val="100"/>
                <w:sz w:val="24"/>
                <w:szCs w:val="24"/>
              </w:rPr>
              <w:t>、旅游景区、军事管理区等，不涉及基本农田和耕地，外环境无重大环境制约因素。</w:t>
            </w:r>
          </w:p>
          <w:p w14:paraId="4DC4A56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（2）植物</w:t>
            </w:r>
          </w:p>
          <w:p w14:paraId="1C71136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运营期恶臭气体对植物影响不大，建设单位应严格执行环评提出的措施，确保恶臭气体稳定达标排放，运营期建设单位工作人员不得人为故意破坏项目周围自然植被。</w:t>
            </w:r>
          </w:p>
          <w:p w14:paraId="19C4B23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（3）动物</w:t>
            </w:r>
          </w:p>
          <w:p w14:paraId="42ABE90F">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运营期噪声，恶臭气体对周围动物存在惊吓、驱赶作用，主要为褐家鼠、青蛙、蛇类等常见动物，运营期建设单位应严格执行环评提出的措施，确保噪声，废气稳定达标排放，减少事故状态下噪声对周围动物的不良影响。运营</w:t>
            </w:r>
            <w:r>
              <w:rPr>
                <w:rFonts w:hint="eastAsia" w:ascii="Times New Roman" w:hAnsi="Times New Roman" w:eastAsia="宋体" w:cs="Times New Roman"/>
                <w:b w:val="0"/>
                <w:bCs w:val="0"/>
                <w:color w:val="auto"/>
                <w:spacing w:val="0"/>
                <w:w w:val="100"/>
                <w:sz w:val="24"/>
                <w:szCs w:val="24"/>
                <w:lang w:eastAsia="zh-CN"/>
              </w:rPr>
              <w:t>期间</w:t>
            </w:r>
            <w:r>
              <w:rPr>
                <w:rFonts w:hint="default" w:ascii="Times New Roman" w:hAnsi="Times New Roman" w:eastAsia="宋体" w:cs="Times New Roman"/>
                <w:b w:val="0"/>
                <w:bCs w:val="0"/>
                <w:color w:val="auto"/>
                <w:spacing w:val="0"/>
                <w:w w:val="100"/>
                <w:sz w:val="24"/>
                <w:szCs w:val="24"/>
              </w:rPr>
              <w:t>建设单位工作人员不得人为故意捕杀野生动物。</w:t>
            </w:r>
          </w:p>
          <w:p w14:paraId="04F0539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（4）景观</w:t>
            </w:r>
          </w:p>
          <w:p w14:paraId="7A4A536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sz w:val="24"/>
                <w:szCs w:val="24"/>
              </w:rPr>
            </w:pPr>
            <w:r>
              <w:rPr>
                <w:rFonts w:hint="default" w:ascii="Times New Roman" w:hAnsi="Times New Roman" w:eastAsia="宋体" w:cs="Times New Roman"/>
                <w:b w:val="0"/>
                <w:bCs w:val="0"/>
                <w:color w:val="auto"/>
                <w:spacing w:val="0"/>
                <w:w w:val="100"/>
                <w:sz w:val="24"/>
                <w:szCs w:val="24"/>
              </w:rPr>
              <w:t>本项目运营期会对周围景观造成一定的影响，建设单位应规范场容场貌，减少与周围景观的不协调性。</w:t>
            </w:r>
          </w:p>
          <w:p w14:paraId="3105F44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pacing w:val="0"/>
                <w:w w:val="100"/>
                <w:szCs w:val="21"/>
                <w:lang w:val="en-US" w:eastAsia="zh-CN"/>
              </w:rPr>
            </w:pPr>
            <w:r>
              <w:rPr>
                <w:rFonts w:hint="default" w:ascii="Times New Roman" w:hAnsi="Times New Roman" w:eastAsia="宋体" w:cs="Times New Roman"/>
                <w:b w:val="0"/>
                <w:bCs w:val="0"/>
                <w:color w:val="auto"/>
                <w:spacing w:val="0"/>
                <w:w w:val="100"/>
                <w:sz w:val="24"/>
                <w:szCs w:val="24"/>
              </w:rPr>
              <w:t>综上所述，项目建成后将对区域内地表进行绿化，种植花草树木，以恢复施工期造成的生态破坏，因此，项目</w:t>
            </w:r>
            <w:r>
              <w:rPr>
                <w:rFonts w:hint="eastAsia" w:ascii="Times New Roman" w:hAnsi="Times New Roman" w:eastAsia="宋体" w:cs="Times New Roman"/>
                <w:b w:val="0"/>
                <w:bCs w:val="0"/>
                <w:color w:val="auto"/>
                <w:spacing w:val="0"/>
                <w:w w:val="100"/>
                <w:sz w:val="24"/>
                <w:szCs w:val="24"/>
                <w:lang w:eastAsia="zh-CN"/>
              </w:rPr>
              <w:t>运营期</w:t>
            </w:r>
            <w:r>
              <w:rPr>
                <w:rFonts w:hint="default" w:ascii="Times New Roman" w:hAnsi="Times New Roman" w:eastAsia="宋体" w:cs="Times New Roman"/>
                <w:b w:val="0"/>
                <w:bCs w:val="0"/>
                <w:color w:val="auto"/>
                <w:spacing w:val="0"/>
                <w:w w:val="100"/>
                <w:sz w:val="24"/>
                <w:szCs w:val="24"/>
              </w:rPr>
              <w:t>对生态环境的影响很小。</w:t>
            </w:r>
          </w:p>
          <w:p w14:paraId="07282B1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eastAsia" w:ascii="Times New Roman" w:hAnsi="Times New Roman" w:eastAsia="宋体" w:cs="Times New Roman"/>
                <w:color w:val="auto"/>
                <w:spacing w:val="0"/>
                <w:w w:val="100"/>
                <w:sz w:val="24"/>
                <w:szCs w:val="24"/>
                <w:lang w:val="en-US" w:eastAsia="zh-CN"/>
              </w:rPr>
              <w:t>7、</w:t>
            </w:r>
            <w:r>
              <w:rPr>
                <w:rFonts w:hint="default" w:ascii="Times New Roman" w:hAnsi="Times New Roman" w:eastAsia="宋体" w:cs="Times New Roman"/>
                <w:color w:val="auto"/>
                <w:spacing w:val="0"/>
                <w:w w:val="100"/>
                <w:sz w:val="24"/>
                <w:szCs w:val="24"/>
                <w:lang w:eastAsia="zh-CN"/>
              </w:rPr>
              <w:t>环境风险分析</w:t>
            </w:r>
          </w:p>
          <w:p w14:paraId="3C3A3BE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lang w:val="en-US" w:eastAsia="zh-CN"/>
              </w:rPr>
            </w:pPr>
            <w:r>
              <w:rPr>
                <w:rFonts w:hint="eastAsia" w:ascii="宋体" w:hAnsi="宋体" w:eastAsia="宋体" w:cs="宋体"/>
                <w:color w:val="auto"/>
                <w:kern w:val="0"/>
                <w:sz w:val="24"/>
                <w:szCs w:val="24"/>
                <w:lang w:val="en-US" w:eastAsia="zh-CN" w:bidi="ar"/>
              </w:rPr>
              <w:t>风险识别范围包括生产过程所涉及的物质风险识别和生产设施风险识别。其中物质风险识别包括主要原料及辅助材料、燃料、中间产品、最终产品以及生产过程中排放的“三废”污染物等；生产设施风险识别的范围包括主要生产装置、贮运系统、公用工程系统、工程环保设施等。</w:t>
            </w:r>
          </w:p>
          <w:p w14:paraId="2A8C0FC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lang w:val="en-US" w:eastAsia="zh-CN"/>
              </w:rPr>
            </w:pPr>
            <w:r>
              <w:rPr>
                <w:rFonts w:hint="eastAsia" w:ascii="宋体" w:hAnsi="宋体" w:eastAsia="宋体" w:cs="宋体"/>
                <w:color w:val="auto"/>
                <w:kern w:val="0"/>
                <w:sz w:val="24"/>
                <w:szCs w:val="24"/>
                <w:lang w:val="en-US" w:eastAsia="zh-CN" w:bidi="ar"/>
              </w:rPr>
              <w:t>对于本项目而言，生产所用原料有</w:t>
            </w:r>
            <w:r>
              <w:rPr>
                <w:rFonts w:hint="default" w:ascii="Times New Roman" w:hAnsi="Times New Roman" w:eastAsia="宋体" w:cs="Times New Roman"/>
                <w:color w:val="auto"/>
                <w:kern w:val="0"/>
                <w:sz w:val="24"/>
                <w:szCs w:val="24"/>
                <w:lang w:val="en-US" w:eastAsia="zh-CN" w:bidi="ar"/>
              </w:rPr>
              <w:t>PAC</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PAM</w:t>
            </w:r>
            <w:r>
              <w:rPr>
                <w:rFonts w:hint="eastAsia" w:ascii="宋体" w:hAnsi="宋体" w:eastAsia="宋体" w:cs="宋体"/>
                <w:color w:val="auto"/>
                <w:kern w:val="0"/>
                <w:sz w:val="24"/>
                <w:szCs w:val="24"/>
                <w:lang w:val="en-US" w:eastAsia="zh-CN" w:bidi="ar"/>
              </w:rPr>
              <w:t>、次氯酸钠等，在生产过程中涉及的危险化学品主要为</w:t>
            </w:r>
            <w:r>
              <w:rPr>
                <w:rFonts w:hint="eastAsia" w:ascii="Times New Roman" w:hAnsi="Times New Roman" w:eastAsia="宋体" w:cs="Times New Roman"/>
                <w:color w:val="auto"/>
                <w:kern w:val="0"/>
                <w:sz w:val="24"/>
                <w:szCs w:val="24"/>
                <w:lang w:val="en-US" w:eastAsia="zh-CN" w:bidi="ar"/>
              </w:rPr>
              <w:t>次氯酸钠</w:t>
            </w:r>
            <w:r>
              <w:rPr>
                <w:rFonts w:hint="eastAsia" w:ascii="宋体" w:hAnsi="宋体" w:eastAsia="宋体" w:cs="宋体"/>
                <w:color w:val="auto"/>
                <w:kern w:val="0"/>
                <w:sz w:val="24"/>
                <w:szCs w:val="24"/>
                <w:lang w:val="en-US" w:eastAsia="zh-CN" w:bidi="ar"/>
              </w:rPr>
              <w:t>及</w:t>
            </w:r>
            <w:r>
              <w:rPr>
                <w:rFonts w:hint="default" w:ascii="Times New Roman" w:hAnsi="Times New Roman" w:eastAsia="宋体" w:cs="Times New Roman"/>
                <w:b w:val="0"/>
                <w:bCs w:val="0"/>
                <w:color w:val="auto"/>
                <w:sz w:val="24"/>
                <w:szCs w:val="32"/>
                <w:lang w:val="en-US" w:eastAsia="zh-CN"/>
              </w:rPr>
              <w:t>污水处理系统可能出现的突发性和非突发性的事故对环境将产生严重影响。</w:t>
            </w:r>
          </w:p>
          <w:p w14:paraId="58219CB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（1）</w:t>
            </w:r>
            <w:r>
              <w:rPr>
                <w:rFonts w:hint="eastAsia" w:ascii="Times New Roman" w:hAnsi="Times New Roman" w:eastAsia="宋体" w:cs="Times New Roman"/>
                <w:color w:val="auto"/>
                <w:kern w:val="0"/>
                <w:sz w:val="24"/>
                <w:szCs w:val="24"/>
                <w:lang w:val="en-US" w:eastAsia="zh-CN" w:bidi="ar"/>
              </w:rPr>
              <w:t>次氯酸钠泄漏：液氯</w:t>
            </w:r>
            <w:r>
              <w:rPr>
                <w:rFonts w:hint="default" w:ascii="Times New Roman" w:hAnsi="Times New Roman" w:eastAsia="宋体" w:cs="Times New Roman"/>
                <w:color w:val="auto"/>
                <w:kern w:val="0"/>
                <w:sz w:val="24"/>
                <w:szCs w:val="24"/>
                <w:lang w:val="en-US" w:eastAsia="zh-CN" w:bidi="ar"/>
              </w:rPr>
              <w:t>为</w:t>
            </w:r>
            <w:r>
              <w:rPr>
                <w:rFonts w:hint="eastAsia" w:ascii="Times New Roman" w:hAnsi="Times New Roman" w:eastAsia="宋体" w:cs="Times New Roman"/>
                <w:color w:val="auto"/>
                <w:kern w:val="0"/>
                <w:sz w:val="24"/>
                <w:szCs w:val="24"/>
                <w:lang w:val="en-US" w:eastAsia="zh-CN" w:bidi="ar"/>
              </w:rPr>
              <w:t>固态，有毒</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易挥发，氯次氯酸钠放出的游离氯可引起中毒，亦可引起皮肤病。环境危害：对大气、水环境有危害</w:t>
            </w:r>
            <w:r>
              <w:rPr>
                <w:rFonts w:hint="default" w:ascii="Times New Roman" w:hAnsi="Times New Roman" w:eastAsia="宋体" w:cs="Times New Roman"/>
                <w:color w:val="auto"/>
                <w:kern w:val="0"/>
                <w:sz w:val="24"/>
                <w:szCs w:val="24"/>
                <w:lang w:val="en-US" w:eastAsia="zh-CN" w:bidi="ar"/>
              </w:rPr>
              <w:t>。</w:t>
            </w:r>
          </w:p>
          <w:p w14:paraId="75494209">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70" w:firstLineChars="196"/>
              <w:textAlignment w:val="auto"/>
              <w:rPr>
                <w:rFonts w:hint="default" w:ascii="Times New Roman" w:hAnsi="Times New Roman" w:eastAsia="宋体" w:cs="Times New Roman"/>
                <w:color w:val="auto"/>
                <w:spacing w:val="0"/>
                <w:w w:val="100"/>
                <w:sz w:val="24"/>
                <w:highlight w:val="none"/>
              </w:rPr>
            </w:pPr>
            <w:r>
              <w:rPr>
                <w:rFonts w:hint="default" w:ascii="Times New Roman" w:hAnsi="Times New Roman" w:eastAsia="宋体" w:cs="Times New Roman"/>
                <w:color w:val="auto"/>
                <w:spacing w:val="0"/>
                <w:w w:val="100"/>
                <w:sz w:val="24"/>
                <w:lang w:eastAsia="zh-CN"/>
              </w:rPr>
              <w:t>根据原辅材料</w:t>
            </w:r>
            <w:r>
              <w:rPr>
                <w:rFonts w:hint="default" w:ascii="Times New Roman" w:hAnsi="Times New Roman" w:eastAsia="宋体" w:cs="Times New Roman"/>
                <w:color w:val="auto"/>
                <w:spacing w:val="0"/>
                <w:w w:val="100"/>
                <w:sz w:val="24"/>
                <w:szCs w:val="24"/>
                <w:lang w:eastAsia="zh-CN"/>
              </w:rPr>
              <w:t>及工艺分析，本项目危险物质</w:t>
            </w:r>
            <w:r>
              <w:rPr>
                <w:rFonts w:hint="default" w:ascii="Times New Roman" w:hAnsi="Times New Roman" w:eastAsia="宋体" w:cs="Times New Roman"/>
                <w:color w:val="auto"/>
                <w:spacing w:val="0"/>
                <w:w w:val="100"/>
                <w:sz w:val="24"/>
                <w:lang w:eastAsia="zh-CN"/>
              </w:rPr>
              <w:t>调查结果见下表：</w:t>
            </w:r>
          </w:p>
          <w:p w14:paraId="732C78F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表</w:t>
            </w:r>
            <w:r>
              <w:rPr>
                <w:rFonts w:hint="eastAsia" w:ascii="Times New Roman" w:hAnsi="Times New Roman" w:eastAsia="宋体" w:cs="Times New Roman"/>
                <w:b w:val="0"/>
                <w:bCs w:val="0"/>
                <w:color w:val="auto"/>
                <w:spacing w:val="0"/>
                <w:w w:val="100"/>
                <w:sz w:val="21"/>
                <w:szCs w:val="21"/>
                <w:lang w:val="en-US" w:eastAsia="zh-CN"/>
              </w:rPr>
              <w:t>4-18</w:t>
            </w:r>
            <w:r>
              <w:rPr>
                <w:rFonts w:hint="default" w:ascii="Times New Roman" w:hAnsi="Times New Roman" w:eastAsia="宋体" w:cs="Times New Roman"/>
                <w:b w:val="0"/>
                <w:bCs w:val="0"/>
                <w:color w:val="auto"/>
                <w:spacing w:val="0"/>
                <w:w w:val="100"/>
                <w:sz w:val="21"/>
                <w:szCs w:val="21"/>
                <w:lang w:val="en-US" w:eastAsia="zh-CN"/>
              </w:rPr>
              <w:t xml:space="preserve">   项目危险物质调查结果</w:t>
            </w:r>
          </w:p>
          <w:tbl>
            <w:tblPr>
              <w:tblStyle w:val="22"/>
              <w:tblW w:w="50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9"/>
              <w:gridCol w:w="1717"/>
              <w:gridCol w:w="1576"/>
              <w:gridCol w:w="1335"/>
              <w:gridCol w:w="1883"/>
              <w:gridCol w:w="1127"/>
            </w:tblGrid>
            <w:tr w14:paraId="5B3E5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736" w:type="pct"/>
                  <w:tcBorders>
                    <w:tl2br w:val="nil"/>
                    <w:tr2bl w:val="nil"/>
                  </w:tcBorders>
                  <w:noWrap w:val="0"/>
                  <w:vAlign w:val="center"/>
                </w:tcPr>
                <w:p w14:paraId="031CCA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eastAsia="zh-CN"/>
                    </w:rPr>
                  </w:pPr>
                  <w:r>
                    <w:rPr>
                      <w:rFonts w:hint="default" w:ascii="Times New Roman" w:hAnsi="Times New Roman" w:eastAsia="宋体" w:cs="Times New Roman"/>
                      <w:b w:val="0"/>
                      <w:bCs w:val="0"/>
                      <w:color w:val="auto"/>
                      <w:spacing w:val="0"/>
                      <w:w w:val="100"/>
                      <w:sz w:val="21"/>
                      <w:szCs w:val="21"/>
                      <w:highlight w:val="none"/>
                      <w:vertAlign w:val="baseline"/>
                      <w:lang w:eastAsia="zh-CN"/>
                    </w:rPr>
                    <w:t>名称</w:t>
                  </w:r>
                </w:p>
              </w:tc>
              <w:tc>
                <w:tcPr>
                  <w:tcW w:w="958" w:type="pct"/>
                  <w:tcBorders>
                    <w:tl2br w:val="nil"/>
                    <w:tr2bl w:val="nil"/>
                  </w:tcBorders>
                  <w:noWrap w:val="0"/>
                  <w:vAlign w:val="center"/>
                </w:tcPr>
                <w:p w14:paraId="60830B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eastAsia="zh-CN"/>
                    </w:rPr>
                  </w:pPr>
                  <w:r>
                    <w:rPr>
                      <w:rFonts w:hint="default" w:ascii="Times New Roman" w:hAnsi="Times New Roman" w:eastAsia="宋体" w:cs="Times New Roman"/>
                      <w:b w:val="0"/>
                      <w:bCs w:val="0"/>
                      <w:color w:val="auto"/>
                      <w:spacing w:val="0"/>
                      <w:w w:val="100"/>
                      <w:sz w:val="21"/>
                      <w:szCs w:val="21"/>
                      <w:highlight w:val="none"/>
                      <w:vertAlign w:val="baseline"/>
                      <w:lang w:eastAsia="zh-CN"/>
                    </w:rPr>
                    <w:t>年使用量（</w:t>
                  </w:r>
                  <w:r>
                    <w:rPr>
                      <w:rFonts w:hint="default" w:ascii="Times New Roman" w:hAnsi="Times New Roman" w:eastAsia="宋体" w:cs="Times New Roman"/>
                      <w:b w:val="0"/>
                      <w:bCs w:val="0"/>
                      <w:color w:val="auto"/>
                      <w:spacing w:val="0"/>
                      <w:w w:val="100"/>
                      <w:sz w:val="21"/>
                      <w:szCs w:val="21"/>
                      <w:highlight w:val="none"/>
                      <w:vertAlign w:val="baseline"/>
                      <w:lang w:val="en-US" w:eastAsia="zh-CN"/>
                    </w:rPr>
                    <w:t>t</w:t>
                  </w:r>
                  <w:r>
                    <w:rPr>
                      <w:rFonts w:hint="default" w:ascii="Times New Roman" w:hAnsi="Times New Roman" w:eastAsia="宋体" w:cs="Times New Roman"/>
                      <w:b w:val="0"/>
                      <w:bCs w:val="0"/>
                      <w:color w:val="auto"/>
                      <w:spacing w:val="0"/>
                      <w:w w:val="100"/>
                      <w:sz w:val="21"/>
                      <w:szCs w:val="21"/>
                      <w:highlight w:val="none"/>
                      <w:vertAlign w:val="baseline"/>
                      <w:lang w:eastAsia="zh-CN"/>
                    </w:rPr>
                    <w:t>）</w:t>
                  </w:r>
                </w:p>
              </w:tc>
              <w:tc>
                <w:tcPr>
                  <w:tcW w:w="879" w:type="pct"/>
                  <w:tcBorders>
                    <w:tl2br w:val="nil"/>
                    <w:tr2bl w:val="nil"/>
                  </w:tcBorders>
                  <w:noWrap w:val="0"/>
                  <w:vAlign w:val="center"/>
                </w:tcPr>
                <w:p w14:paraId="5C843B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eastAsia="zh-CN"/>
                    </w:rPr>
                  </w:pPr>
                  <w:r>
                    <w:rPr>
                      <w:rFonts w:hint="default" w:ascii="Times New Roman" w:hAnsi="Times New Roman" w:eastAsia="宋体" w:cs="Times New Roman"/>
                      <w:b w:val="0"/>
                      <w:bCs w:val="0"/>
                      <w:color w:val="auto"/>
                      <w:spacing w:val="0"/>
                      <w:w w:val="100"/>
                      <w:sz w:val="21"/>
                      <w:szCs w:val="21"/>
                      <w:highlight w:val="none"/>
                      <w:vertAlign w:val="baseline"/>
                      <w:lang w:eastAsia="zh-CN"/>
                    </w:rPr>
                    <w:t>最大存在量（</w:t>
                  </w:r>
                  <w:r>
                    <w:rPr>
                      <w:rFonts w:hint="default" w:ascii="Times New Roman" w:hAnsi="Times New Roman" w:eastAsia="宋体" w:cs="Times New Roman"/>
                      <w:b w:val="0"/>
                      <w:bCs w:val="0"/>
                      <w:color w:val="auto"/>
                      <w:spacing w:val="0"/>
                      <w:w w:val="100"/>
                      <w:sz w:val="21"/>
                      <w:szCs w:val="21"/>
                      <w:highlight w:val="none"/>
                      <w:vertAlign w:val="baseline"/>
                      <w:lang w:val="en-US" w:eastAsia="zh-CN"/>
                    </w:rPr>
                    <w:t>t</w:t>
                  </w:r>
                  <w:r>
                    <w:rPr>
                      <w:rFonts w:hint="default" w:ascii="Times New Roman" w:hAnsi="Times New Roman" w:eastAsia="宋体" w:cs="Times New Roman"/>
                      <w:b w:val="0"/>
                      <w:bCs w:val="0"/>
                      <w:color w:val="auto"/>
                      <w:spacing w:val="0"/>
                      <w:w w:val="100"/>
                      <w:sz w:val="21"/>
                      <w:szCs w:val="21"/>
                      <w:highlight w:val="none"/>
                      <w:vertAlign w:val="baseline"/>
                      <w:lang w:eastAsia="zh-CN"/>
                    </w:rPr>
                    <w:t>）</w:t>
                  </w:r>
                </w:p>
              </w:tc>
              <w:tc>
                <w:tcPr>
                  <w:tcW w:w="745" w:type="pct"/>
                  <w:tcBorders>
                    <w:tl2br w:val="nil"/>
                    <w:tr2bl w:val="nil"/>
                  </w:tcBorders>
                  <w:noWrap w:val="0"/>
                  <w:vAlign w:val="center"/>
                </w:tcPr>
                <w:p w14:paraId="474C2A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eastAsia="zh-CN"/>
                    </w:rPr>
                  </w:pPr>
                  <w:r>
                    <w:rPr>
                      <w:rFonts w:hint="default" w:ascii="Times New Roman" w:hAnsi="Times New Roman" w:eastAsia="宋体" w:cs="Times New Roman"/>
                      <w:b w:val="0"/>
                      <w:bCs w:val="0"/>
                      <w:color w:val="auto"/>
                      <w:spacing w:val="0"/>
                      <w:w w:val="100"/>
                      <w:sz w:val="21"/>
                      <w:szCs w:val="21"/>
                      <w:highlight w:val="none"/>
                      <w:vertAlign w:val="baseline"/>
                      <w:lang w:eastAsia="zh-CN"/>
                    </w:rPr>
                    <w:t>临界量（</w:t>
                  </w:r>
                  <w:r>
                    <w:rPr>
                      <w:rFonts w:hint="default" w:ascii="Times New Roman" w:hAnsi="Times New Roman" w:eastAsia="宋体" w:cs="Times New Roman"/>
                      <w:b w:val="0"/>
                      <w:bCs w:val="0"/>
                      <w:color w:val="auto"/>
                      <w:spacing w:val="0"/>
                      <w:w w:val="100"/>
                      <w:sz w:val="21"/>
                      <w:szCs w:val="21"/>
                      <w:highlight w:val="none"/>
                      <w:vertAlign w:val="baseline"/>
                      <w:lang w:val="en-US" w:eastAsia="zh-CN"/>
                    </w:rPr>
                    <w:t>t</w:t>
                  </w:r>
                  <w:r>
                    <w:rPr>
                      <w:rFonts w:hint="default" w:ascii="Times New Roman" w:hAnsi="Times New Roman" w:eastAsia="宋体" w:cs="Times New Roman"/>
                      <w:b w:val="0"/>
                      <w:bCs w:val="0"/>
                      <w:color w:val="auto"/>
                      <w:spacing w:val="0"/>
                      <w:w w:val="100"/>
                      <w:sz w:val="21"/>
                      <w:szCs w:val="21"/>
                      <w:highlight w:val="none"/>
                      <w:vertAlign w:val="baseline"/>
                      <w:lang w:eastAsia="zh-CN"/>
                    </w:rPr>
                    <w:t>）</w:t>
                  </w:r>
                </w:p>
              </w:tc>
              <w:tc>
                <w:tcPr>
                  <w:tcW w:w="1051" w:type="pct"/>
                  <w:tcBorders>
                    <w:tl2br w:val="nil"/>
                    <w:tr2bl w:val="nil"/>
                  </w:tcBorders>
                  <w:noWrap w:val="0"/>
                  <w:vAlign w:val="center"/>
                </w:tcPr>
                <w:p w14:paraId="622622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eastAsia="zh-CN"/>
                    </w:rPr>
                  </w:pPr>
                  <w:r>
                    <w:rPr>
                      <w:rFonts w:hint="default" w:ascii="Times New Roman" w:hAnsi="Times New Roman" w:eastAsia="宋体" w:cs="Times New Roman"/>
                      <w:b w:val="0"/>
                      <w:bCs w:val="0"/>
                      <w:color w:val="auto"/>
                      <w:spacing w:val="0"/>
                      <w:w w:val="100"/>
                      <w:sz w:val="21"/>
                      <w:szCs w:val="21"/>
                      <w:highlight w:val="none"/>
                      <w:vertAlign w:val="baseline"/>
                      <w:lang w:eastAsia="zh-CN"/>
                    </w:rPr>
                    <w:t>存储位置</w:t>
                  </w:r>
                </w:p>
              </w:tc>
              <w:tc>
                <w:tcPr>
                  <w:tcW w:w="629" w:type="pct"/>
                  <w:tcBorders>
                    <w:tl2br w:val="nil"/>
                    <w:tr2bl w:val="nil"/>
                  </w:tcBorders>
                  <w:noWrap w:val="0"/>
                  <w:vAlign w:val="center"/>
                </w:tcPr>
                <w:p w14:paraId="3F40F2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eastAsia="zh-CN"/>
                    </w:rPr>
                  </w:pPr>
                  <w:r>
                    <w:rPr>
                      <w:rFonts w:hint="default" w:ascii="Times New Roman" w:hAnsi="Times New Roman" w:eastAsia="宋体" w:cs="Times New Roman"/>
                      <w:b w:val="0"/>
                      <w:bCs w:val="0"/>
                      <w:color w:val="auto"/>
                      <w:spacing w:val="0"/>
                      <w:w w:val="100"/>
                      <w:sz w:val="21"/>
                      <w:szCs w:val="21"/>
                      <w:highlight w:val="none"/>
                      <w:vertAlign w:val="baseline"/>
                      <w:lang w:eastAsia="zh-CN"/>
                    </w:rPr>
                    <w:t>工艺</w:t>
                  </w:r>
                </w:p>
              </w:tc>
            </w:tr>
            <w:tr w14:paraId="04AE9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736" w:type="pct"/>
                  <w:tcBorders>
                    <w:tl2br w:val="nil"/>
                    <w:tr2bl w:val="nil"/>
                  </w:tcBorders>
                  <w:noWrap w:val="0"/>
                  <w:vAlign w:val="center"/>
                </w:tcPr>
                <w:p w14:paraId="5134A0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eastAsia="zh-CN"/>
                    </w:rPr>
                  </w:pPr>
                  <w:r>
                    <w:rPr>
                      <w:rFonts w:hint="default"/>
                      <w:color w:val="auto"/>
                      <w:spacing w:val="0"/>
                      <w:w w:val="100"/>
                      <w:position w:val="0"/>
                    </w:rPr>
                    <w:t>次氯酸钠</w:t>
                  </w:r>
                </w:p>
              </w:tc>
              <w:tc>
                <w:tcPr>
                  <w:tcW w:w="958" w:type="pct"/>
                  <w:tcBorders>
                    <w:tl2br w:val="nil"/>
                    <w:tr2bl w:val="nil"/>
                  </w:tcBorders>
                  <w:noWrap w:val="0"/>
                  <w:vAlign w:val="center"/>
                </w:tcPr>
                <w:p w14:paraId="3D8CEE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sz w:val="21"/>
                      <w:szCs w:val="21"/>
                      <w:highlight w:val="none"/>
                      <w:vertAlign w:val="baseline"/>
                      <w:lang w:val="en-US" w:eastAsia="zh-CN"/>
                    </w:rPr>
                    <w:t>16.53</w:t>
                  </w:r>
                </w:p>
              </w:tc>
              <w:tc>
                <w:tcPr>
                  <w:tcW w:w="879" w:type="pct"/>
                  <w:tcBorders>
                    <w:tl2br w:val="nil"/>
                    <w:tr2bl w:val="nil"/>
                  </w:tcBorders>
                  <w:noWrap w:val="0"/>
                  <w:vAlign w:val="center"/>
                </w:tcPr>
                <w:p w14:paraId="187E7C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sz w:val="21"/>
                      <w:szCs w:val="21"/>
                      <w:highlight w:val="none"/>
                      <w:vertAlign w:val="baseline"/>
                      <w:lang w:val="en-US" w:eastAsia="zh-CN"/>
                    </w:rPr>
                    <w:t>2</w:t>
                  </w:r>
                </w:p>
              </w:tc>
              <w:tc>
                <w:tcPr>
                  <w:tcW w:w="745" w:type="pct"/>
                  <w:tcBorders>
                    <w:tl2br w:val="nil"/>
                    <w:tr2bl w:val="nil"/>
                  </w:tcBorders>
                  <w:noWrap w:val="0"/>
                  <w:vAlign w:val="center"/>
                </w:tcPr>
                <w:p w14:paraId="3536BE03">
                  <w:pPr>
                    <w:keepNext w:val="0"/>
                    <w:keepLines w:val="0"/>
                    <w:suppressLineNumbers w:val="0"/>
                    <w:spacing w:before="0" w:beforeAutospacing="0" w:after="0" w:afterAutospacing="0"/>
                    <w:ind w:left="0" w:right="0"/>
                    <w:jc w:val="center"/>
                    <w:rPr>
                      <w:rFonts w:hint="default"/>
                      <w:color w:val="auto"/>
                      <w:spacing w:val="0"/>
                      <w:w w:val="100"/>
                      <w:lang w:val="en-US" w:eastAsia="zh-CN"/>
                    </w:rPr>
                  </w:pPr>
                  <w:r>
                    <w:rPr>
                      <w:rFonts w:hint="eastAsia" w:ascii="Times New Roman" w:hAnsi="Times New Roman" w:cs="Times New Roman"/>
                      <w:color w:val="auto"/>
                      <w:spacing w:val="0"/>
                      <w:w w:val="100"/>
                      <w:lang w:val="en-US" w:eastAsia="zh-CN"/>
                    </w:rPr>
                    <w:t>5</w:t>
                  </w:r>
                </w:p>
              </w:tc>
              <w:tc>
                <w:tcPr>
                  <w:tcW w:w="1051" w:type="pct"/>
                  <w:tcBorders>
                    <w:tl2br w:val="nil"/>
                    <w:tr2bl w:val="nil"/>
                  </w:tcBorders>
                  <w:noWrap w:val="0"/>
                  <w:vAlign w:val="center"/>
                </w:tcPr>
                <w:p w14:paraId="50A955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eastAsia="zh-CN"/>
                    </w:rPr>
                  </w:pPr>
                  <w:r>
                    <w:rPr>
                      <w:rFonts w:hint="default" w:ascii="Times New Roman" w:hAnsi="Times New Roman" w:eastAsia="宋体" w:cs="Times New Roman"/>
                      <w:b w:val="0"/>
                      <w:bCs w:val="0"/>
                      <w:color w:val="auto"/>
                      <w:spacing w:val="0"/>
                      <w:w w:val="100"/>
                      <w:sz w:val="21"/>
                      <w:szCs w:val="21"/>
                      <w:highlight w:val="none"/>
                      <w:vertAlign w:val="baseline"/>
                      <w:lang w:eastAsia="zh-CN"/>
                    </w:rPr>
                    <w:t>原料库</w:t>
                  </w:r>
                  <w:r>
                    <w:rPr>
                      <w:rFonts w:hint="eastAsia" w:ascii="Times New Roman" w:hAnsi="Times New Roman" w:eastAsia="宋体" w:cs="Times New Roman"/>
                      <w:b w:val="0"/>
                      <w:bCs w:val="0"/>
                      <w:color w:val="auto"/>
                      <w:spacing w:val="0"/>
                      <w:w w:val="100"/>
                      <w:sz w:val="21"/>
                      <w:szCs w:val="21"/>
                      <w:highlight w:val="none"/>
                      <w:vertAlign w:val="baseline"/>
                      <w:lang w:eastAsia="zh-CN"/>
                    </w:rPr>
                    <w:t>及消毒池</w:t>
                  </w:r>
                </w:p>
              </w:tc>
              <w:tc>
                <w:tcPr>
                  <w:tcW w:w="629" w:type="pct"/>
                  <w:tcBorders>
                    <w:tl2br w:val="nil"/>
                    <w:tr2bl w:val="nil"/>
                  </w:tcBorders>
                  <w:noWrap w:val="0"/>
                  <w:vAlign w:val="center"/>
                </w:tcPr>
                <w:p w14:paraId="6E72F8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highlight w:val="none"/>
                      <w:vertAlign w:val="baseline"/>
                      <w:lang w:eastAsia="zh-CN"/>
                    </w:rPr>
                  </w:pPr>
                  <w:r>
                    <w:rPr>
                      <w:rFonts w:hint="eastAsia" w:ascii="Times New Roman" w:hAnsi="Times New Roman" w:eastAsia="宋体" w:cs="Times New Roman"/>
                      <w:b w:val="0"/>
                      <w:bCs w:val="0"/>
                      <w:color w:val="auto"/>
                      <w:spacing w:val="0"/>
                      <w:w w:val="100"/>
                      <w:sz w:val="21"/>
                      <w:szCs w:val="21"/>
                      <w:highlight w:val="none"/>
                      <w:vertAlign w:val="baseline"/>
                      <w:lang w:eastAsia="zh-CN"/>
                    </w:rPr>
                    <w:t>消毒</w:t>
                  </w:r>
                </w:p>
              </w:tc>
            </w:tr>
          </w:tbl>
          <w:p w14:paraId="00BABA18">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宋体" w:cs="Times New Roman"/>
                <w:bCs/>
                <w:color w:val="auto"/>
                <w:spacing w:val="0"/>
                <w:w w:val="100"/>
                <w:sz w:val="24"/>
                <w:szCs w:val="24"/>
                <w:lang w:val="en-US" w:eastAsia="zh-CN"/>
              </w:rPr>
            </w:pPr>
            <w:r>
              <w:rPr>
                <w:rFonts w:hint="default" w:ascii="Times New Roman" w:hAnsi="Times New Roman" w:eastAsia="宋体" w:cs="Times New Roman"/>
                <w:bCs/>
                <w:color w:val="auto"/>
                <w:spacing w:val="0"/>
                <w:w w:val="100"/>
                <w:sz w:val="24"/>
                <w:szCs w:val="24"/>
                <w:lang w:val="en-US" w:eastAsia="zh-CN"/>
              </w:rPr>
              <w:t>由上表可知，本项目</w:t>
            </w:r>
            <w:r>
              <w:rPr>
                <w:rFonts w:hint="default" w:ascii="Times New Roman" w:hAnsi="Times New Roman" w:eastAsia="宋体" w:cs="Times New Roman"/>
                <w:bCs/>
                <w:color w:val="auto"/>
                <w:spacing w:val="0"/>
                <w:w w:val="100"/>
                <w:sz w:val="24"/>
                <w:szCs w:val="24"/>
                <w:lang w:val="en-US" w:eastAsia="en-US"/>
              </w:rPr>
              <w:t>Q=0.4&lt;1</w:t>
            </w:r>
            <w:r>
              <w:rPr>
                <w:rFonts w:hint="eastAsia" w:ascii="Times New Roman" w:hAnsi="Times New Roman" w:eastAsia="宋体" w:cs="Times New Roman"/>
                <w:bCs/>
                <w:color w:val="auto"/>
                <w:spacing w:val="0"/>
                <w:w w:val="100"/>
                <w:sz w:val="24"/>
                <w:szCs w:val="24"/>
                <w:lang w:val="en-US" w:eastAsia="zh-CN"/>
              </w:rPr>
              <w:t>，</w:t>
            </w:r>
            <w:r>
              <w:rPr>
                <w:rFonts w:hint="default" w:ascii="Times New Roman" w:hAnsi="Times New Roman" w:eastAsia="宋体" w:cs="Times New Roman"/>
                <w:bCs/>
                <w:color w:val="auto"/>
                <w:spacing w:val="0"/>
                <w:w w:val="100"/>
                <w:sz w:val="24"/>
                <w:szCs w:val="24"/>
                <w:lang w:val="en-US" w:eastAsia="zh-CN"/>
              </w:rPr>
              <w:t>故该项目环境风险潜势为I。</w:t>
            </w:r>
          </w:p>
          <w:p w14:paraId="189A7A8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lang w:val="en-US" w:eastAsia="zh-CN"/>
              </w:rPr>
            </w:pPr>
            <w:r>
              <w:rPr>
                <w:rFonts w:hint="eastAsia" w:ascii="Times New Roman" w:hAnsi="Times New Roman" w:eastAsia="宋体" w:cs="Times New Roman"/>
                <w:b w:val="0"/>
                <w:bCs w:val="0"/>
                <w:color w:val="auto"/>
                <w:sz w:val="24"/>
                <w:szCs w:val="32"/>
                <w:lang w:val="en-US" w:eastAsia="zh-CN"/>
              </w:rPr>
              <w:t>（2）</w:t>
            </w:r>
            <w:r>
              <w:rPr>
                <w:rFonts w:hint="default" w:ascii="Times New Roman" w:hAnsi="Times New Roman" w:eastAsia="宋体" w:cs="Times New Roman"/>
                <w:b w:val="0"/>
                <w:bCs w:val="0"/>
                <w:color w:val="auto"/>
                <w:sz w:val="24"/>
                <w:szCs w:val="32"/>
                <w:lang w:val="en-US" w:eastAsia="zh-CN"/>
              </w:rPr>
              <w:t>污水处理系统故障：</w:t>
            </w:r>
          </w:p>
          <w:p w14:paraId="72C305D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lang w:val="en-US" w:eastAsia="zh-CN"/>
              </w:rPr>
            </w:pPr>
            <w:r>
              <w:rPr>
                <w:rFonts w:hint="eastAsia" w:ascii="Times New Roman" w:hAnsi="Times New Roman" w:eastAsia="宋体" w:cs="Times New Roman"/>
                <w:b w:val="0"/>
                <w:bCs w:val="0"/>
                <w:color w:val="auto"/>
                <w:sz w:val="24"/>
                <w:szCs w:val="32"/>
                <w:lang w:val="en-US" w:eastAsia="zh-CN"/>
              </w:rPr>
              <w:t>A、设备故障</w:t>
            </w:r>
            <w:r>
              <w:rPr>
                <w:rFonts w:hint="default" w:ascii="Times New Roman" w:hAnsi="Times New Roman" w:eastAsia="宋体" w:cs="Times New Roman"/>
                <w:b w:val="0"/>
                <w:bCs w:val="0"/>
                <w:color w:val="auto"/>
                <w:sz w:val="24"/>
                <w:szCs w:val="32"/>
                <w:lang w:val="en-US" w:eastAsia="zh-CN"/>
              </w:rPr>
              <w:t>污水或污泥处理系统的设备发生故障，使污水处理能力降低，出水水质下降或污泥不能及时浓缩、脱水，引起污泥发酵，污泥均质池爆满，散发恶臭，影响周围环境空气质量。</w:t>
            </w:r>
          </w:p>
          <w:p w14:paraId="43DCFF7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lang w:val="en-US" w:eastAsia="zh-CN"/>
              </w:rPr>
            </w:pPr>
            <w:r>
              <w:rPr>
                <w:rFonts w:hint="eastAsia" w:ascii="Times New Roman" w:hAnsi="Times New Roman" w:eastAsia="宋体" w:cs="Times New Roman"/>
                <w:b w:val="0"/>
                <w:bCs w:val="0"/>
                <w:color w:val="auto"/>
                <w:sz w:val="24"/>
                <w:szCs w:val="32"/>
                <w:lang w:val="en-US" w:eastAsia="zh-CN"/>
              </w:rPr>
              <w:t>B、</w:t>
            </w:r>
            <w:r>
              <w:rPr>
                <w:rFonts w:hint="default" w:ascii="Times New Roman" w:hAnsi="Times New Roman" w:eastAsia="宋体" w:cs="Times New Roman"/>
                <w:b w:val="0"/>
                <w:bCs w:val="0"/>
                <w:color w:val="auto"/>
                <w:sz w:val="24"/>
                <w:szCs w:val="32"/>
                <w:lang w:val="en-US" w:eastAsia="zh-CN"/>
              </w:rPr>
              <w:t>进水水质：在收水范围内，工厂排污不正常致使进水水质浓度大幅增加，或有毒有害物质误入管网，造成污泥的活性下降或被毒害，或者发生污泥膨胀等现象，影响污水处理效率，造成污水处理厂出水不能达标。</w:t>
            </w:r>
          </w:p>
          <w:p w14:paraId="3BDD60E0">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lang w:val="en-US" w:eastAsia="zh-CN"/>
              </w:rPr>
            </w:pPr>
            <w:r>
              <w:rPr>
                <w:rFonts w:hint="eastAsia" w:ascii="Times New Roman" w:hAnsi="Times New Roman" w:eastAsia="宋体" w:cs="Times New Roman"/>
                <w:b w:val="0"/>
                <w:bCs w:val="0"/>
                <w:color w:val="auto"/>
                <w:sz w:val="24"/>
                <w:szCs w:val="32"/>
                <w:lang w:val="en-US" w:eastAsia="zh-CN"/>
              </w:rPr>
              <w:t>C、</w:t>
            </w:r>
            <w:r>
              <w:rPr>
                <w:rFonts w:hint="default" w:ascii="Times New Roman" w:hAnsi="Times New Roman" w:eastAsia="宋体" w:cs="Times New Roman"/>
                <w:b w:val="0"/>
                <w:bCs w:val="0"/>
                <w:color w:val="auto"/>
                <w:sz w:val="24"/>
                <w:szCs w:val="32"/>
                <w:lang w:val="en-US" w:eastAsia="zh-CN"/>
              </w:rPr>
              <w:t>污水处理厂由于停电、污水处理构筑物运行不正常等造成大量污水未经处理直接排入受纳水体，造成事故污染；或由于管理原因造成的污水处理厂不能正常运行。</w:t>
            </w:r>
          </w:p>
          <w:p w14:paraId="328A5E97">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lang w:val="en-US" w:eastAsia="zh-CN"/>
              </w:rPr>
            </w:pPr>
            <w:r>
              <w:rPr>
                <w:rFonts w:hint="eastAsia" w:ascii="Times New Roman" w:hAnsi="Times New Roman" w:eastAsia="宋体" w:cs="Times New Roman"/>
                <w:b w:val="0"/>
                <w:bCs w:val="0"/>
                <w:color w:val="auto"/>
                <w:sz w:val="24"/>
                <w:szCs w:val="32"/>
                <w:lang w:val="en-US" w:eastAsia="zh-CN"/>
              </w:rPr>
              <w:t>D、</w:t>
            </w:r>
            <w:r>
              <w:rPr>
                <w:rFonts w:hint="default" w:ascii="Times New Roman" w:hAnsi="Times New Roman" w:eastAsia="宋体" w:cs="Times New Roman"/>
                <w:b w:val="0"/>
                <w:bCs w:val="0"/>
                <w:color w:val="auto"/>
                <w:sz w:val="24"/>
                <w:szCs w:val="32"/>
                <w:lang w:val="en-US" w:eastAsia="zh-CN"/>
              </w:rPr>
              <w:t>提升泵站由于机械故障和停电等原因可能引起污水得不到及时排放。</w:t>
            </w:r>
          </w:p>
          <w:p w14:paraId="67B20C6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color w:val="auto"/>
                <w:spacing w:val="0"/>
                <w:w w:val="100"/>
                <w:sz w:val="24"/>
                <w:szCs w:val="24"/>
                <w:lang w:eastAsia="zh-CN"/>
              </w:rPr>
              <w:t>本项目</w:t>
            </w:r>
            <w:r>
              <w:rPr>
                <w:rFonts w:hint="default" w:ascii="Times New Roman" w:hAnsi="Times New Roman" w:eastAsia="宋体" w:cs="Times New Roman"/>
                <w:color w:val="auto"/>
                <w:spacing w:val="0"/>
                <w:w w:val="100"/>
                <w:sz w:val="24"/>
                <w:szCs w:val="24"/>
                <w:lang w:val="en-US" w:eastAsia="zh-CN"/>
              </w:rPr>
              <w:t>艺系统事故排水</w:t>
            </w:r>
            <w:r>
              <w:rPr>
                <w:rFonts w:hint="eastAsia" w:ascii="Times New Roman" w:hAnsi="Times New Roman" w:eastAsia="宋体" w:cs="Times New Roman"/>
                <w:color w:val="auto"/>
                <w:spacing w:val="0"/>
                <w:w w:val="100"/>
                <w:sz w:val="24"/>
                <w:szCs w:val="24"/>
                <w:lang w:val="en-US" w:eastAsia="zh-CN"/>
              </w:rPr>
              <w:t>，</w:t>
            </w:r>
            <w:r>
              <w:rPr>
                <w:rFonts w:hint="default" w:ascii="Times New Roman" w:hAnsi="Times New Roman" w:eastAsia="宋体" w:cs="Times New Roman"/>
                <w:color w:val="auto"/>
                <w:spacing w:val="0"/>
                <w:w w:val="100"/>
                <w:sz w:val="24"/>
                <w:szCs w:val="24"/>
                <w:lang w:val="en-US" w:eastAsia="zh-CN"/>
              </w:rPr>
              <w:t>由排水管网引入本工程进水总管，经调节池暂存后经污水处理系统处理</w:t>
            </w:r>
            <w:r>
              <w:rPr>
                <w:rFonts w:hint="eastAsia" w:ascii="Times New Roman" w:hAnsi="Times New Roman" w:eastAsia="宋体" w:cs="Times New Roman"/>
                <w:color w:val="auto"/>
                <w:spacing w:val="0"/>
                <w:w w:val="100"/>
                <w:sz w:val="24"/>
                <w:szCs w:val="24"/>
                <w:lang w:val="en-US" w:eastAsia="zh-CN"/>
              </w:rPr>
              <w:t>。</w:t>
            </w:r>
          </w:p>
          <w:p w14:paraId="0F21BA75">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宋体" w:cs="Times New Roman"/>
                <w:bCs/>
                <w:color w:val="auto"/>
                <w:spacing w:val="0"/>
                <w:w w:val="100"/>
                <w:sz w:val="24"/>
                <w:szCs w:val="24"/>
                <w:lang w:val="en-US" w:eastAsia="zh-CN"/>
              </w:rPr>
            </w:pPr>
            <w:r>
              <w:rPr>
                <w:rFonts w:hint="default" w:ascii="Times New Roman" w:hAnsi="Times New Roman" w:eastAsia="宋体" w:cs="Times New Roman"/>
                <w:bCs/>
                <w:color w:val="auto"/>
                <w:spacing w:val="0"/>
                <w:w w:val="100"/>
                <w:sz w:val="24"/>
                <w:szCs w:val="24"/>
                <w:lang w:val="en-US" w:eastAsia="zh-CN"/>
              </w:rPr>
              <w:t>（</w:t>
            </w:r>
            <w:r>
              <w:rPr>
                <w:rFonts w:hint="eastAsia" w:ascii="Times New Roman" w:hAnsi="Times New Roman" w:eastAsia="宋体" w:cs="Times New Roman"/>
                <w:bCs/>
                <w:color w:val="auto"/>
                <w:spacing w:val="0"/>
                <w:w w:val="100"/>
                <w:sz w:val="24"/>
                <w:szCs w:val="24"/>
                <w:lang w:val="en-US" w:eastAsia="zh-CN"/>
              </w:rPr>
              <w:t>3</w:t>
            </w:r>
            <w:r>
              <w:rPr>
                <w:rFonts w:hint="default" w:ascii="Times New Roman" w:hAnsi="Times New Roman" w:eastAsia="宋体" w:cs="Times New Roman"/>
                <w:bCs/>
                <w:color w:val="auto"/>
                <w:spacing w:val="0"/>
                <w:w w:val="100"/>
                <w:sz w:val="24"/>
                <w:szCs w:val="24"/>
                <w:lang w:val="en-US" w:eastAsia="zh-CN"/>
              </w:rPr>
              <w:t>）环境风险分析</w:t>
            </w:r>
          </w:p>
          <w:p w14:paraId="7080817F">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宋体" w:cs="Times New Roman"/>
                <w:bCs/>
                <w:color w:val="auto"/>
                <w:spacing w:val="0"/>
                <w:w w:val="100"/>
                <w:sz w:val="24"/>
                <w:szCs w:val="24"/>
                <w:lang w:val="en-US" w:eastAsia="zh-CN"/>
              </w:rPr>
            </w:pPr>
            <w:r>
              <w:rPr>
                <w:rFonts w:hint="default" w:ascii="Times New Roman" w:hAnsi="Times New Roman" w:eastAsia="宋体" w:cs="Times New Roman"/>
                <w:bCs/>
                <w:color w:val="auto"/>
                <w:spacing w:val="0"/>
                <w:w w:val="100"/>
                <w:sz w:val="24"/>
                <w:szCs w:val="24"/>
                <w:lang w:val="en-US" w:eastAsia="zh-CN"/>
              </w:rPr>
              <w:t>根据《建设项目环境风险评价技术导则》（HJ 169-2018）附录 A，本项目</w:t>
            </w:r>
            <w:r>
              <w:rPr>
                <w:rFonts w:hint="eastAsia" w:ascii="Times New Roman" w:hAnsi="Times New Roman" w:eastAsia="宋体" w:cs="Times New Roman"/>
                <w:bCs/>
                <w:color w:val="auto"/>
                <w:spacing w:val="0"/>
                <w:w w:val="100"/>
                <w:sz w:val="24"/>
                <w:szCs w:val="24"/>
                <w:lang w:val="en-US" w:eastAsia="zh-CN"/>
              </w:rPr>
              <w:t>环境</w:t>
            </w:r>
            <w:r>
              <w:rPr>
                <w:rFonts w:hint="default" w:ascii="Times New Roman" w:hAnsi="Times New Roman" w:eastAsia="宋体" w:cs="Times New Roman"/>
                <w:bCs/>
                <w:color w:val="auto"/>
                <w:spacing w:val="0"/>
                <w:w w:val="100"/>
                <w:sz w:val="24"/>
                <w:szCs w:val="24"/>
                <w:lang w:val="en-US" w:eastAsia="zh-CN"/>
              </w:rPr>
              <w:t>风险简单分析内容见下表：</w:t>
            </w:r>
          </w:p>
          <w:p w14:paraId="0D4E581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表</w:t>
            </w:r>
            <w:r>
              <w:rPr>
                <w:rFonts w:hint="eastAsia" w:ascii="Times New Roman" w:hAnsi="Times New Roman" w:eastAsia="宋体" w:cs="Times New Roman"/>
                <w:b w:val="0"/>
                <w:bCs w:val="0"/>
                <w:color w:val="auto"/>
                <w:spacing w:val="0"/>
                <w:w w:val="100"/>
                <w:sz w:val="21"/>
                <w:szCs w:val="21"/>
                <w:lang w:val="en-US" w:eastAsia="zh-CN"/>
              </w:rPr>
              <w:t>4-19</w:t>
            </w:r>
            <w:r>
              <w:rPr>
                <w:rFonts w:hint="default" w:ascii="Times New Roman" w:hAnsi="Times New Roman" w:eastAsia="宋体" w:cs="Times New Roman"/>
                <w:b w:val="0"/>
                <w:bCs w:val="0"/>
                <w:color w:val="auto"/>
                <w:spacing w:val="0"/>
                <w:w w:val="100"/>
                <w:sz w:val="21"/>
                <w:szCs w:val="21"/>
                <w:lang w:val="en-US" w:eastAsia="zh-CN"/>
              </w:rPr>
              <w:t xml:space="preserve">  </w:t>
            </w:r>
            <w:r>
              <w:rPr>
                <w:rFonts w:hint="eastAsia" w:ascii="Times New Roman" w:hAnsi="Times New Roman" w:eastAsia="宋体" w:cs="Times New Roman"/>
                <w:b w:val="0"/>
                <w:bCs w:val="0"/>
                <w:color w:val="auto"/>
                <w:spacing w:val="0"/>
                <w:w w:val="100"/>
                <w:sz w:val="21"/>
                <w:szCs w:val="21"/>
                <w:lang w:val="en-US" w:eastAsia="zh-CN"/>
              </w:rPr>
              <w:t xml:space="preserve"> </w:t>
            </w:r>
            <w:r>
              <w:rPr>
                <w:rFonts w:hint="default" w:ascii="Times New Roman" w:hAnsi="Times New Roman" w:eastAsia="宋体" w:cs="Times New Roman"/>
                <w:b w:val="0"/>
                <w:bCs w:val="0"/>
                <w:color w:val="auto"/>
                <w:spacing w:val="0"/>
                <w:w w:val="100"/>
                <w:sz w:val="21"/>
                <w:szCs w:val="21"/>
                <w:lang w:val="en-US" w:eastAsia="zh-CN"/>
              </w:rPr>
              <w:t>建设项目环境风险简单分析内容表</w:t>
            </w:r>
          </w:p>
          <w:tbl>
            <w:tblPr>
              <w:tblStyle w:val="22"/>
              <w:tblW w:w="4979"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1656"/>
              <w:gridCol w:w="831"/>
              <w:gridCol w:w="599"/>
              <w:gridCol w:w="1234"/>
              <w:gridCol w:w="781"/>
              <w:gridCol w:w="434"/>
              <w:gridCol w:w="339"/>
              <w:gridCol w:w="3028"/>
            </w:tblGrid>
            <w:tr w14:paraId="16F8071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30" w:type="pct"/>
                  <w:tcBorders>
                    <w:tl2br w:val="nil"/>
                    <w:tr2bl w:val="nil"/>
                  </w:tcBorders>
                  <w:noWrap w:val="0"/>
                  <w:vAlign w:val="center"/>
                </w:tcPr>
                <w:p w14:paraId="549352BF">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rPr>
                  </w:pPr>
                  <w:r>
                    <w:rPr>
                      <w:rFonts w:hint="default" w:ascii="Times New Roman" w:hAnsi="Times New Roman" w:eastAsia="宋体" w:cs="Times New Roman"/>
                      <w:bCs/>
                      <w:color w:val="auto"/>
                      <w:spacing w:val="0"/>
                      <w:w w:val="100"/>
                      <w:kern w:val="0"/>
                      <w:sz w:val="21"/>
                      <w:szCs w:val="21"/>
                    </w:rPr>
                    <w:t>建设项目名称</w:t>
                  </w:r>
                </w:p>
              </w:tc>
              <w:tc>
                <w:tcPr>
                  <w:tcW w:w="4069" w:type="pct"/>
                  <w:gridSpan w:val="7"/>
                  <w:tcBorders>
                    <w:tl2br w:val="nil"/>
                    <w:tr2bl w:val="nil"/>
                  </w:tcBorders>
                  <w:noWrap w:val="0"/>
                  <w:vAlign w:val="center"/>
                </w:tcPr>
                <w:p w14:paraId="21563DE3">
                  <w:pPr>
                    <w:keepNext w:val="0"/>
                    <w:keepLines w:val="0"/>
                    <w:pageBreakBefore w:val="0"/>
                    <w:widowControl w:val="0"/>
                    <w:suppressLineNumbers w:val="0"/>
                    <w:tabs>
                      <w:tab w:val="left" w:pos="924"/>
                    </w:tabs>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rPr>
                  </w:pPr>
                  <w:r>
                    <w:rPr>
                      <w:rFonts w:hint="eastAsia" w:ascii="Times New Roman" w:hAnsi="Times New Roman" w:eastAsia="宋体" w:cs="Times New Roman"/>
                      <w:color w:val="auto"/>
                      <w:spacing w:val="0"/>
                      <w:w w:val="100"/>
                      <w:sz w:val="21"/>
                      <w:szCs w:val="21"/>
                      <w:lang w:eastAsia="zh-CN"/>
                    </w:rPr>
                    <w:t>陇县经济技术开发区水污染综合治理及再生水资源节约利用项目</w:t>
                  </w:r>
                </w:p>
              </w:tc>
            </w:tr>
            <w:tr w14:paraId="18DA451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30" w:type="pct"/>
                  <w:tcBorders>
                    <w:tl2br w:val="nil"/>
                    <w:tr2bl w:val="nil"/>
                  </w:tcBorders>
                  <w:noWrap w:val="0"/>
                  <w:vAlign w:val="center"/>
                </w:tcPr>
                <w:p w14:paraId="5164AF33">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rPr>
                  </w:pPr>
                  <w:r>
                    <w:rPr>
                      <w:rFonts w:hint="default" w:ascii="Times New Roman" w:hAnsi="Times New Roman" w:eastAsia="宋体" w:cs="Times New Roman"/>
                      <w:bCs/>
                      <w:color w:val="auto"/>
                      <w:spacing w:val="0"/>
                      <w:w w:val="100"/>
                      <w:kern w:val="0"/>
                      <w:sz w:val="21"/>
                      <w:szCs w:val="21"/>
                    </w:rPr>
                    <w:t>建设地点</w:t>
                  </w:r>
                </w:p>
              </w:tc>
              <w:tc>
                <w:tcPr>
                  <w:tcW w:w="803" w:type="pct"/>
                  <w:gridSpan w:val="2"/>
                  <w:tcBorders>
                    <w:tl2br w:val="nil"/>
                    <w:tr2bl w:val="nil"/>
                  </w:tcBorders>
                  <w:noWrap w:val="0"/>
                  <w:vAlign w:val="center"/>
                </w:tcPr>
                <w:p w14:paraId="057ABF2F">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lang w:eastAsia="zh-CN"/>
                    </w:rPr>
                  </w:pPr>
                  <w:r>
                    <w:rPr>
                      <w:rFonts w:hint="default" w:ascii="Times New Roman" w:hAnsi="Times New Roman" w:eastAsia="宋体" w:cs="Times New Roman"/>
                      <w:bCs/>
                      <w:color w:val="auto"/>
                      <w:spacing w:val="0"/>
                      <w:w w:val="100"/>
                      <w:kern w:val="0"/>
                      <w:sz w:val="21"/>
                      <w:szCs w:val="21"/>
                      <w:lang w:eastAsia="zh-CN"/>
                    </w:rPr>
                    <w:t>（陕西）省</w:t>
                  </w:r>
                </w:p>
              </w:tc>
              <w:tc>
                <w:tcPr>
                  <w:tcW w:w="693" w:type="pct"/>
                  <w:tcBorders>
                    <w:tl2br w:val="nil"/>
                    <w:tr2bl w:val="nil"/>
                  </w:tcBorders>
                  <w:noWrap w:val="0"/>
                  <w:vAlign w:val="center"/>
                </w:tcPr>
                <w:p w14:paraId="78FDA8A1">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lang w:eastAsia="zh-CN"/>
                    </w:rPr>
                    <w:t>（宝鸡）市</w:t>
                  </w:r>
                </w:p>
              </w:tc>
              <w:tc>
                <w:tcPr>
                  <w:tcW w:w="682" w:type="pct"/>
                  <w:gridSpan w:val="2"/>
                  <w:tcBorders>
                    <w:tl2br w:val="nil"/>
                    <w:tr2bl w:val="nil"/>
                  </w:tcBorders>
                  <w:noWrap w:val="0"/>
                  <w:vAlign w:val="center"/>
                </w:tcPr>
                <w:p w14:paraId="345FECEE">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lang w:eastAsia="zh-CN"/>
                    </w:rPr>
                    <w:t>（</w:t>
                  </w:r>
                  <w:r>
                    <w:rPr>
                      <w:rFonts w:hint="eastAsia" w:ascii="Times New Roman" w:hAnsi="Times New Roman" w:eastAsia="宋体" w:cs="Times New Roman"/>
                      <w:color w:val="auto"/>
                      <w:spacing w:val="0"/>
                      <w:w w:val="100"/>
                      <w:sz w:val="21"/>
                      <w:szCs w:val="21"/>
                      <w:lang w:eastAsia="zh-CN"/>
                    </w:rPr>
                    <w:t>陇县</w:t>
                  </w:r>
                  <w:r>
                    <w:rPr>
                      <w:rFonts w:hint="default" w:ascii="Times New Roman" w:hAnsi="Times New Roman" w:eastAsia="宋体" w:cs="Times New Roman"/>
                      <w:color w:val="auto"/>
                      <w:spacing w:val="0"/>
                      <w:w w:val="100"/>
                      <w:sz w:val="21"/>
                      <w:szCs w:val="21"/>
                      <w:lang w:eastAsia="zh-CN"/>
                    </w:rPr>
                    <w:t>）</w:t>
                  </w:r>
                </w:p>
              </w:tc>
              <w:tc>
                <w:tcPr>
                  <w:tcW w:w="1891" w:type="pct"/>
                  <w:gridSpan w:val="2"/>
                  <w:tcBorders>
                    <w:tl2br w:val="nil"/>
                    <w:tr2bl w:val="nil"/>
                  </w:tcBorders>
                  <w:noWrap w:val="0"/>
                  <w:vAlign w:val="center"/>
                </w:tcPr>
                <w:p w14:paraId="64500D97">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经济技术开发区</w:t>
                  </w:r>
                </w:p>
              </w:tc>
            </w:tr>
            <w:tr w14:paraId="4944252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30" w:type="pct"/>
                  <w:tcBorders>
                    <w:tl2br w:val="nil"/>
                    <w:tr2bl w:val="nil"/>
                  </w:tcBorders>
                  <w:noWrap w:val="0"/>
                  <w:vAlign w:val="center"/>
                </w:tcPr>
                <w:p w14:paraId="6F94B268">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rPr>
                  </w:pPr>
                  <w:r>
                    <w:rPr>
                      <w:rFonts w:hint="default" w:ascii="Times New Roman" w:hAnsi="Times New Roman" w:eastAsia="宋体" w:cs="Times New Roman"/>
                      <w:bCs/>
                      <w:color w:val="auto"/>
                      <w:spacing w:val="0"/>
                      <w:w w:val="100"/>
                      <w:kern w:val="0"/>
                      <w:sz w:val="21"/>
                      <w:szCs w:val="21"/>
                    </w:rPr>
                    <w:t>地理坐标</w:t>
                  </w:r>
                </w:p>
              </w:tc>
              <w:tc>
                <w:tcPr>
                  <w:tcW w:w="466" w:type="pct"/>
                  <w:tcBorders>
                    <w:tl2br w:val="nil"/>
                    <w:tr2bl w:val="nil"/>
                  </w:tcBorders>
                  <w:noWrap w:val="0"/>
                  <w:vAlign w:val="center"/>
                </w:tcPr>
                <w:p w14:paraId="54E713EA">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rPr>
                  </w:pPr>
                  <w:r>
                    <w:rPr>
                      <w:rFonts w:hint="default" w:ascii="Times New Roman" w:hAnsi="Times New Roman" w:eastAsia="宋体" w:cs="Times New Roman"/>
                      <w:bCs/>
                      <w:color w:val="auto"/>
                      <w:spacing w:val="0"/>
                      <w:w w:val="100"/>
                      <w:kern w:val="0"/>
                      <w:sz w:val="21"/>
                      <w:szCs w:val="21"/>
                    </w:rPr>
                    <w:t>经度</w:t>
                  </w:r>
                </w:p>
              </w:tc>
              <w:tc>
                <w:tcPr>
                  <w:tcW w:w="1468" w:type="pct"/>
                  <w:gridSpan w:val="3"/>
                  <w:tcBorders>
                    <w:tl2br w:val="nil"/>
                    <w:tr2bl w:val="nil"/>
                  </w:tcBorders>
                  <w:noWrap w:val="0"/>
                  <w:vAlign w:val="center"/>
                </w:tcPr>
                <w:p w14:paraId="0ED9FB31">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lang w:val="en-US" w:eastAsia="zh-CN"/>
                    </w:rPr>
                  </w:pPr>
                  <w:r>
                    <w:rPr>
                      <w:rFonts w:hint="default" w:ascii="Times New Roman" w:hAnsi="Times New Roman" w:eastAsia="宋体" w:cs="Times New Roman"/>
                      <w:bCs/>
                      <w:color w:val="auto"/>
                      <w:spacing w:val="0"/>
                      <w:w w:val="100"/>
                      <w:kern w:val="0"/>
                      <w:sz w:val="21"/>
                      <w:szCs w:val="21"/>
                      <w:lang w:val="en-US" w:eastAsia="zh-CN"/>
                    </w:rPr>
                    <w:t>106°54′45.77355″</w:t>
                  </w:r>
                </w:p>
              </w:tc>
              <w:tc>
                <w:tcPr>
                  <w:tcW w:w="434" w:type="pct"/>
                  <w:gridSpan w:val="2"/>
                  <w:tcBorders>
                    <w:tl2br w:val="nil"/>
                    <w:tr2bl w:val="nil"/>
                  </w:tcBorders>
                  <w:noWrap w:val="0"/>
                  <w:vAlign w:val="center"/>
                </w:tcPr>
                <w:p w14:paraId="2C404ED4">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lang w:eastAsia="zh-CN"/>
                    </w:rPr>
                  </w:pPr>
                  <w:r>
                    <w:rPr>
                      <w:rFonts w:hint="default" w:ascii="Times New Roman" w:hAnsi="Times New Roman" w:eastAsia="宋体" w:cs="Times New Roman"/>
                      <w:bCs/>
                      <w:color w:val="auto"/>
                      <w:spacing w:val="0"/>
                      <w:w w:val="100"/>
                      <w:kern w:val="0"/>
                      <w:sz w:val="21"/>
                      <w:szCs w:val="21"/>
                      <w:lang w:eastAsia="zh-CN"/>
                    </w:rPr>
                    <w:t>纬度</w:t>
                  </w:r>
                </w:p>
              </w:tc>
              <w:tc>
                <w:tcPr>
                  <w:tcW w:w="1700" w:type="pct"/>
                  <w:tcBorders>
                    <w:tl2br w:val="nil"/>
                    <w:tr2bl w:val="nil"/>
                  </w:tcBorders>
                  <w:noWrap w:val="0"/>
                  <w:vAlign w:val="center"/>
                </w:tcPr>
                <w:p w14:paraId="3FE23599">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lang w:val="en-US" w:eastAsia="zh-CN"/>
                    </w:rPr>
                  </w:pPr>
                  <w:r>
                    <w:rPr>
                      <w:rFonts w:hint="default" w:ascii="Times New Roman" w:hAnsi="Times New Roman" w:eastAsia="宋体" w:cs="Times New Roman"/>
                      <w:bCs/>
                      <w:color w:val="auto"/>
                      <w:spacing w:val="0"/>
                      <w:w w:val="100"/>
                      <w:kern w:val="0"/>
                      <w:sz w:val="21"/>
                      <w:szCs w:val="21"/>
                      <w:lang w:val="en-US" w:eastAsia="zh-CN"/>
                    </w:rPr>
                    <w:t>34°51′18.41851″</w:t>
                  </w:r>
                </w:p>
              </w:tc>
            </w:tr>
            <w:tr w14:paraId="5015ACB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30" w:type="pct"/>
                  <w:tcBorders>
                    <w:tl2br w:val="nil"/>
                    <w:tr2bl w:val="nil"/>
                  </w:tcBorders>
                  <w:noWrap w:val="0"/>
                  <w:vAlign w:val="center"/>
                </w:tcPr>
                <w:p w14:paraId="3AE5DC4D">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rPr>
                  </w:pPr>
                  <w:r>
                    <w:rPr>
                      <w:rFonts w:hint="default" w:ascii="Times New Roman" w:hAnsi="Times New Roman" w:eastAsia="宋体" w:cs="Times New Roman"/>
                      <w:bCs/>
                      <w:color w:val="auto"/>
                      <w:spacing w:val="0"/>
                      <w:w w:val="100"/>
                      <w:kern w:val="0"/>
                      <w:sz w:val="21"/>
                      <w:szCs w:val="21"/>
                    </w:rPr>
                    <w:t>主要危险物质及分布</w:t>
                  </w:r>
                </w:p>
              </w:tc>
              <w:tc>
                <w:tcPr>
                  <w:tcW w:w="4069" w:type="pct"/>
                  <w:gridSpan w:val="7"/>
                  <w:tcBorders>
                    <w:tl2br w:val="nil"/>
                    <w:tr2bl w:val="nil"/>
                  </w:tcBorders>
                  <w:noWrap w:val="0"/>
                  <w:vAlign w:val="center"/>
                </w:tcPr>
                <w:p w14:paraId="5CC28811">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color w:val="auto"/>
                      <w:spacing w:val="0"/>
                      <w:w w:val="100"/>
                      <w:sz w:val="21"/>
                      <w:szCs w:val="21"/>
                      <w:lang w:eastAsia="zh-CN"/>
                    </w:rPr>
                  </w:pPr>
                  <w:r>
                    <w:rPr>
                      <w:rFonts w:hint="eastAsia"/>
                      <w:color w:val="auto"/>
                      <w:spacing w:val="0"/>
                      <w:w w:val="100"/>
                      <w:sz w:val="21"/>
                      <w:szCs w:val="21"/>
                      <w:lang w:eastAsia="zh-CN"/>
                    </w:rPr>
                    <w:t>次氯酸钠主要分布在厂区原料库</w:t>
                  </w:r>
                  <w:r>
                    <w:rPr>
                      <w:rFonts w:hint="eastAsia"/>
                      <w:color w:val="auto"/>
                      <w:spacing w:val="0"/>
                      <w:w w:val="100"/>
                      <w:sz w:val="21"/>
                      <w:szCs w:val="21"/>
                      <w:lang w:val="en-US" w:eastAsia="zh-CN"/>
                    </w:rPr>
                    <w:t>和二氧化氯发生器。</w:t>
                  </w:r>
                </w:p>
              </w:tc>
            </w:tr>
            <w:tr w14:paraId="1815256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30" w:type="pct"/>
                  <w:tcBorders>
                    <w:tl2br w:val="nil"/>
                    <w:tr2bl w:val="nil"/>
                  </w:tcBorders>
                  <w:noWrap w:val="0"/>
                  <w:vAlign w:val="center"/>
                </w:tcPr>
                <w:p w14:paraId="3065B687">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lang w:eastAsia="zh-CN"/>
                    </w:rPr>
                  </w:pPr>
                  <w:r>
                    <w:rPr>
                      <w:rFonts w:hint="default" w:ascii="Times New Roman" w:hAnsi="Times New Roman" w:eastAsia="宋体" w:cs="Times New Roman"/>
                      <w:bCs/>
                      <w:color w:val="auto"/>
                      <w:spacing w:val="0"/>
                      <w:w w:val="100"/>
                      <w:kern w:val="0"/>
                      <w:sz w:val="21"/>
                      <w:szCs w:val="21"/>
                    </w:rPr>
                    <w:t>环境影响途径及危害结果</w:t>
                  </w:r>
                  <w:r>
                    <w:rPr>
                      <w:rFonts w:hint="default" w:ascii="Times New Roman" w:hAnsi="Times New Roman" w:eastAsia="宋体" w:cs="Times New Roman"/>
                      <w:bCs/>
                      <w:color w:val="auto"/>
                      <w:spacing w:val="0"/>
                      <w:w w:val="100"/>
                      <w:kern w:val="0"/>
                      <w:sz w:val="21"/>
                      <w:szCs w:val="21"/>
                      <w:lang w:eastAsia="zh-CN"/>
                    </w:rPr>
                    <w:t>（大气、地表水、地下水等）</w:t>
                  </w:r>
                </w:p>
              </w:tc>
              <w:tc>
                <w:tcPr>
                  <w:tcW w:w="4069" w:type="pct"/>
                  <w:gridSpan w:val="7"/>
                  <w:tcBorders>
                    <w:tl2br w:val="nil"/>
                    <w:tr2bl w:val="nil"/>
                  </w:tcBorders>
                  <w:noWrap w:val="0"/>
                  <w:vAlign w:val="center"/>
                </w:tcPr>
                <w:p w14:paraId="2C34837A">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color w:val="auto"/>
                      <w:spacing w:val="0"/>
                      <w:w w:val="100"/>
                      <w:lang w:val="en-US" w:eastAsia="zh-CN"/>
                    </w:rPr>
                  </w:pPr>
                  <w:r>
                    <w:rPr>
                      <w:rFonts w:hint="eastAsia"/>
                      <w:color w:val="auto"/>
                      <w:spacing w:val="0"/>
                      <w:w w:val="100"/>
                      <w:lang w:val="en-US" w:eastAsia="zh-CN"/>
                    </w:rPr>
                    <w:t>危险性类别：第8.3类其他腐蚀品</w:t>
                  </w:r>
                </w:p>
                <w:p w14:paraId="5185942A">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color w:val="auto"/>
                      <w:spacing w:val="0"/>
                      <w:w w:val="100"/>
                      <w:lang w:val="en-US" w:eastAsia="zh-CN"/>
                    </w:rPr>
                  </w:pPr>
                  <w:r>
                    <w:rPr>
                      <w:rFonts w:hint="eastAsia"/>
                      <w:color w:val="auto"/>
                      <w:spacing w:val="0"/>
                      <w:w w:val="100"/>
                      <w:lang w:val="en-US" w:eastAsia="zh-CN"/>
                    </w:rPr>
                    <w:t>侵入途径：吸入、吸食、经皮吸收</w:t>
                  </w:r>
                </w:p>
                <w:p w14:paraId="27878FC2">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color w:val="auto"/>
                      <w:spacing w:val="0"/>
                      <w:w w:val="100"/>
                      <w:lang w:val="en-US" w:eastAsia="zh-CN"/>
                    </w:rPr>
                  </w:pPr>
                  <w:r>
                    <w:rPr>
                      <w:rFonts w:hint="eastAsia"/>
                      <w:color w:val="auto"/>
                      <w:spacing w:val="0"/>
                      <w:w w:val="100"/>
                      <w:lang w:val="en-US" w:eastAsia="zh-CN"/>
                    </w:rPr>
                    <w:t>健康危害：次氯酸钠放出的游离氯可引起中毒，亦可引起皮肤病。已知本品有致敏作用。</w:t>
                  </w:r>
                </w:p>
                <w:p w14:paraId="18EFBC2E">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color w:val="auto"/>
                      <w:spacing w:val="0"/>
                      <w:w w:val="100"/>
                      <w:lang w:val="en-US" w:eastAsia="zh-CN"/>
                    </w:rPr>
                  </w:pPr>
                  <w:r>
                    <w:rPr>
                      <w:rFonts w:hint="eastAsia"/>
                      <w:color w:val="auto"/>
                      <w:spacing w:val="0"/>
                      <w:w w:val="100"/>
                      <w:lang w:val="en-US" w:eastAsia="zh-CN"/>
                    </w:rPr>
                    <w:t>用次氯酸钠漂白液洗手的工作，手掌大量出汗，指甲变薄，毛发脱落。</w:t>
                  </w:r>
                </w:p>
                <w:p w14:paraId="6B22562E">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color w:val="auto"/>
                      <w:spacing w:val="0"/>
                      <w:w w:val="100"/>
                      <w:lang w:val="en-US" w:eastAsia="zh-CN"/>
                    </w:rPr>
                  </w:pPr>
                  <w:r>
                    <w:rPr>
                      <w:rFonts w:hint="eastAsia"/>
                      <w:color w:val="auto"/>
                      <w:spacing w:val="0"/>
                      <w:w w:val="100"/>
                      <w:lang w:val="en-US" w:eastAsia="zh-CN"/>
                    </w:rPr>
                    <w:t>环境危害：对大气、水环境有危害。</w:t>
                  </w:r>
                </w:p>
                <w:p w14:paraId="6B4216F3">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color w:val="auto"/>
                      <w:spacing w:val="0"/>
                      <w:w w:val="100"/>
                      <w:lang w:eastAsia="zh-CN"/>
                    </w:rPr>
                  </w:pPr>
                  <w:r>
                    <w:rPr>
                      <w:rFonts w:hint="eastAsia"/>
                      <w:color w:val="auto"/>
                      <w:spacing w:val="0"/>
                      <w:w w:val="100"/>
                      <w:lang w:val="en-US" w:eastAsia="zh-CN"/>
                    </w:rPr>
                    <w:t>燃爆危险：本品不燃。</w:t>
                  </w:r>
                </w:p>
              </w:tc>
            </w:tr>
            <w:tr w14:paraId="2A07994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930" w:type="pct"/>
                  <w:tcBorders>
                    <w:tl2br w:val="nil"/>
                    <w:tr2bl w:val="nil"/>
                  </w:tcBorders>
                  <w:noWrap w:val="0"/>
                  <w:vAlign w:val="center"/>
                </w:tcPr>
                <w:p w14:paraId="0F3D68E8">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Cs/>
                      <w:color w:val="auto"/>
                      <w:spacing w:val="0"/>
                      <w:w w:val="100"/>
                      <w:kern w:val="0"/>
                      <w:sz w:val="21"/>
                      <w:szCs w:val="21"/>
                    </w:rPr>
                  </w:pPr>
                  <w:r>
                    <w:rPr>
                      <w:rFonts w:hint="default" w:ascii="Times New Roman" w:hAnsi="Times New Roman" w:eastAsia="宋体" w:cs="Times New Roman"/>
                      <w:bCs/>
                      <w:color w:val="auto"/>
                      <w:spacing w:val="0"/>
                      <w:w w:val="100"/>
                      <w:kern w:val="0"/>
                      <w:sz w:val="21"/>
                      <w:szCs w:val="21"/>
                    </w:rPr>
                    <w:t>风险防范措施要求</w:t>
                  </w:r>
                </w:p>
              </w:tc>
              <w:tc>
                <w:tcPr>
                  <w:tcW w:w="4069" w:type="pct"/>
                  <w:gridSpan w:val="7"/>
                  <w:tcBorders>
                    <w:tl2br w:val="nil"/>
                    <w:tr2bl w:val="nil"/>
                  </w:tcBorders>
                  <w:noWrap w:val="0"/>
                  <w:vAlign w:val="center"/>
                </w:tcPr>
                <w:p w14:paraId="34B8E6B8">
                  <w:pPr>
                    <w:keepNext w:val="0"/>
                    <w:keepLines w:val="0"/>
                    <w:pageBreakBefore w:val="0"/>
                    <w:widowControl w:val="0"/>
                    <w:numPr>
                      <w:ilvl w:val="0"/>
                      <w:numId w:val="4"/>
                    </w:numPr>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lang w:eastAsia="zh-CN"/>
                    </w:rPr>
                    <w:t>泄漏处理</w:t>
                  </w:r>
                </w:p>
                <w:p w14:paraId="3D794426">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eastAsia="zh-CN"/>
                    </w:rPr>
                    <w:t>迅速撤离泄漏污染区人员安全区，并进行隔离，严格限制出入。建议应急处理人员戴自给正压式呼吸器，穿防酸碱工作服。不要直接接触泄漏物。尽可能切断泄漏源。小量泄漏：用砂土、蛭石或其它惰性材料吸收。大量泄漏：构筑围堤或挖坑收容。用泡沫覆盖，降低灾害。用</w:t>
                  </w:r>
                  <w:r>
                    <w:rPr>
                      <w:rFonts w:hint="eastAsia" w:ascii="Times New Roman" w:hAnsi="Times New Roman" w:eastAsia="宋体" w:cs="Times New Roman"/>
                      <w:color w:val="auto"/>
                      <w:spacing w:val="0"/>
                      <w:w w:val="100"/>
                      <w:sz w:val="21"/>
                      <w:szCs w:val="21"/>
                      <w:lang w:val="en-US" w:eastAsia="zh-CN"/>
                    </w:rPr>
                    <w:t>全</w:t>
                  </w:r>
                  <w:r>
                    <w:rPr>
                      <w:rFonts w:hint="eastAsia" w:ascii="Times New Roman" w:hAnsi="Times New Roman" w:eastAsia="宋体" w:cs="Times New Roman"/>
                      <w:color w:val="auto"/>
                      <w:spacing w:val="0"/>
                      <w:w w:val="100"/>
                      <w:sz w:val="21"/>
                      <w:szCs w:val="21"/>
                      <w:lang w:eastAsia="zh-CN"/>
                    </w:rPr>
                    <w:t>转移全槽车或专用收集器内，回收或运全废物处理场所处置。</w:t>
                  </w:r>
                </w:p>
                <w:p w14:paraId="0857F13D">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eastAsia="zh-CN"/>
                    </w:rPr>
                    <w:t>急救措施：</w:t>
                  </w:r>
                </w:p>
                <w:p w14:paraId="2D893D57">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eastAsia="zh-CN"/>
                    </w:rPr>
                    <w:t>皮肤接触：脱去污染的衣着，用大量流动清水冲洗。</w:t>
                  </w:r>
                </w:p>
                <w:p w14:paraId="5A4CA0C3">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eastAsia="zh-CN"/>
                    </w:rPr>
                    <w:t>眼睛接触：提起眼睑，用流动清水或生理盐水冲洗。就医。</w:t>
                  </w:r>
                </w:p>
                <w:p w14:paraId="7FEAF562">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eastAsia="zh-CN"/>
                    </w:rPr>
                    <w:t>吸入：迅速脱离现场至空气新鲜处。保持呼吸道通畅。如呼吸困难，给输氧。如呼吸停止，立即进行人工呼吸。就医。</w:t>
                  </w:r>
                </w:p>
                <w:p w14:paraId="7E1F5F30">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eastAsia="zh-CN"/>
                    </w:rPr>
                    <w:t>食入：饮足量温水，催吐。就医。</w:t>
                  </w:r>
                </w:p>
                <w:p w14:paraId="570EC497">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eastAsia="zh-CN"/>
                    </w:rPr>
                    <w:t>灭火方法：采用雾状水、二氧化碳、砂土灭火。</w:t>
                  </w:r>
                </w:p>
                <w:p w14:paraId="1D7B6912">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eastAsia"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lang w:eastAsia="zh-CN"/>
                    </w:rPr>
                    <w:t>二</w:t>
                  </w:r>
                  <w:r>
                    <w:rPr>
                      <w:rFonts w:hint="default" w:ascii="Times New Roman" w:hAnsi="Times New Roman" w:eastAsia="宋体" w:cs="Times New Roman"/>
                      <w:color w:val="auto"/>
                      <w:spacing w:val="0"/>
                      <w:w w:val="100"/>
                      <w:sz w:val="21"/>
                      <w:szCs w:val="21"/>
                    </w:rPr>
                    <w:t>、</w:t>
                  </w:r>
                  <w:r>
                    <w:rPr>
                      <w:rFonts w:hint="eastAsia" w:ascii="Times New Roman" w:hAnsi="Times New Roman" w:eastAsia="宋体" w:cs="Times New Roman"/>
                      <w:color w:val="auto"/>
                      <w:spacing w:val="0"/>
                      <w:w w:val="100"/>
                      <w:sz w:val="21"/>
                      <w:szCs w:val="21"/>
                      <w:lang w:eastAsia="zh-CN"/>
                    </w:rPr>
                    <w:t>防护措施</w:t>
                  </w:r>
                </w:p>
                <w:p w14:paraId="0E9AE90A">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工程防护</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eastAsia="宋体" w:cs="Times New Roman"/>
                      <w:color w:val="auto"/>
                      <w:spacing w:val="0"/>
                      <w:w w:val="100"/>
                      <w:sz w:val="21"/>
                      <w:szCs w:val="21"/>
                    </w:rPr>
                    <w:t>生产过程密闭，全面通风。提供安全淋浴和洗眼设备。呼吸系统防护高浓度环境中，应该佩戴直接式防毒面具</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eastAsia="宋体" w:cs="Times New Roman"/>
                      <w:color w:val="auto"/>
                      <w:spacing w:val="0"/>
                      <w:w w:val="100"/>
                      <w:sz w:val="21"/>
                      <w:szCs w:val="21"/>
                    </w:rPr>
                    <w:t>半面罩</w:t>
                  </w:r>
                  <w:r>
                    <w:rPr>
                      <w:rFonts w:hint="eastAsia" w:ascii="Times New Roman" w:hAnsi="Times New Roman" w:eastAsia="宋体" w:cs="Times New Roman"/>
                      <w:color w:val="auto"/>
                      <w:spacing w:val="0"/>
                      <w:w w:val="100"/>
                      <w:sz w:val="21"/>
                      <w:szCs w:val="21"/>
                      <w:lang w:eastAsia="zh-CN"/>
                    </w:rPr>
                    <w:t>）</w:t>
                  </w:r>
                </w:p>
                <w:p w14:paraId="1DBB9142">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眼睛防护</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eastAsia="宋体" w:cs="Times New Roman"/>
                      <w:color w:val="auto"/>
                      <w:spacing w:val="0"/>
                      <w:w w:val="100"/>
                      <w:sz w:val="21"/>
                      <w:szCs w:val="21"/>
                    </w:rPr>
                    <w:t>戴化学安全防护眼镜。</w:t>
                  </w:r>
                </w:p>
                <w:p w14:paraId="047177D3">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身体防护</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eastAsia="宋体" w:cs="Times New Roman"/>
                      <w:color w:val="auto"/>
                      <w:spacing w:val="0"/>
                      <w:w w:val="100"/>
                      <w:sz w:val="21"/>
                      <w:szCs w:val="21"/>
                    </w:rPr>
                    <w:t>穿防腐工作服。</w:t>
                  </w:r>
                </w:p>
                <w:p w14:paraId="73334231">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手防护</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eastAsia="宋体" w:cs="Times New Roman"/>
                      <w:color w:val="auto"/>
                      <w:spacing w:val="0"/>
                      <w:w w:val="100"/>
                      <w:sz w:val="21"/>
                      <w:szCs w:val="21"/>
                    </w:rPr>
                    <w:t>戴橡胶手套。</w:t>
                  </w:r>
                </w:p>
                <w:p w14:paraId="53228942">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eastAsia="zh-CN"/>
                    </w:rPr>
                    <w:t>三、</w:t>
                  </w:r>
                  <w:r>
                    <w:rPr>
                      <w:rFonts w:hint="default" w:ascii="Times New Roman" w:hAnsi="Times New Roman" w:eastAsia="宋体" w:cs="Times New Roman"/>
                      <w:color w:val="auto"/>
                      <w:spacing w:val="0"/>
                      <w:w w:val="100"/>
                      <w:sz w:val="21"/>
                      <w:szCs w:val="21"/>
                      <w:lang w:eastAsia="zh-CN"/>
                    </w:rPr>
                    <w:t>风险防范</w:t>
                  </w:r>
                  <w:r>
                    <w:rPr>
                      <w:rFonts w:hint="default" w:ascii="Times New Roman" w:hAnsi="Times New Roman" w:eastAsia="宋体" w:cs="Times New Roman"/>
                      <w:color w:val="auto"/>
                      <w:spacing w:val="0"/>
                      <w:w w:val="100"/>
                      <w:sz w:val="21"/>
                      <w:szCs w:val="21"/>
                    </w:rPr>
                    <w:t>管理</w:t>
                  </w:r>
                </w:p>
                <w:p w14:paraId="061C20A3">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为避免风险事故，尤其是避免风险事故发生后对环境造成严重的污染，建设单位应树立并强化环境风险意识，增加对环境风险的防范措施，并使这些措施在实际工作中得到落实。主要包括：</w:t>
                  </w:r>
                </w:p>
                <w:p w14:paraId="51E21A95">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①树立环境风险意识树立环境风险意识，强化环境风险责任，体现出环境保护的内容。</w:t>
                  </w:r>
                </w:p>
                <w:p w14:paraId="2A63A19E">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②实行全面环境安全管理制度</w:t>
                  </w:r>
                </w:p>
                <w:p w14:paraId="3B3342E7">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针对项目开展全面、全员、全过程的系数安全管理，把环境安全工作的重点放在消除系统的潜在危险上，从整体和全局上促进该项目各个环节的环境安全运作，并建立监察、管理、检测、信息系统和科学决策体系，实行环境安全目标管理。</w:t>
                  </w:r>
                </w:p>
                <w:p w14:paraId="79F2F6BA">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③规范并强化在储存、处理过程中的环境风险预防措施</w:t>
                  </w:r>
                </w:p>
                <w:p w14:paraId="40CDFFE6">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为预防安全事故的发生，建设单位必须制定比较完善的环境安全管理规章制度，应从制度上对环境风险予以防范，从储存、处理等各个环节予以全面考虑，并力图做到规范且可操作性强。</w:t>
                  </w:r>
                </w:p>
                <w:p w14:paraId="3BC1297C">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rPr>
                    <w:t>④加强巡回检查，减少项目</w:t>
                  </w:r>
                  <w:r>
                    <w:rPr>
                      <w:rFonts w:hint="default" w:ascii="Times New Roman" w:hAnsi="Times New Roman" w:eastAsia="宋体" w:cs="Times New Roman"/>
                      <w:color w:val="auto"/>
                      <w:spacing w:val="0"/>
                      <w:w w:val="100"/>
                      <w:sz w:val="21"/>
                      <w:szCs w:val="21"/>
                      <w:lang w:eastAsia="zh-CN"/>
                    </w:rPr>
                    <w:t>风险物质</w:t>
                  </w:r>
                  <w:r>
                    <w:rPr>
                      <w:rFonts w:hint="default" w:ascii="Times New Roman" w:hAnsi="Times New Roman" w:eastAsia="宋体" w:cs="Times New Roman"/>
                      <w:color w:val="auto"/>
                      <w:spacing w:val="0"/>
                      <w:w w:val="100"/>
                      <w:sz w:val="21"/>
                      <w:szCs w:val="21"/>
                    </w:rPr>
                    <w:t>泄漏对环境的污染</w:t>
                  </w:r>
                  <w:r>
                    <w:rPr>
                      <w:rFonts w:hint="default" w:ascii="Times New Roman" w:hAnsi="Times New Roman" w:eastAsia="宋体" w:cs="Times New Roman"/>
                      <w:color w:val="auto"/>
                      <w:spacing w:val="0"/>
                      <w:w w:val="100"/>
                      <w:sz w:val="21"/>
                      <w:szCs w:val="21"/>
                      <w:lang w:eastAsia="zh-CN"/>
                    </w:rPr>
                    <w:t>。</w:t>
                  </w:r>
                </w:p>
                <w:p w14:paraId="43D8B152">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加强巡回检查，是发现“跑、冒、滴、漏”等事故的重要手段。每日的巡回检查应做详细记录，发现问题应及时上报，并做到及时防范。定期对项目环保设施进行检查、维护，对易发生泄漏的部位实行定期的巡检制度，及时发现问题，尽快解决。项目排风管道及净化装置定期进行检查，防风管道采取防腐、防漏措施。</w:t>
                  </w:r>
                </w:p>
                <w:p w14:paraId="2A801852">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⑤加强资料的日常记录与管理</w:t>
                  </w:r>
                </w:p>
                <w:p w14:paraId="166E4700">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firstLine="420" w:firstLineChars="200"/>
                    <w:textAlignment w:val="auto"/>
                    <w:rPr>
                      <w:rFonts w:hint="default" w:ascii="Times New Roman" w:hAnsi="Times New Roman" w:eastAsia="宋体" w:cs="Times New Roman"/>
                      <w:bCs/>
                      <w:color w:val="auto"/>
                      <w:spacing w:val="0"/>
                      <w:w w:val="100"/>
                      <w:kern w:val="0"/>
                      <w:sz w:val="21"/>
                      <w:szCs w:val="21"/>
                    </w:rPr>
                  </w:pPr>
                  <w:r>
                    <w:rPr>
                      <w:rFonts w:hint="default" w:ascii="Times New Roman" w:hAnsi="Times New Roman" w:eastAsia="宋体" w:cs="Times New Roman"/>
                      <w:color w:val="auto"/>
                      <w:spacing w:val="0"/>
                      <w:w w:val="100"/>
                      <w:sz w:val="21"/>
                      <w:szCs w:val="21"/>
                    </w:rPr>
                    <w:t>加强对</w:t>
                  </w:r>
                  <w:r>
                    <w:rPr>
                      <w:rFonts w:hint="eastAsia" w:ascii="Times New Roman" w:hAnsi="Times New Roman" w:eastAsia="宋体" w:cs="Times New Roman"/>
                      <w:color w:val="auto"/>
                      <w:spacing w:val="0"/>
                      <w:w w:val="100"/>
                      <w:sz w:val="21"/>
                      <w:szCs w:val="21"/>
                      <w:lang w:eastAsia="zh-CN"/>
                    </w:rPr>
                    <w:t>次氯酸钠</w:t>
                  </w:r>
                  <w:r>
                    <w:rPr>
                      <w:rFonts w:hint="default" w:ascii="Times New Roman" w:hAnsi="Times New Roman" w:eastAsia="宋体" w:cs="Times New Roman"/>
                      <w:color w:val="auto"/>
                      <w:spacing w:val="0"/>
                      <w:w w:val="100"/>
                      <w:sz w:val="21"/>
                      <w:szCs w:val="21"/>
                    </w:rPr>
                    <w:t>的</w:t>
                  </w:r>
                  <w:r>
                    <w:rPr>
                      <w:rFonts w:hint="eastAsia" w:ascii="Times New Roman" w:hAnsi="Times New Roman" w:eastAsia="宋体" w:cs="Times New Roman"/>
                      <w:color w:val="auto"/>
                      <w:spacing w:val="0"/>
                      <w:w w:val="100"/>
                      <w:sz w:val="21"/>
                      <w:szCs w:val="21"/>
                      <w:lang w:eastAsia="zh-CN"/>
                    </w:rPr>
                    <w:t>使用</w:t>
                  </w:r>
                  <w:r>
                    <w:rPr>
                      <w:rFonts w:hint="default" w:ascii="Times New Roman" w:hAnsi="Times New Roman" w:eastAsia="宋体" w:cs="Times New Roman"/>
                      <w:color w:val="auto"/>
                      <w:spacing w:val="0"/>
                      <w:w w:val="100"/>
                      <w:sz w:val="21"/>
                      <w:szCs w:val="21"/>
                    </w:rPr>
                    <w:t>等资料的日常记录，及时发现问题并采取减缓危害的措施。</w:t>
                  </w:r>
                </w:p>
              </w:tc>
            </w:tr>
            <w:tr w14:paraId="22A7F91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00" w:type="pct"/>
                  <w:gridSpan w:val="8"/>
                  <w:tcBorders>
                    <w:tl2br w:val="nil"/>
                    <w:tr2bl w:val="nil"/>
                  </w:tcBorders>
                  <w:noWrap w:val="0"/>
                  <w:vAlign w:val="center"/>
                </w:tcPr>
                <w:p w14:paraId="0FDDEB2C">
                  <w:pPr>
                    <w:keepNext w:val="0"/>
                    <w:keepLines w:val="0"/>
                    <w:pageBreakBefore w:val="0"/>
                    <w:widowControl w:val="0"/>
                    <w:suppressLineNumbers w:val="0"/>
                    <w:kinsoku/>
                    <w:wordWrap/>
                    <w:overflowPunct/>
                    <w:topLinePunct w:val="0"/>
                    <w:autoSpaceDE/>
                    <w:autoSpaceDN w:val="0"/>
                    <w:bidi w:val="0"/>
                    <w:adjustRightInd/>
                    <w:snapToGrid/>
                    <w:spacing w:before="0" w:beforeAutospacing="0" w:after="0" w:afterAutospacing="0" w:line="280" w:lineRule="exact"/>
                    <w:ind w:left="0" w:right="0"/>
                    <w:textAlignment w:val="auto"/>
                    <w:rPr>
                      <w:rFonts w:hint="default" w:ascii="Times New Roman" w:hAnsi="Times New Roman" w:eastAsia="宋体" w:cs="Times New Roman"/>
                      <w:bCs/>
                      <w:color w:val="auto"/>
                      <w:spacing w:val="0"/>
                      <w:w w:val="100"/>
                      <w:kern w:val="0"/>
                      <w:sz w:val="21"/>
                      <w:szCs w:val="21"/>
                    </w:rPr>
                  </w:pPr>
                  <w:r>
                    <w:rPr>
                      <w:rFonts w:hint="default" w:ascii="Times New Roman" w:hAnsi="Times New Roman" w:eastAsia="宋体" w:cs="Times New Roman"/>
                      <w:bCs/>
                      <w:color w:val="auto"/>
                      <w:spacing w:val="0"/>
                      <w:w w:val="100"/>
                      <w:kern w:val="0"/>
                      <w:sz w:val="21"/>
                      <w:szCs w:val="21"/>
                    </w:rPr>
                    <w:t>填表说明（列出项目相关信息及评价说明）</w:t>
                  </w:r>
                  <w:r>
                    <w:rPr>
                      <w:rFonts w:hint="default" w:ascii="Times New Roman" w:hAnsi="Times New Roman" w:eastAsia="宋体" w:cs="Times New Roman"/>
                      <w:bCs/>
                      <w:color w:val="auto"/>
                      <w:spacing w:val="0"/>
                      <w:w w:val="100"/>
                      <w:kern w:val="0"/>
                      <w:sz w:val="21"/>
                      <w:szCs w:val="21"/>
                      <w:lang w:eastAsia="zh-CN"/>
                    </w:rPr>
                    <w:t>：本项目涉及危险物质为</w:t>
                  </w:r>
                  <w:r>
                    <w:rPr>
                      <w:rFonts w:hint="eastAsia" w:ascii="Times New Roman" w:hAnsi="Times New Roman" w:eastAsia="宋体" w:cs="Times New Roman"/>
                      <w:bCs/>
                      <w:color w:val="auto"/>
                      <w:spacing w:val="0"/>
                      <w:w w:val="100"/>
                      <w:kern w:val="0"/>
                      <w:sz w:val="21"/>
                      <w:szCs w:val="21"/>
                      <w:lang w:eastAsia="zh-CN"/>
                    </w:rPr>
                    <w:t>次氯酸钠</w:t>
                  </w:r>
                  <w:r>
                    <w:rPr>
                      <w:rFonts w:hint="default" w:ascii="Times New Roman" w:hAnsi="Times New Roman" w:eastAsia="宋体" w:cs="Times New Roman"/>
                      <w:bCs/>
                      <w:color w:val="auto"/>
                      <w:spacing w:val="0"/>
                      <w:w w:val="100"/>
                      <w:kern w:val="0"/>
                      <w:sz w:val="21"/>
                      <w:szCs w:val="21"/>
                      <w:lang w:eastAsia="zh-CN"/>
                    </w:rPr>
                    <w:t>，根据《建设项目环境风险评价技术导则》（HJ 169-2018），本项目危险物质总量与其临界量的比值Q=</w:t>
                  </w:r>
                  <w:r>
                    <w:rPr>
                      <w:rFonts w:hint="default" w:ascii="Times New Roman" w:hAnsi="Times New Roman" w:eastAsia="宋体" w:cs="Times New Roman"/>
                      <w:bCs/>
                      <w:color w:val="auto"/>
                      <w:spacing w:val="0"/>
                      <w:w w:val="100"/>
                      <w:kern w:val="0"/>
                      <w:sz w:val="21"/>
                      <w:szCs w:val="21"/>
                      <w:lang w:val="en-US" w:eastAsia="zh-CN"/>
                    </w:rPr>
                    <w:t>0.</w:t>
                  </w:r>
                  <w:r>
                    <w:rPr>
                      <w:rFonts w:hint="eastAsia" w:ascii="Times New Roman" w:hAnsi="Times New Roman" w:eastAsia="宋体" w:cs="Times New Roman"/>
                      <w:bCs/>
                      <w:color w:val="auto"/>
                      <w:spacing w:val="0"/>
                      <w:w w:val="100"/>
                      <w:kern w:val="0"/>
                      <w:sz w:val="21"/>
                      <w:szCs w:val="21"/>
                      <w:lang w:val="en-US" w:eastAsia="zh-CN"/>
                    </w:rPr>
                    <w:t>4</w:t>
                  </w:r>
                  <w:r>
                    <w:rPr>
                      <w:rFonts w:hint="default" w:ascii="Times New Roman" w:hAnsi="Times New Roman" w:eastAsia="宋体" w:cs="Times New Roman"/>
                      <w:bCs/>
                      <w:color w:val="auto"/>
                      <w:spacing w:val="0"/>
                      <w:w w:val="100"/>
                      <w:kern w:val="0"/>
                      <w:sz w:val="21"/>
                      <w:szCs w:val="21"/>
                      <w:lang w:eastAsia="zh-CN"/>
                    </w:rPr>
                    <w:t>＜1，项目环境风险潜势为I，环境风险评价工作等级为简单分析。参照附录A，填写此表。</w:t>
                  </w:r>
                </w:p>
              </w:tc>
            </w:tr>
          </w:tbl>
          <w:p w14:paraId="295532D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pacing w:val="0"/>
                <w:w w:val="100"/>
                <w:szCs w:val="21"/>
                <w:lang w:val="en-US" w:eastAsia="zh-CN"/>
              </w:rPr>
            </w:pPr>
            <w:r>
              <w:rPr>
                <w:rFonts w:hint="default" w:ascii="Times New Roman" w:hAnsi="Times New Roman" w:eastAsia="宋体" w:cs="Times New Roman"/>
                <w:color w:val="auto"/>
                <w:spacing w:val="0"/>
                <w:w w:val="100"/>
                <w:sz w:val="24"/>
                <w:szCs w:val="24"/>
              </w:rPr>
              <w:t>综上所述，项目可能发生的环境风险事故主要为</w:t>
            </w:r>
            <w:r>
              <w:rPr>
                <w:rFonts w:hint="eastAsia" w:ascii="Times New Roman" w:hAnsi="Times New Roman" w:eastAsia="宋体" w:cs="Times New Roman"/>
                <w:color w:val="auto"/>
                <w:spacing w:val="0"/>
                <w:w w:val="100"/>
                <w:sz w:val="24"/>
                <w:szCs w:val="24"/>
                <w:lang w:eastAsia="zh-CN"/>
              </w:rPr>
              <w:t>次氯酸钠及事故排水</w:t>
            </w:r>
            <w:r>
              <w:rPr>
                <w:rFonts w:hint="default" w:ascii="Times New Roman" w:hAnsi="Times New Roman" w:eastAsia="宋体" w:cs="Times New Roman"/>
                <w:color w:val="auto"/>
                <w:spacing w:val="0"/>
                <w:w w:val="100"/>
                <w:sz w:val="24"/>
                <w:szCs w:val="24"/>
                <w:lang w:eastAsia="zh-CN"/>
              </w:rPr>
              <w:t>等</w:t>
            </w:r>
            <w:r>
              <w:rPr>
                <w:rFonts w:hint="eastAsia" w:ascii="Times New Roman" w:hAnsi="Times New Roman" w:eastAsia="宋体" w:cs="Times New Roman"/>
                <w:color w:val="auto"/>
                <w:spacing w:val="0"/>
                <w:w w:val="100"/>
                <w:sz w:val="24"/>
                <w:szCs w:val="24"/>
                <w:lang w:eastAsia="zh-CN"/>
              </w:rPr>
              <w:t>泄漏</w:t>
            </w:r>
            <w:r>
              <w:rPr>
                <w:rFonts w:hint="default" w:ascii="Times New Roman" w:hAnsi="Times New Roman" w:eastAsia="宋体" w:cs="Times New Roman"/>
                <w:color w:val="auto"/>
                <w:spacing w:val="0"/>
                <w:w w:val="100"/>
                <w:sz w:val="24"/>
                <w:szCs w:val="24"/>
                <w:lang w:eastAsia="zh-CN"/>
              </w:rPr>
              <w:t>危害大气与</w:t>
            </w:r>
            <w:r>
              <w:rPr>
                <w:rFonts w:hint="eastAsia" w:ascii="Times New Roman" w:hAnsi="Times New Roman" w:eastAsia="宋体" w:cs="Times New Roman"/>
                <w:color w:val="auto"/>
                <w:spacing w:val="0"/>
                <w:w w:val="100"/>
                <w:sz w:val="24"/>
                <w:szCs w:val="24"/>
                <w:lang w:eastAsia="zh-CN"/>
              </w:rPr>
              <w:t>水环境</w:t>
            </w:r>
            <w:r>
              <w:rPr>
                <w:rFonts w:hint="eastAsia" w:ascii="Times New Roman" w:hAnsi="Times New Roman" w:eastAsia="宋体" w:cs="Times New Roman"/>
                <w:color w:val="auto"/>
                <w:spacing w:val="0"/>
                <w:w w:val="100"/>
                <w:sz w:val="24"/>
                <w:szCs w:val="24"/>
                <w:lang w:val="en-US" w:eastAsia="zh-CN"/>
              </w:rPr>
              <w:t>。</w:t>
            </w:r>
            <w:r>
              <w:rPr>
                <w:rFonts w:hint="default" w:ascii="Times New Roman" w:hAnsi="Times New Roman" w:eastAsia="宋体" w:cs="Times New Roman"/>
                <w:color w:val="auto"/>
                <w:spacing w:val="0"/>
                <w:w w:val="100"/>
                <w:sz w:val="24"/>
                <w:szCs w:val="24"/>
              </w:rPr>
              <w:t>此类事故一旦发生应尽快找出原因，启动应急预案，尽量减少对周围环境的影响，将影响降至最低。在加强监控、建立本评价提出的风险防范措施，并制定切实可行的应急预案的情况下，项目的环境风险较小，是可以接受的</w:t>
            </w:r>
            <w:r>
              <w:rPr>
                <w:rFonts w:hint="default" w:ascii="Times New Roman" w:hAnsi="Times New Roman" w:eastAsia="宋体" w:cs="Times New Roman"/>
                <w:color w:val="auto"/>
                <w:spacing w:val="0"/>
                <w:w w:val="100"/>
                <w:sz w:val="24"/>
                <w:szCs w:val="24"/>
                <w:lang w:eastAsia="zh-CN"/>
              </w:rPr>
              <w:t>。</w:t>
            </w:r>
          </w:p>
          <w:p w14:paraId="3D574BFC">
            <w:pPr>
              <w:keepNext w:val="0"/>
              <w:keepLines w:val="0"/>
              <w:pageBreakBefore w:val="0"/>
              <w:widowControl w:val="0"/>
              <w:numPr>
                <w:ilvl w:val="0"/>
                <w:numId w:val="5"/>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对千河水产种质资源保护区的影响</w:t>
            </w:r>
          </w:p>
          <w:p w14:paraId="0C0B94C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mc:AlternateContent>
                <mc:Choice Requires="wps">
                  <w:drawing>
                    <wp:anchor distT="0" distB="0" distL="114300" distR="114300" simplePos="0" relativeHeight="251685888" behindDoc="0" locked="0" layoutInCell="0" allowOverlap="1">
                      <wp:simplePos x="0" y="0"/>
                      <wp:positionH relativeFrom="page">
                        <wp:posOffset>914400</wp:posOffset>
                      </wp:positionH>
                      <wp:positionV relativeFrom="page">
                        <wp:posOffset>592455</wp:posOffset>
                      </wp:positionV>
                      <wp:extent cx="5731510" cy="9525"/>
                      <wp:effectExtent l="0" t="0" r="0" b="0"/>
                      <wp:wrapNone/>
                      <wp:docPr id="15" name="任意多边形 15"/>
                      <wp:cNvGraphicFramePr/>
                      <a:graphic xmlns:a="http://schemas.openxmlformats.org/drawingml/2006/main">
                        <a:graphicData uri="http://schemas.microsoft.com/office/word/2010/wordprocessingShape">
                          <wps:wsp>
                            <wps:cNvSpPr/>
                            <wps:spPr>
                              <a:xfrm>
                                <a:off x="0" y="0"/>
                                <a:ext cx="5731510" cy="9525"/>
                              </a:xfrm>
                              <a:custGeom>
                                <a:avLst/>
                                <a:gdLst/>
                                <a:ahLst/>
                                <a:cxnLst/>
                                <a:pathLst>
                                  <a:path w="9025" h="15">
                                    <a:moveTo>
                                      <a:pt x="0" y="0"/>
                                    </a:moveTo>
                                    <a:lnTo>
                                      <a:pt x="9025" y="0"/>
                                    </a:lnTo>
                                    <a:lnTo>
                                      <a:pt x="9025" y="14"/>
                                    </a:lnTo>
                                    <a:lnTo>
                                      <a:pt x="0" y="14"/>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2pt;margin-top:46.65pt;height:0.75pt;width:451.3pt;mso-position-horizontal-relative:page;mso-position-vertical-relative:page;z-index:251685888;mso-width-relative:page;mso-height-relative:page;" fillcolor="#000000" filled="t" stroked="f" coordsize="9025,15" o:allowincell="f" o:gfxdata="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pz7KX2AAAAAoBAAAPAAAAAAAAAAEAIAAA&#10;ACIAAABkcnMvZG93bnJldi54bWxQSwECFAAUAAAACACHTuJAHUvbkgwCAAB9BAAADgAAAAAAAAAB&#10;ACAAAAAnAQAAZHJzL2Uyb0RvYy54bWxQSwUGAAAAAAYABgBZAQAApQUAAAAA&#10;" path="m0,0l9025,0,9025,14,0,14,0,0xe">
                      <v:fill on="t" focussize="0,0"/>
                      <v:stroke on="f"/>
                      <v:imagedata o:title=""/>
                      <o:lock v:ext="edit" aspectratio="f"/>
                    </v:shape>
                  </w:pict>
                </mc:Fallback>
              </mc:AlternateContent>
            </w:r>
            <w:r>
              <w:rPr>
                <w:rFonts w:hint="eastAsia" w:ascii="Times New Roman" w:hAnsi="Times New Roman" w:eastAsia="宋体" w:cs="Times New Roman"/>
                <w:color w:val="auto"/>
                <w:spacing w:val="0"/>
                <w:w w:val="100"/>
                <w:sz w:val="24"/>
                <w:szCs w:val="24"/>
                <w:lang w:val="en-US" w:eastAsia="zh-CN"/>
              </w:rPr>
              <w:t>根据《陕西陇县经济技术开发区总体规划（2022-2035）环境影响报告书》，陇县经济技术开发区规划区河段处于千河水产种质资源保护区核心区段，依据农业农村部《水产种质资源保护区管理暂行办法》和《陕西省主体功能区规划》，该河段的管理要求是：①禁止在水产种质资源保护区内新建排污口。②按核心区和试验区分类管理。核心区内严禁从事任何生产建设活动；在实验区内从事水利疏浚航道，建闸筑坝、勘探和开采矿产资源、港口等工程建设的，或者在水产种质资源保护区外从事可能损害保护区功能的工程建设活动的，应当按照国家有关规定编制建设项目对水产种质资源保护区的影响评价报告，并将其纳入环境影响评价报告书。</w:t>
            </w:r>
          </w:p>
          <w:p w14:paraId="3517721F">
            <w:pPr>
              <w:keepNext w:val="0"/>
              <w:keepLines w:val="0"/>
              <w:pageBreakBefore w:val="0"/>
              <w:widowControl w:val="0"/>
              <w:suppressLineNumbers w:val="0"/>
              <w:tabs>
                <w:tab w:val="left" w:pos="4057"/>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本次建设项目依托陇县千河南岸新城污水处理厂排放口排放，不新增污水排放口，处理后尾水排入千河。</w:t>
            </w:r>
          </w:p>
          <w:p w14:paraId="18C4D170">
            <w:pPr>
              <w:keepNext w:val="0"/>
              <w:keepLines w:val="0"/>
              <w:pageBreakBefore w:val="0"/>
              <w:widowControl w:val="0"/>
              <w:suppressLineNumbers w:val="0"/>
              <w:tabs>
                <w:tab w:val="left" w:pos="4057"/>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000000" w:themeColor="text1"/>
                <w:spacing w:val="0"/>
                <w:w w:val="100"/>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pacing w:val="0"/>
                <w:w w:val="100"/>
                <w:sz w:val="24"/>
                <w:szCs w:val="24"/>
                <w:lang w:val="en-US" w:eastAsia="zh-CN"/>
                <w14:textFill>
                  <w14:solidFill>
                    <w14:schemeClr w14:val="tx1"/>
                  </w14:solidFill>
                </w14:textFill>
              </w:rPr>
              <w:t>根据地表水环境影响预测，规划实施后排放口处及下游COD、氨氮、总磷浓度均可达到《地表水环境质量标准》（GB3838-2002）中Ⅲ类水域标准限值，且与现状值相比增加较小，且至下游1500米处，经河道消减，项目排水污染物几乎为零，因此，实施不会对千河水质产生大的影响，不会损害水质种质保护区。</w:t>
            </w:r>
          </w:p>
          <w:p w14:paraId="6002E5E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因此，本次规划对千河水产种质资源保护区的影响较小。</w:t>
            </w:r>
          </w:p>
          <w:p w14:paraId="30F010EB">
            <w:pPr>
              <w:keepNext w:val="0"/>
              <w:keepLines w:val="0"/>
              <w:pageBreakBefore w:val="0"/>
              <w:widowControl w:val="0"/>
              <w:numPr>
                <w:ilvl w:val="0"/>
                <w:numId w:val="5"/>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千河湿地环境影响</w:t>
            </w:r>
          </w:p>
          <w:p w14:paraId="0C78EF7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spacing w:val="0"/>
                <w:w w:val="100"/>
                <w:sz w:val="24"/>
                <w:szCs w:val="24"/>
              </w:rPr>
            </w:pPr>
            <w:r>
              <w:rPr>
                <w:rFonts w:hint="eastAsia" w:ascii="Times New Roman" w:hAnsi="Times New Roman" w:eastAsia="宋体" w:cs="Times New Roman"/>
                <w:spacing w:val="0"/>
                <w:w w:val="100"/>
                <w:sz w:val="24"/>
                <w:szCs w:val="24"/>
                <w:lang w:val="en-US" w:eastAsia="zh-CN"/>
              </w:rPr>
              <w:t>本项目排污</w:t>
            </w:r>
            <w:r>
              <w:rPr>
                <w:rFonts w:hint="default" w:ascii="Times New Roman" w:hAnsi="Times New Roman" w:eastAsia="宋体" w:cs="Times New Roman"/>
                <w:spacing w:val="0"/>
                <w:w w:val="100"/>
                <w:sz w:val="24"/>
                <w:szCs w:val="24"/>
              </w:rPr>
              <w:t>河段处于千河湿地，依据陕西省人民政府《陕西省湿地保护条例》，该湿地的管理要求是：禁止在湿地范围内从事下列活动：（一）开（围）垦、烧荒；（二）排干自然湿地，永久性截断自然湿地水源；（三）擅自填埋自然湿地，擅自采砂、采石、采矿、取土、挖塘；（四）排放不符合水污染物排放标准的工业</w:t>
            </w:r>
            <w:r>
              <w:rPr>
                <w:rFonts w:hint="default" w:ascii="Times New Roman" w:hAnsi="Times New Roman" w:eastAsia="宋体" w:cs="Times New Roman"/>
                <w:color w:val="auto"/>
                <w:spacing w:val="0"/>
                <w:w w:val="100"/>
                <w:sz w:val="24"/>
                <w:szCs w:val="24"/>
                <w:lang w:val="en-US" w:eastAsia="zh-CN"/>
              </w:rPr>
              <w:t>废水</w:t>
            </w:r>
            <w:r>
              <w:rPr>
                <w:rFonts w:hint="default" w:ascii="Times New Roman" w:hAnsi="Times New Roman" w:eastAsia="宋体" w:cs="Times New Roman"/>
                <w:spacing w:val="0"/>
                <w:w w:val="100"/>
                <w:sz w:val="24"/>
                <w:szCs w:val="24"/>
              </w:rPr>
              <w:t>、生活污水及其他污染湿地的废水、污水，排放有毒有害气体，倾倒、堆放、丢弃、遗撒固体废物，投放可能危害水体、水生生物的化学物品；（五）过度放牧或者滥采野生植物，过度捕捞或者灭绝式捕捞，过度施肥、投药、投放饵料等污染湿地的种植养殖行为；（六）放生外来物种；（七）其他破坏湿地及其生态功能的行为。</w:t>
            </w:r>
          </w:p>
          <w:p w14:paraId="3632B27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spacing w:val="0"/>
                <w:w w:val="100"/>
                <w:sz w:val="24"/>
                <w:szCs w:val="24"/>
              </w:rPr>
            </w:pPr>
            <w:r>
              <w:rPr>
                <w:rFonts w:hint="default" w:ascii="Times New Roman" w:hAnsi="Times New Roman" w:eastAsia="宋体" w:cs="Times New Roman"/>
                <w:spacing w:val="0"/>
                <w:w w:val="100"/>
                <w:sz w:val="24"/>
                <w:szCs w:val="24"/>
              </w:rPr>
              <w:t>本次规划建设项目均不新增污水排放口，生产生活过程中产生的污水预处理达标后经污水管网输送至千河南岸新城污水处理厂进行处理，处理后尾水排入千河。</w:t>
            </w:r>
          </w:p>
          <w:p w14:paraId="38EE7DDA">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spacing w:val="0"/>
                <w:w w:val="100"/>
                <w:sz w:val="24"/>
                <w:szCs w:val="24"/>
              </w:rPr>
            </w:pPr>
            <w:r>
              <w:rPr>
                <w:rFonts w:hint="default" w:ascii="Times New Roman" w:hAnsi="Times New Roman" w:eastAsia="宋体" w:cs="Times New Roman"/>
                <w:spacing w:val="0"/>
                <w:w w:val="100"/>
                <w:sz w:val="24"/>
                <w:szCs w:val="24"/>
              </w:rPr>
              <w:t>根据地表水环境影响预测，规划实施后排放口下游COD、氨氮、总磷浓度均可达到《地表水环境质量标准》（GB3838-2002）中Ⅲ类水域标准限值，且与现状值相比增加较小，规划实施不会对千河水质产生大的影响。规划用地不占用湿地范围，且不在湿地内采砂、采石、采矿、取土、挖塘等。</w:t>
            </w:r>
          </w:p>
          <w:p w14:paraId="00F6439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spacing w:val="0"/>
                <w:w w:val="100"/>
                <w:sz w:val="24"/>
                <w:szCs w:val="24"/>
              </w:rPr>
            </w:pPr>
            <w:r>
              <w:rPr>
                <w:rFonts w:hint="default" w:ascii="Times New Roman" w:hAnsi="Times New Roman" w:eastAsia="宋体" w:cs="Times New Roman"/>
                <w:spacing w:val="0"/>
                <w:w w:val="100"/>
                <w:sz w:val="24"/>
                <w:szCs w:val="24"/>
              </w:rPr>
              <w:t>因此，本次规划对千河湿地的影响较小。</w:t>
            </w:r>
          </w:p>
          <w:p w14:paraId="132A6E6A">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eastAsia" w:ascii="Times New Roman" w:hAnsi="Times New Roman" w:eastAsia="宋体" w:cs="Times New Roman"/>
                <w:color w:val="auto"/>
                <w:spacing w:val="0"/>
                <w:w w:val="100"/>
                <w:sz w:val="24"/>
                <w:szCs w:val="24"/>
                <w:lang w:val="en-US" w:eastAsia="zh-CN"/>
              </w:rPr>
              <w:t>10</w:t>
            </w:r>
            <w:r>
              <w:rPr>
                <w:rFonts w:hint="default" w:ascii="Times New Roman" w:hAnsi="Times New Roman" w:eastAsia="宋体" w:cs="Times New Roman"/>
                <w:color w:val="auto"/>
                <w:spacing w:val="0"/>
                <w:w w:val="100"/>
                <w:sz w:val="24"/>
                <w:szCs w:val="24"/>
                <w:lang w:eastAsia="zh-CN"/>
              </w:rPr>
              <w:t>、环保投资估算</w:t>
            </w:r>
          </w:p>
          <w:p w14:paraId="7E0FF7D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sz w:val="24"/>
                <w:szCs w:val="24"/>
              </w:rPr>
            </w:pPr>
            <w:r>
              <w:rPr>
                <w:rFonts w:hint="eastAsia" w:ascii="Times New Roman" w:hAnsi="Times New Roman" w:eastAsia="宋体" w:cs="Times New Roman"/>
                <w:color w:val="auto"/>
                <w:spacing w:val="0"/>
                <w:w w:val="100"/>
                <w:sz w:val="24"/>
                <w:szCs w:val="24"/>
                <w:lang w:val="en-US" w:eastAsia="zh-CN"/>
              </w:rPr>
              <w:t>污水处理厂</w:t>
            </w:r>
            <w:r>
              <w:rPr>
                <w:rFonts w:hint="default" w:ascii="Times New Roman" w:hAnsi="Times New Roman" w:eastAsia="宋体" w:cs="Times New Roman"/>
                <w:color w:val="auto"/>
                <w:spacing w:val="0"/>
                <w:w w:val="100"/>
                <w:sz w:val="24"/>
                <w:szCs w:val="24"/>
              </w:rPr>
              <w:t>总投资</w:t>
            </w:r>
            <w:r>
              <w:rPr>
                <w:rFonts w:hint="eastAsia" w:ascii="Times New Roman" w:hAnsi="Times New Roman" w:eastAsia="宋体" w:cs="Times New Roman"/>
                <w:color w:val="auto"/>
                <w:spacing w:val="0"/>
                <w:w w:val="100"/>
                <w:sz w:val="24"/>
                <w:szCs w:val="24"/>
                <w:lang w:val="en-US" w:eastAsia="zh-CN"/>
              </w:rPr>
              <w:t>4430.84万元</w:t>
            </w:r>
            <w:r>
              <w:rPr>
                <w:rFonts w:hint="default" w:ascii="Times New Roman" w:hAnsi="Times New Roman" w:eastAsia="宋体" w:cs="Times New Roman"/>
                <w:color w:val="auto"/>
                <w:spacing w:val="0"/>
                <w:w w:val="100"/>
                <w:sz w:val="24"/>
                <w:szCs w:val="24"/>
              </w:rPr>
              <w:t>，环保投资</w:t>
            </w:r>
            <w:r>
              <w:rPr>
                <w:rFonts w:hint="eastAsia" w:ascii="Times New Roman" w:hAnsi="Times New Roman" w:eastAsia="宋体" w:cs="Times New Roman"/>
                <w:b w:val="0"/>
                <w:bCs w:val="0"/>
                <w:color w:val="auto"/>
                <w:spacing w:val="0"/>
                <w:w w:val="100"/>
                <w:sz w:val="24"/>
                <w:szCs w:val="24"/>
                <w:lang w:val="en-US" w:eastAsia="zh-CN"/>
              </w:rPr>
              <w:t>163.7</w:t>
            </w:r>
            <w:r>
              <w:rPr>
                <w:rFonts w:hint="default" w:ascii="Times New Roman" w:hAnsi="Times New Roman" w:eastAsia="宋体" w:cs="Times New Roman"/>
                <w:color w:val="auto"/>
                <w:spacing w:val="0"/>
                <w:w w:val="100"/>
                <w:sz w:val="24"/>
                <w:szCs w:val="24"/>
              </w:rPr>
              <w:t>万元，占工程总投资的</w:t>
            </w:r>
            <w:r>
              <w:rPr>
                <w:rFonts w:hint="eastAsia" w:ascii="Times New Roman" w:hAnsi="Times New Roman" w:eastAsia="宋体" w:cs="Times New Roman"/>
                <w:color w:val="auto"/>
                <w:spacing w:val="0"/>
                <w:w w:val="100"/>
                <w:sz w:val="24"/>
                <w:szCs w:val="24"/>
                <w:lang w:val="en-US" w:eastAsia="zh-CN"/>
              </w:rPr>
              <w:t>3.69</w:t>
            </w:r>
            <w:r>
              <w:rPr>
                <w:rFonts w:hint="default" w:ascii="Times New Roman" w:hAnsi="Times New Roman" w:eastAsia="宋体" w:cs="Times New Roman"/>
                <w:color w:val="auto"/>
                <w:spacing w:val="0"/>
                <w:w w:val="100"/>
                <w:sz w:val="24"/>
                <w:szCs w:val="24"/>
              </w:rPr>
              <w:t>%。环保治理措施及投资一览表见</w:t>
            </w:r>
            <w:r>
              <w:rPr>
                <w:rFonts w:hint="eastAsia" w:ascii="Times New Roman" w:hAnsi="Times New Roman" w:eastAsia="宋体" w:cs="Times New Roman"/>
                <w:color w:val="auto"/>
                <w:spacing w:val="0"/>
                <w:w w:val="100"/>
                <w:sz w:val="24"/>
                <w:szCs w:val="24"/>
                <w:lang w:eastAsia="zh-CN"/>
              </w:rPr>
              <w:t>下</w:t>
            </w:r>
            <w:r>
              <w:rPr>
                <w:rFonts w:hint="default" w:ascii="Times New Roman" w:hAnsi="Times New Roman" w:eastAsia="宋体" w:cs="Times New Roman"/>
                <w:color w:val="auto"/>
                <w:spacing w:val="0"/>
                <w:w w:val="100"/>
                <w:sz w:val="24"/>
                <w:szCs w:val="24"/>
              </w:rPr>
              <w:t>表。</w:t>
            </w:r>
          </w:p>
          <w:p w14:paraId="0EB68382">
            <w:pPr>
              <w:keepNext w:val="0"/>
              <w:keepLines w:val="0"/>
              <w:suppressLineNumbers w:val="0"/>
              <w:spacing w:before="0" w:beforeAutospacing="0" w:after="0" w:afterAutospacing="0"/>
              <w:ind w:left="0" w:right="0"/>
              <w:jc w:val="center"/>
              <w:rPr>
                <w:rFonts w:hint="default"/>
                <w:color w:val="auto"/>
                <w:spacing w:val="0"/>
                <w:w w:val="100"/>
              </w:rPr>
            </w:pPr>
            <w:r>
              <w:rPr>
                <w:rFonts w:hint="default" w:ascii="Times New Roman" w:hAnsi="Times New Roman" w:cs="Times New Roman"/>
                <w:color w:val="auto"/>
                <w:spacing w:val="0"/>
                <w:w w:val="100"/>
              </w:rPr>
              <w:t>表</w:t>
            </w:r>
            <w:r>
              <w:rPr>
                <w:rFonts w:hint="eastAsia" w:ascii="Times New Roman" w:hAnsi="Times New Roman" w:cs="Times New Roman"/>
                <w:color w:val="auto"/>
                <w:spacing w:val="0"/>
                <w:w w:val="100"/>
                <w:lang w:val="en-US" w:eastAsia="zh-CN"/>
              </w:rPr>
              <w:t xml:space="preserve">4-20  </w:t>
            </w:r>
            <w:r>
              <w:rPr>
                <w:rFonts w:hint="default" w:ascii="Times New Roman" w:hAnsi="Times New Roman" w:cs="Times New Roman"/>
                <w:color w:val="auto"/>
                <w:spacing w:val="0"/>
                <w:w w:val="100"/>
                <w:lang w:val="en-US" w:eastAsia="zh-CN"/>
              </w:rPr>
              <w:t xml:space="preserve"> </w:t>
            </w:r>
            <w:r>
              <w:rPr>
                <w:rFonts w:hint="eastAsia"/>
                <w:color w:val="auto"/>
                <w:spacing w:val="0"/>
                <w:w w:val="100"/>
              </w:rPr>
              <w:t>项目环保措施及投资一览表</w:t>
            </w:r>
          </w:p>
          <w:tbl>
            <w:tblPr>
              <w:tblStyle w:val="58"/>
              <w:tblW w:w="899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3"/>
              <w:gridCol w:w="877"/>
              <w:gridCol w:w="5496"/>
              <w:gridCol w:w="923"/>
              <w:gridCol w:w="899"/>
            </w:tblGrid>
            <w:tr w14:paraId="41065C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803" w:type="dxa"/>
                  <w:vAlign w:val="center"/>
                </w:tcPr>
                <w:p w14:paraId="43555F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项目</w:t>
                  </w:r>
                </w:p>
              </w:tc>
              <w:tc>
                <w:tcPr>
                  <w:tcW w:w="6373" w:type="dxa"/>
                  <w:gridSpan w:val="2"/>
                  <w:vAlign w:val="center"/>
                </w:tcPr>
                <w:p w14:paraId="3C4703B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内容</w:t>
                  </w:r>
                </w:p>
              </w:tc>
              <w:tc>
                <w:tcPr>
                  <w:tcW w:w="923" w:type="dxa"/>
                  <w:vAlign w:val="center"/>
                </w:tcPr>
                <w:p w14:paraId="1D1B7B7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投资（万元）</w:t>
                  </w:r>
                </w:p>
              </w:tc>
              <w:tc>
                <w:tcPr>
                  <w:tcW w:w="899" w:type="dxa"/>
                  <w:tcBorders>
                    <w:right w:val="single" w:color="000000" w:sz="6" w:space="0"/>
                  </w:tcBorders>
                  <w:vAlign w:val="center"/>
                </w:tcPr>
                <w:p w14:paraId="2BC4E4D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备注</w:t>
                  </w:r>
                </w:p>
              </w:tc>
            </w:tr>
            <w:tr w14:paraId="35A441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jc w:val="center"/>
              </w:trPr>
              <w:tc>
                <w:tcPr>
                  <w:tcW w:w="803" w:type="dxa"/>
                  <w:vMerge w:val="restart"/>
                  <w:tcBorders>
                    <w:bottom w:val="nil"/>
                  </w:tcBorders>
                  <w:vAlign w:val="center"/>
                </w:tcPr>
                <w:p w14:paraId="0F0BF61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废水</w:t>
                  </w:r>
                </w:p>
                <w:p w14:paraId="3146708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治理</w:t>
                  </w:r>
                </w:p>
              </w:tc>
              <w:tc>
                <w:tcPr>
                  <w:tcW w:w="877" w:type="dxa"/>
                  <w:vMerge w:val="restart"/>
                  <w:tcBorders>
                    <w:bottom w:val="nil"/>
                  </w:tcBorders>
                  <w:vAlign w:val="center"/>
                </w:tcPr>
                <w:p w14:paraId="35B0D6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施工期</w:t>
                  </w:r>
                </w:p>
              </w:tc>
              <w:tc>
                <w:tcPr>
                  <w:tcW w:w="5496" w:type="dxa"/>
                  <w:vAlign w:val="center"/>
                </w:tcPr>
                <w:p w14:paraId="732D713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设置临时沉淀池，施工废水隔油沉淀后回用</w:t>
                  </w:r>
                </w:p>
              </w:tc>
              <w:tc>
                <w:tcPr>
                  <w:tcW w:w="923" w:type="dxa"/>
                  <w:vAlign w:val="center"/>
                </w:tcPr>
                <w:p w14:paraId="5BC53046">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i w:val="0"/>
                      <w:iCs w:val="0"/>
                      <w:color w:val="auto"/>
                      <w:spacing w:val="0"/>
                      <w:w w:val="100"/>
                      <w:kern w:val="0"/>
                      <w:sz w:val="21"/>
                      <w:szCs w:val="21"/>
                      <w:u w:val="none"/>
                      <w:lang w:val="en-US" w:eastAsia="zh-CN" w:bidi="ar"/>
                    </w:rPr>
                    <w:t>4.2</w:t>
                  </w:r>
                </w:p>
              </w:tc>
              <w:tc>
                <w:tcPr>
                  <w:tcW w:w="899" w:type="dxa"/>
                  <w:tcBorders>
                    <w:right w:val="single" w:color="000000" w:sz="6" w:space="0"/>
                  </w:tcBorders>
                  <w:vAlign w:val="center"/>
                </w:tcPr>
                <w:p w14:paraId="42C0319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77EFFB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jc w:val="center"/>
              </w:trPr>
              <w:tc>
                <w:tcPr>
                  <w:tcW w:w="803" w:type="dxa"/>
                  <w:vMerge w:val="continue"/>
                  <w:tcBorders>
                    <w:top w:val="nil"/>
                    <w:bottom w:val="nil"/>
                  </w:tcBorders>
                  <w:vAlign w:val="center"/>
                </w:tcPr>
                <w:p w14:paraId="35A96D0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877" w:type="dxa"/>
                  <w:vMerge w:val="continue"/>
                  <w:tcBorders>
                    <w:top w:val="nil"/>
                    <w:bottom w:val="nil"/>
                  </w:tcBorders>
                  <w:vAlign w:val="center"/>
                </w:tcPr>
                <w:p w14:paraId="5F5C03C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5496" w:type="dxa"/>
                  <w:vAlign w:val="center"/>
                </w:tcPr>
                <w:p w14:paraId="4BE668B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生活污水利用周围居民已有污水处理设施处理</w:t>
                  </w:r>
                </w:p>
              </w:tc>
              <w:tc>
                <w:tcPr>
                  <w:tcW w:w="923" w:type="dxa"/>
                  <w:vAlign w:val="center"/>
                </w:tcPr>
                <w:p w14:paraId="5B7DA756">
                  <w:pPr>
                    <w:keepNext w:val="0"/>
                    <w:keepLines w:val="0"/>
                    <w:widowControl/>
                    <w:suppressLineNumbers w:val="0"/>
                    <w:jc w:val="center"/>
                    <w:textAlignment w:val="center"/>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宋体" w:cs="Times New Roman"/>
                      <w:i w:val="0"/>
                      <w:iCs w:val="0"/>
                      <w:color w:val="auto"/>
                      <w:spacing w:val="0"/>
                      <w:w w:val="100"/>
                      <w:kern w:val="0"/>
                      <w:sz w:val="21"/>
                      <w:szCs w:val="21"/>
                      <w:u w:val="none"/>
                      <w:lang w:val="en-US" w:eastAsia="zh-CN" w:bidi="ar"/>
                    </w:rPr>
                    <w:t>1.4</w:t>
                  </w:r>
                </w:p>
              </w:tc>
              <w:tc>
                <w:tcPr>
                  <w:tcW w:w="899" w:type="dxa"/>
                  <w:tcBorders>
                    <w:right w:val="single" w:color="000000" w:sz="6" w:space="0"/>
                  </w:tcBorders>
                  <w:vAlign w:val="center"/>
                </w:tcPr>
                <w:p w14:paraId="110E61B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0A2E4B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 w:hRule="atLeast"/>
                <w:jc w:val="center"/>
              </w:trPr>
              <w:tc>
                <w:tcPr>
                  <w:tcW w:w="803" w:type="dxa"/>
                  <w:vMerge w:val="continue"/>
                  <w:tcBorders>
                    <w:top w:val="nil"/>
                  </w:tcBorders>
                  <w:vAlign w:val="center"/>
                </w:tcPr>
                <w:p w14:paraId="11B68C6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877" w:type="dxa"/>
                  <w:vAlign w:val="center"/>
                </w:tcPr>
                <w:p w14:paraId="5ABE16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营运期</w:t>
                  </w:r>
                </w:p>
              </w:tc>
              <w:tc>
                <w:tcPr>
                  <w:tcW w:w="5496" w:type="dxa"/>
                  <w:vAlign w:val="center"/>
                </w:tcPr>
                <w:p w14:paraId="37D8755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rPr>
                    <w:t>生活污水、工艺废水、进厂污水进入厂区污水处理系统处理达标后排入</w:t>
                  </w:r>
                  <w:r>
                    <w:rPr>
                      <w:rFonts w:hint="eastAsia" w:ascii="Times New Roman" w:hAnsi="Times New Roman" w:eastAsia="宋体" w:cs="Times New Roman"/>
                      <w:b w:val="0"/>
                      <w:bCs w:val="0"/>
                      <w:color w:val="auto"/>
                      <w:spacing w:val="0"/>
                      <w:w w:val="100"/>
                      <w:sz w:val="21"/>
                      <w:szCs w:val="21"/>
                      <w:lang w:eastAsia="zh-CN"/>
                    </w:rPr>
                    <w:t>千河</w:t>
                  </w:r>
                </w:p>
              </w:tc>
              <w:tc>
                <w:tcPr>
                  <w:tcW w:w="923" w:type="dxa"/>
                  <w:vAlign w:val="center"/>
                </w:tcPr>
                <w:p w14:paraId="54F188EB">
                  <w:pPr>
                    <w:keepNext w:val="0"/>
                    <w:keepLines w:val="0"/>
                    <w:widowControl/>
                    <w:suppressLineNumbers w:val="0"/>
                    <w:jc w:val="center"/>
                    <w:textAlignment w:val="center"/>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宋体" w:cs="Times New Roman"/>
                      <w:i w:val="0"/>
                      <w:iCs w:val="0"/>
                      <w:color w:val="auto"/>
                      <w:spacing w:val="0"/>
                      <w:w w:val="100"/>
                      <w:kern w:val="0"/>
                      <w:sz w:val="21"/>
                      <w:szCs w:val="21"/>
                      <w:u w:val="none"/>
                      <w:lang w:val="en-US" w:eastAsia="zh-CN" w:bidi="ar"/>
                    </w:rPr>
                    <w:t>/</w:t>
                  </w:r>
                </w:p>
              </w:tc>
              <w:tc>
                <w:tcPr>
                  <w:tcW w:w="899" w:type="dxa"/>
                  <w:tcBorders>
                    <w:right w:val="single" w:color="000000" w:sz="6" w:space="0"/>
                  </w:tcBorders>
                  <w:vAlign w:val="center"/>
                </w:tcPr>
                <w:p w14:paraId="571E4C1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纳入工程投资</w:t>
                  </w:r>
                </w:p>
              </w:tc>
            </w:tr>
            <w:tr w14:paraId="155ADF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6" w:hRule="atLeast"/>
                <w:jc w:val="center"/>
              </w:trPr>
              <w:tc>
                <w:tcPr>
                  <w:tcW w:w="803" w:type="dxa"/>
                  <w:vMerge w:val="restart"/>
                  <w:tcBorders>
                    <w:bottom w:val="nil"/>
                  </w:tcBorders>
                  <w:vAlign w:val="center"/>
                </w:tcPr>
                <w:p w14:paraId="389365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废气</w:t>
                  </w:r>
                </w:p>
                <w:p w14:paraId="209B18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治理</w:t>
                  </w:r>
                </w:p>
              </w:tc>
              <w:tc>
                <w:tcPr>
                  <w:tcW w:w="877" w:type="dxa"/>
                  <w:vAlign w:val="center"/>
                </w:tcPr>
                <w:p w14:paraId="58BCA34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施工期</w:t>
                  </w:r>
                </w:p>
              </w:tc>
              <w:tc>
                <w:tcPr>
                  <w:tcW w:w="5496" w:type="dxa"/>
                  <w:vAlign w:val="center"/>
                </w:tcPr>
                <w:p w14:paraId="4F2700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施工场地设置围挡施工，道路进行地面硬化，洒水降尘</w:t>
                  </w:r>
                </w:p>
              </w:tc>
              <w:tc>
                <w:tcPr>
                  <w:tcW w:w="923" w:type="dxa"/>
                  <w:vAlign w:val="center"/>
                </w:tcPr>
                <w:p w14:paraId="76B51110">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i w:val="0"/>
                      <w:iCs w:val="0"/>
                      <w:color w:val="auto"/>
                      <w:spacing w:val="0"/>
                      <w:w w:val="100"/>
                      <w:kern w:val="0"/>
                      <w:sz w:val="21"/>
                      <w:szCs w:val="21"/>
                      <w:u w:val="none"/>
                      <w:lang w:val="en-US" w:eastAsia="zh-CN" w:bidi="ar"/>
                    </w:rPr>
                    <w:t>6.3</w:t>
                  </w:r>
                </w:p>
              </w:tc>
              <w:tc>
                <w:tcPr>
                  <w:tcW w:w="899" w:type="dxa"/>
                  <w:tcBorders>
                    <w:right w:val="single" w:color="000000" w:sz="6" w:space="0"/>
                  </w:tcBorders>
                  <w:vAlign w:val="center"/>
                </w:tcPr>
                <w:p w14:paraId="4F1076D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1E5FE7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1" w:hRule="atLeast"/>
                <w:jc w:val="center"/>
              </w:trPr>
              <w:tc>
                <w:tcPr>
                  <w:tcW w:w="803" w:type="dxa"/>
                  <w:vMerge w:val="continue"/>
                  <w:tcBorders>
                    <w:top w:val="nil"/>
                    <w:bottom w:val="nil"/>
                  </w:tcBorders>
                  <w:vAlign w:val="center"/>
                </w:tcPr>
                <w:p w14:paraId="34159D7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877" w:type="dxa"/>
                  <w:vMerge w:val="restart"/>
                  <w:tcBorders>
                    <w:bottom w:val="nil"/>
                  </w:tcBorders>
                  <w:vAlign w:val="center"/>
                </w:tcPr>
                <w:p w14:paraId="5AC3BB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营运期</w:t>
                  </w:r>
                </w:p>
              </w:tc>
              <w:tc>
                <w:tcPr>
                  <w:tcW w:w="5496" w:type="dxa"/>
                  <w:vAlign w:val="center"/>
                </w:tcPr>
                <w:p w14:paraId="1C85CF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主要恶臭产生构筑物经加盖密闭方式对臭气收集后经</w:t>
                  </w:r>
                  <w:r>
                    <w:rPr>
                      <w:rFonts w:hint="default" w:ascii="Times New Roman" w:hAnsi="Times New Roman" w:eastAsia="宋体" w:cs="Times New Roman"/>
                      <w:b w:val="0"/>
                      <w:bCs w:val="0"/>
                      <w:color w:val="auto"/>
                      <w:spacing w:val="0"/>
                      <w:w w:val="100"/>
                      <w:sz w:val="21"/>
                      <w:szCs w:val="21"/>
                      <w:lang w:val="en-US" w:eastAsia="zh-CN"/>
                    </w:rPr>
                    <w:t>1套</w:t>
                  </w:r>
                  <w:r>
                    <w:rPr>
                      <w:rFonts w:hint="default" w:ascii="Times New Roman" w:hAnsi="Times New Roman" w:eastAsia="宋体" w:cs="Times New Roman"/>
                      <w:b w:val="0"/>
                      <w:bCs w:val="0"/>
                      <w:color w:val="auto"/>
                      <w:spacing w:val="0"/>
                      <w:w w:val="100"/>
                      <w:sz w:val="21"/>
                      <w:szCs w:val="21"/>
                      <w:lang w:eastAsia="zh-CN"/>
                    </w:rPr>
                    <w:t>生物</w:t>
                  </w:r>
                  <w:r>
                    <w:rPr>
                      <w:rFonts w:hint="default" w:ascii="Times New Roman" w:hAnsi="Times New Roman" w:eastAsia="宋体" w:cs="Times New Roman"/>
                      <w:b w:val="0"/>
                      <w:bCs w:val="0"/>
                      <w:color w:val="auto"/>
                      <w:spacing w:val="0"/>
                      <w:w w:val="100"/>
                      <w:sz w:val="21"/>
                      <w:szCs w:val="21"/>
                    </w:rPr>
                    <w:t>除臭处理后由</w:t>
                  </w:r>
                  <w:r>
                    <w:rPr>
                      <w:rFonts w:hint="default" w:ascii="Times New Roman" w:hAnsi="Times New Roman" w:eastAsia="Times New Roman" w:cs="Times New Roman"/>
                      <w:b w:val="0"/>
                      <w:bCs w:val="0"/>
                      <w:color w:val="auto"/>
                      <w:spacing w:val="0"/>
                      <w:w w:val="100"/>
                      <w:sz w:val="21"/>
                      <w:szCs w:val="21"/>
                    </w:rPr>
                    <w:t>15m</w:t>
                  </w:r>
                  <w:r>
                    <w:rPr>
                      <w:rFonts w:hint="default" w:ascii="Times New Roman" w:hAnsi="Times New Roman" w:eastAsia="宋体" w:cs="Times New Roman"/>
                      <w:b w:val="0"/>
                      <w:bCs w:val="0"/>
                      <w:color w:val="auto"/>
                      <w:spacing w:val="0"/>
                      <w:w w:val="100"/>
                      <w:sz w:val="21"/>
                      <w:szCs w:val="21"/>
                    </w:rPr>
                    <w:t>高排气筒</w:t>
                  </w:r>
                  <w:r>
                    <w:rPr>
                      <w:rFonts w:hint="eastAsia" w:ascii="Times New Roman" w:hAnsi="Times New Roman" w:eastAsia="宋体" w:cs="Times New Roman"/>
                      <w:b w:val="0"/>
                      <w:bCs w:val="0"/>
                      <w:color w:val="auto"/>
                      <w:spacing w:val="0"/>
                      <w:w w:val="100"/>
                      <w:sz w:val="21"/>
                      <w:szCs w:val="21"/>
                      <w:lang w:eastAsia="zh-CN"/>
                    </w:rPr>
                    <w:t>（</w:t>
                  </w:r>
                  <w:r>
                    <w:rPr>
                      <w:rFonts w:hint="eastAsia" w:ascii="Times New Roman" w:hAnsi="Times New Roman" w:eastAsia="宋体" w:cs="Times New Roman"/>
                      <w:b w:val="0"/>
                      <w:bCs w:val="0"/>
                      <w:color w:val="auto"/>
                      <w:spacing w:val="0"/>
                      <w:w w:val="100"/>
                      <w:sz w:val="21"/>
                      <w:szCs w:val="21"/>
                      <w:lang w:val="en-US" w:eastAsia="zh-CN"/>
                    </w:rPr>
                    <w:t>DA001</w:t>
                  </w:r>
                  <w:r>
                    <w:rPr>
                      <w:rFonts w:hint="eastAsia" w:ascii="Times New Roman" w:hAnsi="Times New Roman" w:eastAsia="宋体" w:cs="Times New Roman"/>
                      <w:b w:val="0"/>
                      <w:bCs w:val="0"/>
                      <w:color w:val="auto"/>
                      <w:spacing w:val="0"/>
                      <w:w w:val="100"/>
                      <w:sz w:val="21"/>
                      <w:szCs w:val="21"/>
                      <w:lang w:eastAsia="zh-CN"/>
                    </w:rPr>
                    <w:t>）</w:t>
                  </w:r>
                  <w:r>
                    <w:rPr>
                      <w:rFonts w:hint="default" w:ascii="Times New Roman" w:hAnsi="Times New Roman" w:eastAsia="宋体" w:cs="Times New Roman"/>
                      <w:b w:val="0"/>
                      <w:bCs w:val="0"/>
                      <w:color w:val="auto"/>
                      <w:spacing w:val="0"/>
                      <w:w w:val="100"/>
                      <w:sz w:val="21"/>
                      <w:szCs w:val="21"/>
                    </w:rPr>
                    <w:t>排放</w:t>
                  </w:r>
                </w:p>
              </w:tc>
              <w:tc>
                <w:tcPr>
                  <w:tcW w:w="923" w:type="dxa"/>
                  <w:vAlign w:val="center"/>
                </w:tcPr>
                <w:p w14:paraId="55286528">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eastAsia" w:ascii="Times New Roman" w:hAnsi="Times New Roman" w:eastAsia="宋体" w:cs="Times New Roman"/>
                      <w:b w:val="0"/>
                      <w:bCs w:val="0"/>
                      <w:color w:val="auto"/>
                      <w:spacing w:val="0"/>
                      <w:w w:val="100"/>
                      <w:sz w:val="21"/>
                      <w:szCs w:val="21"/>
                      <w:lang w:val="en-US" w:eastAsia="zh-CN"/>
                    </w:rPr>
                    <w:t>50</w:t>
                  </w:r>
                </w:p>
              </w:tc>
              <w:tc>
                <w:tcPr>
                  <w:tcW w:w="899" w:type="dxa"/>
                  <w:tcBorders>
                    <w:right w:val="single" w:color="000000" w:sz="6" w:space="0"/>
                  </w:tcBorders>
                  <w:vAlign w:val="center"/>
                </w:tcPr>
                <w:p w14:paraId="2AE46BC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w w:val="100"/>
                      <w:sz w:val="21"/>
                      <w:szCs w:val="21"/>
                      <w:lang w:val="en-US" w:eastAsia="zh-CN"/>
                    </w:rPr>
                  </w:pPr>
                </w:p>
              </w:tc>
            </w:tr>
            <w:tr w14:paraId="4B9248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803" w:type="dxa"/>
                  <w:vMerge w:val="continue"/>
                  <w:tcBorders>
                    <w:top w:val="nil"/>
                  </w:tcBorders>
                  <w:vAlign w:val="center"/>
                </w:tcPr>
                <w:p w14:paraId="06071C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877" w:type="dxa"/>
                  <w:vMerge w:val="continue"/>
                  <w:tcBorders>
                    <w:top w:val="nil"/>
                  </w:tcBorders>
                  <w:vAlign w:val="center"/>
                </w:tcPr>
                <w:p w14:paraId="0F6720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5496" w:type="dxa"/>
                  <w:vAlign w:val="center"/>
                </w:tcPr>
                <w:p w14:paraId="7573B6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lang w:eastAsia="zh-CN"/>
                    </w:rPr>
                    <w:t>厂区</w:t>
                  </w:r>
                  <w:r>
                    <w:rPr>
                      <w:rFonts w:hint="default" w:ascii="Times New Roman" w:hAnsi="Times New Roman" w:eastAsia="宋体" w:cs="Times New Roman"/>
                      <w:b w:val="0"/>
                      <w:bCs w:val="0"/>
                      <w:color w:val="auto"/>
                      <w:spacing w:val="0"/>
                      <w:w w:val="100"/>
                      <w:sz w:val="21"/>
                      <w:szCs w:val="21"/>
                    </w:rPr>
                    <w:t>喷洒除臭剂</w:t>
                  </w:r>
                </w:p>
              </w:tc>
              <w:tc>
                <w:tcPr>
                  <w:tcW w:w="923" w:type="dxa"/>
                  <w:vAlign w:val="center"/>
                </w:tcPr>
                <w:p w14:paraId="0287918D">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i w:val="0"/>
                      <w:iCs w:val="0"/>
                      <w:color w:val="auto"/>
                      <w:spacing w:val="0"/>
                      <w:w w:val="100"/>
                      <w:kern w:val="0"/>
                      <w:sz w:val="21"/>
                      <w:szCs w:val="21"/>
                      <w:u w:val="none"/>
                      <w:lang w:val="en-US" w:eastAsia="zh-CN" w:bidi="ar"/>
                    </w:rPr>
                    <w:t>2.2</w:t>
                  </w:r>
                </w:p>
              </w:tc>
              <w:tc>
                <w:tcPr>
                  <w:tcW w:w="899" w:type="dxa"/>
                  <w:tcBorders>
                    <w:right w:val="single" w:color="000000" w:sz="6" w:space="0"/>
                  </w:tcBorders>
                  <w:vAlign w:val="center"/>
                </w:tcPr>
                <w:p w14:paraId="6D00BE7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7F1F76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803" w:type="dxa"/>
                  <w:vMerge w:val="restart"/>
                  <w:tcBorders>
                    <w:bottom w:val="nil"/>
                  </w:tcBorders>
                  <w:vAlign w:val="center"/>
                </w:tcPr>
                <w:p w14:paraId="7A11FF2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噪声</w:t>
                  </w:r>
                </w:p>
                <w:p w14:paraId="2215412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治理</w:t>
                  </w:r>
                </w:p>
              </w:tc>
              <w:tc>
                <w:tcPr>
                  <w:tcW w:w="877" w:type="dxa"/>
                  <w:vAlign w:val="center"/>
                </w:tcPr>
                <w:p w14:paraId="110B4C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施工期</w:t>
                  </w:r>
                </w:p>
              </w:tc>
              <w:tc>
                <w:tcPr>
                  <w:tcW w:w="5496" w:type="dxa"/>
                  <w:vAlign w:val="center"/>
                </w:tcPr>
                <w:p w14:paraId="1F39E4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选用低噪声设备、场地隔声、合理布局，加强设备日常维护</w:t>
                  </w:r>
                </w:p>
              </w:tc>
              <w:tc>
                <w:tcPr>
                  <w:tcW w:w="923" w:type="dxa"/>
                  <w:vAlign w:val="center"/>
                </w:tcPr>
                <w:p w14:paraId="6632627A">
                  <w:pPr>
                    <w:keepNext w:val="0"/>
                    <w:keepLines w:val="0"/>
                    <w:widowControl/>
                    <w:suppressLineNumbers w:val="0"/>
                    <w:jc w:val="center"/>
                    <w:textAlignment w:val="center"/>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宋体" w:cs="Times New Roman"/>
                      <w:i w:val="0"/>
                      <w:iCs w:val="0"/>
                      <w:color w:val="auto"/>
                      <w:spacing w:val="0"/>
                      <w:w w:val="100"/>
                      <w:kern w:val="0"/>
                      <w:sz w:val="21"/>
                      <w:szCs w:val="21"/>
                      <w:u w:val="none"/>
                      <w:lang w:val="en-US" w:eastAsia="zh-CN" w:bidi="ar"/>
                    </w:rPr>
                    <w:t>3.6</w:t>
                  </w:r>
                </w:p>
              </w:tc>
              <w:tc>
                <w:tcPr>
                  <w:tcW w:w="899" w:type="dxa"/>
                  <w:tcBorders>
                    <w:right w:val="single" w:color="000000" w:sz="6" w:space="0"/>
                  </w:tcBorders>
                  <w:vAlign w:val="center"/>
                </w:tcPr>
                <w:p w14:paraId="2309F6F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6DCC9D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1" w:hRule="atLeast"/>
                <w:jc w:val="center"/>
              </w:trPr>
              <w:tc>
                <w:tcPr>
                  <w:tcW w:w="803" w:type="dxa"/>
                  <w:vMerge w:val="continue"/>
                  <w:tcBorders>
                    <w:top w:val="nil"/>
                  </w:tcBorders>
                  <w:vAlign w:val="center"/>
                </w:tcPr>
                <w:p w14:paraId="7FA24C4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877" w:type="dxa"/>
                  <w:vAlign w:val="center"/>
                </w:tcPr>
                <w:p w14:paraId="62D40B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营运期</w:t>
                  </w:r>
                </w:p>
              </w:tc>
              <w:tc>
                <w:tcPr>
                  <w:tcW w:w="5496" w:type="dxa"/>
                  <w:vAlign w:val="center"/>
                </w:tcPr>
                <w:p w14:paraId="147F98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鼓风机置于风机房，选用低噪声设备、合理布局、墙体隔声、加强设备维护、局部安装</w:t>
                  </w:r>
                  <w:r>
                    <w:rPr>
                      <w:rFonts w:hint="eastAsia" w:ascii="Times New Roman" w:hAnsi="Times New Roman" w:eastAsia="宋体" w:cs="Times New Roman"/>
                      <w:b w:val="0"/>
                      <w:bCs w:val="0"/>
                      <w:color w:val="auto"/>
                      <w:spacing w:val="0"/>
                      <w:w w:val="100"/>
                      <w:sz w:val="21"/>
                      <w:szCs w:val="21"/>
                      <w:lang w:eastAsia="zh-CN"/>
                    </w:rPr>
                    <w:t>消声器</w:t>
                  </w:r>
                </w:p>
              </w:tc>
              <w:tc>
                <w:tcPr>
                  <w:tcW w:w="923" w:type="dxa"/>
                  <w:vAlign w:val="center"/>
                </w:tcPr>
                <w:p w14:paraId="5A03F14C">
                  <w:pPr>
                    <w:keepNext w:val="0"/>
                    <w:keepLines w:val="0"/>
                    <w:widowControl/>
                    <w:suppressLineNumbers w:val="0"/>
                    <w:jc w:val="center"/>
                    <w:textAlignment w:val="center"/>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宋体" w:cs="Times New Roman"/>
                      <w:i w:val="0"/>
                      <w:iCs w:val="0"/>
                      <w:color w:val="auto"/>
                      <w:spacing w:val="0"/>
                      <w:w w:val="100"/>
                      <w:kern w:val="0"/>
                      <w:sz w:val="21"/>
                      <w:szCs w:val="21"/>
                      <w:u w:val="none"/>
                      <w:lang w:val="en-US" w:eastAsia="zh-CN" w:bidi="ar"/>
                    </w:rPr>
                    <w:t>15.6</w:t>
                  </w:r>
                </w:p>
              </w:tc>
              <w:tc>
                <w:tcPr>
                  <w:tcW w:w="899" w:type="dxa"/>
                  <w:tcBorders>
                    <w:right w:val="single" w:color="000000" w:sz="6" w:space="0"/>
                  </w:tcBorders>
                  <w:vAlign w:val="center"/>
                </w:tcPr>
                <w:p w14:paraId="58779C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5D6258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1" w:hRule="atLeast"/>
                <w:jc w:val="center"/>
              </w:trPr>
              <w:tc>
                <w:tcPr>
                  <w:tcW w:w="803" w:type="dxa"/>
                  <w:vMerge w:val="restart"/>
                  <w:tcBorders>
                    <w:bottom w:val="nil"/>
                  </w:tcBorders>
                  <w:vAlign w:val="center"/>
                </w:tcPr>
                <w:p w14:paraId="5AEDCE2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固体</w:t>
                  </w:r>
                </w:p>
                <w:p w14:paraId="364DD8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废弃</w:t>
                  </w:r>
                </w:p>
                <w:p w14:paraId="163EF20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物处</w:t>
                  </w:r>
                </w:p>
                <w:p w14:paraId="64C273F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置</w:t>
                  </w:r>
                </w:p>
              </w:tc>
              <w:tc>
                <w:tcPr>
                  <w:tcW w:w="877" w:type="dxa"/>
                  <w:vAlign w:val="center"/>
                </w:tcPr>
                <w:p w14:paraId="185676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施工期</w:t>
                  </w:r>
                </w:p>
              </w:tc>
              <w:tc>
                <w:tcPr>
                  <w:tcW w:w="5496" w:type="dxa"/>
                  <w:vAlign w:val="center"/>
                </w:tcPr>
                <w:p w14:paraId="6BD165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建筑垃圾运送至政府指定场地堆放；生活垃圾由环卫部门统一清运</w:t>
                  </w:r>
                </w:p>
              </w:tc>
              <w:tc>
                <w:tcPr>
                  <w:tcW w:w="923" w:type="dxa"/>
                  <w:vAlign w:val="center"/>
                </w:tcPr>
                <w:p w14:paraId="41A8AD44">
                  <w:pPr>
                    <w:keepNext w:val="0"/>
                    <w:keepLines w:val="0"/>
                    <w:widowControl/>
                    <w:suppressLineNumbers w:val="0"/>
                    <w:jc w:val="center"/>
                    <w:textAlignment w:val="center"/>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宋体" w:cs="Times New Roman"/>
                      <w:i w:val="0"/>
                      <w:iCs w:val="0"/>
                      <w:color w:val="auto"/>
                      <w:spacing w:val="0"/>
                      <w:w w:val="100"/>
                      <w:kern w:val="0"/>
                      <w:sz w:val="21"/>
                      <w:szCs w:val="21"/>
                      <w:u w:val="none"/>
                      <w:lang w:val="en-US" w:eastAsia="zh-CN" w:bidi="ar"/>
                    </w:rPr>
                    <w:t>5.2</w:t>
                  </w:r>
                </w:p>
              </w:tc>
              <w:tc>
                <w:tcPr>
                  <w:tcW w:w="899" w:type="dxa"/>
                  <w:tcBorders>
                    <w:right w:val="single" w:color="000000" w:sz="6" w:space="0"/>
                  </w:tcBorders>
                  <w:vAlign w:val="center"/>
                </w:tcPr>
                <w:p w14:paraId="672E159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08AD19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jc w:val="center"/>
              </w:trPr>
              <w:tc>
                <w:tcPr>
                  <w:tcW w:w="803" w:type="dxa"/>
                  <w:vMerge w:val="continue"/>
                  <w:tcBorders>
                    <w:top w:val="nil"/>
                    <w:bottom w:val="nil"/>
                  </w:tcBorders>
                  <w:vAlign w:val="center"/>
                </w:tcPr>
                <w:p w14:paraId="7434DE8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877" w:type="dxa"/>
                  <w:vMerge w:val="restart"/>
                  <w:tcBorders>
                    <w:bottom w:val="nil"/>
                  </w:tcBorders>
                  <w:vAlign w:val="center"/>
                </w:tcPr>
                <w:p w14:paraId="50473B0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营运期</w:t>
                  </w:r>
                </w:p>
              </w:tc>
              <w:tc>
                <w:tcPr>
                  <w:tcW w:w="5496" w:type="dxa"/>
                  <w:vAlign w:val="center"/>
                </w:tcPr>
                <w:p w14:paraId="6597F32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栅渣、生活垃圾由环卫部门统一清运</w:t>
                  </w:r>
                </w:p>
              </w:tc>
              <w:tc>
                <w:tcPr>
                  <w:tcW w:w="923" w:type="dxa"/>
                  <w:vAlign w:val="center"/>
                </w:tcPr>
                <w:p w14:paraId="675F5478">
                  <w:pPr>
                    <w:keepNext w:val="0"/>
                    <w:keepLines w:val="0"/>
                    <w:widowControl/>
                    <w:suppressLineNumbers w:val="0"/>
                    <w:jc w:val="center"/>
                    <w:textAlignment w:val="center"/>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宋体" w:cs="Times New Roman"/>
                      <w:i w:val="0"/>
                      <w:iCs w:val="0"/>
                      <w:color w:val="auto"/>
                      <w:spacing w:val="0"/>
                      <w:w w:val="100"/>
                      <w:kern w:val="0"/>
                      <w:sz w:val="21"/>
                      <w:szCs w:val="21"/>
                      <w:u w:val="none"/>
                      <w:lang w:val="en-US" w:eastAsia="zh-CN" w:bidi="ar"/>
                    </w:rPr>
                    <w:t>2.2</w:t>
                  </w:r>
                </w:p>
              </w:tc>
              <w:tc>
                <w:tcPr>
                  <w:tcW w:w="899" w:type="dxa"/>
                  <w:tcBorders>
                    <w:right w:val="single" w:color="000000" w:sz="6" w:space="0"/>
                  </w:tcBorders>
                  <w:vAlign w:val="center"/>
                </w:tcPr>
                <w:p w14:paraId="1340BD3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7DDC10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jc w:val="center"/>
              </w:trPr>
              <w:tc>
                <w:tcPr>
                  <w:tcW w:w="803" w:type="dxa"/>
                  <w:vMerge w:val="continue"/>
                  <w:tcBorders>
                    <w:top w:val="nil"/>
                    <w:bottom w:val="nil"/>
                  </w:tcBorders>
                  <w:vAlign w:val="center"/>
                </w:tcPr>
                <w:p w14:paraId="151DC77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877" w:type="dxa"/>
                  <w:vMerge w:val="continue"/>
                  <w:tcBorders>
                    <w:top w:val="nil"/>
                    <w:bottom w:val="nil"/>
                  </w:tcBorders>
                  <w:vAlign w:val="center"/>
                </w:tcPr>
                <w:p w14:paraId="57B1E27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5496" w:type="dxa"/>
                  <w:vAlign w:val="center"/>
                </w:tcPr>
                <w:p w14:paraId="4504EA5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b w:val="0"/>
                      <w:bCs w:val="0"/>
                      <w:color w:val="auto"/>
                      <w:spacing w:val="0"/>
                      <w:w w:val="100"/>
                      <w:sz w:val="21"/>
                      <w:szCs w:val="21"/>
                      <w:lang w:eastAsia="zh-CN"/>
                    </w:rPr>
                  </w:pPr>
                  <w:r>
                    <w:rPr>
                      <w:rFonts w:hint="eastAsia" w:ascii="Times New Roman" w:hAnsi="Times New Roman" w:eastAsia="宋体" w:cs="Times New Roman"/>
                      <w:b w:val="0"/>
                      <w:bCs w:val="0"/>
                      <w:color w:val="auto"/>
                      <w:spacing w:val="0"/>
                      <w:w w:val="100"/>
                      <w:sz w:val="21"/>
                      <w:szCs w:val="21"/>
                      <w:lang w:eastAsia="zh-CN"/>
                    </w:rPr>
                    <w:t>密闭汽车运输</w:t>
                  </w:r>
                  <w:r>
                    <w:rPr>
                      <w:rFonts w:hint="default" w:ascii="Times New Roman" w:hAnsi="Times New Roman" w:eastAsia="宋体" w:cs="Times New Roman"/>
                      <w:b w:val="0"/>
                      <w:bCs w:val="0"/>
                      <w:color w:val="auto"/>
                      <w:spacing w:val="0"/>
                      <w:w w:val="100"/>
                      <w:sz w:val="21"/>
                      <w:szCs w:val="21"/>
                      <w:lang w:eastAsia="zh-CN"/>
                    </w:rPr>
                    <w:t>，</w:t>
                  </w:r>
                  <w:r>
                    <w:rPr>
                      <w:rFonts w:hint="default" w:ascii="Times New Roman" w:hAnsi="Times New Roman" w:eastAsia="宋体" w:cs="Times New Roman"/>
                      <w:b w:val="0"/>
                      <w:bCs w:val="0"/>
                      <w:color w:val="auto"/>
                      <w:spacing w:val="0"/>
                      <w:w w:val="100"/>
                      <w:sz w:val="21"/>
                      <w:szCs w:val="21"/>
                    </w:rPr>
                    <w:t>污泥</w:t>
                  </w:r>
                  <w:r>
                    <w:rPr>
                      <w:rFonts w:hint="eastAsia" w:ascii="Times New Roman" w:hAnsi="Times New Roman" w:eastAsia="宋体" w:cs="Times New Roman"/>
                      <w:b w:val="0"/>
                      <w:bCs w:val="0"/>
                      <w:color w:val="auto"/>
                      <w:spacing w:val="0"/>
                      <w:w w:val="100"/>
                      <w:sz w:val="21"/>
                      <w:szCs w:val="21"/>
                      <w:lang w:eastAsia="zh-CN"/>
                    </w:rPr>
                    <w:t>暂存设施</w:t>
                  </w:r>
                </w:p>
              </w:tc>
              <w:tc>
                <w:tcPr>
                  <w:tcW w:w="923" w:type="dxa"/>
                  <w:vAlign w:val="center"/>
                </w:tcPr>
                <w:p w14:paraId="4977CF9E">
                  <w:pPr>
                    <w:keepNext w:val="0"/>
                    <w:keepLines w:val="0"/>
                    <w:widowControl/>
                    <w:suppressLineNumbers w:val="0"/>
                    <w:jc w:val="center"/>
                    <w:textAlignment w:val="center"/>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宋体" w:cs="Times New Roman"/>
                      <w:i w:val="0"/>
                      <w:iCs w:val="0"/>
                      <w:color w:val="auto"/>
                      <w:spacing w:val="0"/>
                      <w:w w:val="100"/>
                      <w:kern w:val="0"/>
                      <w:sz w:val="21"/>
                      <w:szCs w:val="21"/>
                      <w:u w:val="none"/>
                      <w:lang w:val="en-US" w:eastAsia="zh-CN" w:bidi="ar"/>
                    </w:rPr>
                    <w:t>12.8</w:t>
                  </w:r>
                </w:p>
              </w:tc>
              <w:tc>
                <w:tcPr>
                  <w:tcW w:w="899" w:type="dxa"/>
                  <w:tcBorders>
                    <w:right w:val="single" w:color="000000" w:sz="6" w:space="0"/>
                  </w:tcBorders>
                  <w:vAlign w:val="center"/>
                </w:tcPr>
                <w:p w14:paraId="2A85AF1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31E8DC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jc w:val="center"/>
              </w:trPr>
              <w:tc>
                <w:tcPr>
                  <w:tcW w:w="803" w:type="dxa"/>
                  <w:vMerge w:val="continue"/>
                  <w:tcBorders>
                    <w:top w:val="nil"/>
                  </w:tcBorders>
                  <w:vAlign w:val="center"/>
                </w:tcPr>
                <w:p w14:paraId="41EE9B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877" w:type="dxa"/>
                  <w:vMerge w:val="continue"/>
                  <w:tcBorders>
                    <w:top w:val="nil"/>
                  </w:tcBorders>
                  <w:vAlign w:val="center"/>
                </w:tcPr>
                <w:p w14:paraId="3393F62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p>
              </w:tc>
              <w:tc>
                <w:tcPr>
                  <w:tcW w:w="5496" w:type="dxa"/>
                  <w:vAlign w:val="center"/>
                </w:tcPr>
                <w:p w14:paraId="0076553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在线监测废液由桶装后暂存于</w:t>
                  </w:r>
                  <w:r>
                    <w:rPr>
                      <w:rFonts w:hint="default" w:ascii="Times New Roman" w:hAnsi="Times New Roman" w:eastAsia="宋体" w:cs="Times New Roman"/>
                      <w:b w:val="0"/>
                      <w:bCs w:val="0"/>
                      <w:color w:val="auto"/>
                      <w:spacing w:val="0"/>
                      <w:w w:val="100"/>
                      <w:sz w:val="21"/>
                      <w:szCs w:val="21"/>
                      <w:lang w:val="en-US" w:eastAsia="zh-CN"/>
                    </w:rPr>
                    <w:t>2</w:t>
                  </w:r>
                  <w:r>
                    <w:rPr>
                      <w:rFonts w:hint="default" w:ascii="Times New Roman" w:hAnsi="Times New Roman" w:eastAsia="宋体" w:cs="Times New Roman"/>
                      <w:b w:val="0"/>
                      <w:bCs w:val="0"/>
                      <w:color w:val="auto"/>
                      <w:spacing w:val="0"/>
                      <w:w w:val="100"/>
                      <w:sz w:val="21"/>
                      <w:szCs w:val="21"/>
                    </w:rPr>
                    <w:t>5m</w:t>
                  </w:r>
                  <w:r>
                    <w:rPr>
                      <w:rFonts w:hint="default" w:ascii="Times New Roman" w:hAnsi="Times New Roman" w:eastAsia="宋体" w:cs="Times New Roman"/>
                      <w:b w:val="0"/>
                      <w:bCs w:val="0"/>
                      <w:color w:val="auto"/>
                      <w:spacing w:val="0"/>
                      <w:w w:val="100"/>
                      <w:sz w:val="21"/>
                      <w:szCs w:val="21"/>
                      <w:vertAlign w:val="superscript"/>
                    </w:rPr>
                    <w:t>2</w:t>
                  </w:r>
                  <w:r>
                    <w:rPr>
                      <w:rFonts w:hint="default" w:ascii="Times New Roman" w:hAnsi="Times New Roman" w:eastAsia="宋体" w:cs="Times New Roman"/>
                      <w:b w:val="0"/>
                      <w:bCs w:val="0"/>
                      <w:color w:val="auto"/>
                      <w:spacing w:val="0"/>
                      <w:w w:val="100"/>
                      <w:sz w:val="21"/>
                      <w:szCs w:val="21"/>
                    </w:rPr>
                    <w:t>危废暂存间，桶下放置托盘，交由有资质单位处理。</w:t>
                  </w:r>
                </w:p>
              </w:tc>
              <w:tc>
                <w:tcPr>
                  <w:tcW w:w="923" w:type="dxa"/>
                  <w:vAlign w:val="center"/>
                </w:tcPr>
                <w:p w14:paraId="15C9AB3A">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auto"/>
                      <w:spacing w:val="0"/>
                      <w:w w:val="100"/>
                      <w:kern w:val="0"/>
                      <w:sz w:val="21"/>
                      <w:szCs w:val="21"/>
                      <w:u w:val="none"/>
                      <w:lang w:val="en-US" w:eastAsia="zh-CN" w:bidi="ar"/>
                    </w:rPr>
                    <w:t>8.6</w:t>
                  </w:r>
                </w:p>
              </w:tc>
              <w:tc>
                <w:tcPr>
                  <w:tcW w:w="899" w:type="dxa"/>
                  <w:tcBorders>
                    <w:right w:val="single" w:color="000000" w:sz="6" w:space="0"/>
                  </w:tcBorders>
                  <w:vAlign w:val="center"/>
                </w:tcPr>
                <w:p w14:paraId="7164FD2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1902DE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680" w:type="dxa"/>
                  <w:gridSpan w:val="2"/>
                  <w:vAlign w:val="center"/>
                </w:tcPr>
                <w:p w14:paraId="0FC252B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地下水防渗</w:t>
                  </w:r>
                </w:p>
              </w:tc>
              <w:tc>
                <w:tcPr>
                  <w:tcW w:w="5496" w:type="dxa"/>
                  <w:vAlign w:val="center"/>
                </w:tcPr>
                <w:p w14:paraId="0DCFF9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rPr>
                    <w:t>采取分区防渗措施</w:t>
                  </w:r>
                </w:p>
                <w:p w14:paraId="19B543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重点防渗区：所有废水、污泥处理构筑物采取水泥基渗透结晶抗渗混凝土（厚度</w:t>
                  </w:r>
                  <w:r>
                    <w:rPr>
                      <w:rFonts w:hint="eastAsia" w:ascii="Times New Roman" w:hAnsi="Times New Roman" w:eastAsia="宋体" w:cs="Times New Roman"/>
                      <w:b w:val="0"/>
                      <w:bCs w:val="0"/>
                      <w:color w:val="auto"/>
                      <w:spacing w:val="0"/>
                      <w:w w:val="100"/>
                      <w:sz w:val="21"/>
                      <w:szCs w:val="21"/>
                      <w:lang w:eastAsia="zh-CN"/>
                    </w:rPr>
                    <w:t>不宜</w:t>
                  </w:r>
                  <w:r>
                    <w:rPr>
                      <w:rFonts w:hint="default" w:ascii="Times New Roman" w:hAnsi="Times New Roman" w:eastAsia="宋体" w:cs="Times New Roman"/>
                      <w:b w:val="0"/>
                      <w:bCs w:val="0"/>
                      <w:color w:val="auto"/>
                      <w:spacing w:val="0"/>
                      <w:w w:val="100"/>
                      <w:sz w:val="21"/>
                      <w:szCs w:val="21"/>
                    </w:rPr>
                    <w:t>小于</w:t>
                  </w:r>
                  <w:r>
                    <w:rPr>
                      <w:rFonts w:hint="default" w:ascii="Times New Roman" w:hAnsi="Times New Roman" w:eastAsia="Times New Roman" w:cs="Times New Roman"/>
                      <w:b w:val="0"/>
                      <w:bCs w:val="0"/>
                      <w:color w:val="auto"/>
                      <w:spacing w:val="0"/>
                      <w:w w:val="100"/>
                      <w:sz w:val="21"/>
                      <w:szCs w:val="21"/>
                    </w:rPr>
                    <w:t>150mm</w:t>
                  </w:r>
                  <w:r>
                    <w:rPr>
                      <w:rFonts w:hint="default" w:ascii="Times New Roman" w:hAnsi="Times New Roman" w:eastAsia="宋体" w:cs="Times New Roman"/>
                      <w:b w:val="0"/>
                      <w:bCs w:val="0"/>
                      <w:color w:val="auto"/>
                      <w:spacing w:val="0"/>
                      <w:w w:val="100"/>
                      <w:sz w:val="21"/>
                      <w:szCs w:val="21"/>
                    </w:rPr>
                    <w:t>）</w:t>
                  </w:r>
                  <w:r>
                    <w:rPr>
                      <w:rFonts w:hint="default" w:ascii="Times New Roman" w:hAnsi="Times New Roman" w:eastAsia="Times New Roman" w:cs="Times New Roman"/>
                      <w:b w:val="0"/>
                      <w:bCs w:val="0"/>
                      <w:color w:val="auto"/>
                      <w:spacing w:val="0"/>
                      <w:w w:val="100"/>
                      <w:sz w:val="21"/>
                      <w:szCs w:val="21"/>
                    </w:rPr>
                    <w:t>+</w:t>
                  </w:r>
                  <w:r>
                    <w:rPr>
                      <w:rFonts w:hint="default" w:ascii="Times New Roman" w:hAnsi="Times New Roman" w:eastAsia="宋体" w:cs="Times New Roman"/>
                      <w:b w:val="0"/>
                      <w:bCs w:val="0"/>
                      <w:color w:val="auto"/>
                      <w:spacing w:val="0"/>
                      <w:w w:val="100"/>
                      <w:sz w:val="21"/>
                      <w:szCs w:val="21"/>
                    </w:rPr>
                    <w:t>水泥基渗透结晶型防渗涂层（厚度不小于</w:t>
                  </w:r>
                  <w:r>
                    <w:rPr>
                      <w:rFonts w:hint="default" w:ascii="Times New Roman" w:hAnsi="Times New Roman" w:eastAsia="Times New Roman" w:cs="Times New Roman"/>
                      <w:b w:val="0"/>
                      <w:bCs w:val="0"/>
                      <w:color w:val="auto"/>
                      <w:spacing w:val="0"/>
                      <w:w w:val="100"/>
                      <w:sz w:val="21"/>
                      <w:szCs w:val="21"/>
                    </w:rPr>
                    <w:t>0.8mm</w:t>
                  </w:r>
                  <w:r>
                    <w:rPr>
                      <w:rFonts w:hint="default" w:ascii="Times New Roman" w:hAnsi="Times New Roman" w:eastAsia="宋体" w:cs="Times New Roman"/>
                      <w:b w:val="0"/>
                      <w:bCs w:val="0"/>
                      <w:color w:val="auto"/>
                      <w:spacing w:val="0"/>
                      <w:w w:val="100"/>
                      <w:sz w:val="21"/>
                      <w:szCs w:val="21"/>
                    </w:rPr>
                    <w:t>）</w:t>
                  </w:r>
                  <w:r>
                    <w:rPr>
                      <w:rFonts w:hint="default" w:ascii="Times New Roman" w:hAnsi="Times New Roman" w:eastAsia="Times New Roman" w:cs="Times New Roman"/>
                      <w:b w:val="0"/>
                      <w:bCs w:val="0"/>
                      <w:color w:val="auto"/>
                      <w:spacing w:val="0"/>
                      <w:w w:val="100"/>
                      <w:sz w:val="21"/>
                      <w:szCs w:val="21"/>
                    </w:rPr>
                    <w:t>+HDPE</w:t>
                  </w:r>
                  <w:r>
                    <w:rPr>
                      <w:rFonts w:hint="default" w:ascii="Times New Roman" w:hAnsi="Times New Roman" w:eastAsia="宋体" w:cs="Times New Roman"/>
                      <w:b w:val="0"/>
                      <w:bCs w:val="0"/>
                      <w:color w:val="auto"/>
                      <w:spacing w:val="0"/>
                      <w:w w:val="100"/>
                      <w:sz w:val="21"/>
                      <w:szCs w:val="21"/>
                    </w:rPr>
                    <w:t>土工膜（厚度不小于</w:t>
                  </w:r>
                  <w:r>
                    <w:rPr>
                      <w:rFonts w:hint="default" w:ascii="Times New Roman" w:hAnsi="Times New Roman" w:eastAsia="Times New Roman" w:cs="Times New Roman"/>
                      <w:b w:val="0"/>
                      <w:bCs w:val="0"/>
                      <w:color w:val="auto"/>
                      <w:spacing w:val="0"/>
                      <w:w w:val="100"/>
                      <w:sz w:val="21"/>
                      <w:szCs w:val="21"/>
                    </w:rPr>
                    <w:t>1.5mm</w:t>
                  </w:r>
                  <w:r>
                    <w:rPr>
                      <w:rFonts w:hint="default" w:ascii="Times New Roman" w:hAnsi="Times New Roman" w:eastAsia="宋体" w:cs="Times New Roman"/>
                      <w:b w:val="0"/>
                      <w:bCs w:val="0"/>
                      <w:color w:val="auto"/>
                      <w:spacing w:val="0"/>
                      <w:w w:val="100"/>
                      <w:sz w:val="21"/>
                      <w:szCs w:val="21"/>
                    </w:rPr>
                    <w:t>）结</w:t>
                  </w:r>
                  <w:r>
                    <w:rPr>
                      <w:rFonts w:hint="default" w:ascii="Times New Roman" w:hAnsi="Times New Roman" w:eastAsia="Times New Roman" w:cs="Times New Roman"/>
                      <w:b w:val="0"/>
                      <w:bCs w:val="0"/>
                      <w:color w:val="auto"/>
                      <w:spacing w:val="0"/>
                      <w:w w:val="100"/>
                      <w:sz w:val="21"/>
                      <w:szCs w:val="21"/>
                    </w:rPr>
                    <w:t>构形式，达到等效黏土防渗层Mb≥6.0m、K≤10</w:t>
                  </w:r>
                  <w:r>
                    <w:rPr>
                      <w:rFonts w:hint="default" w:ascii="Times New Roman" w:hAnsi="Times New Roman" w:eastAsia="Times New Roman" w:cs="Times New Roman"/>
                      <w:b w:val="0"/>
                      <w:bCs w:val="0"/>
                      <w:color w:val="auto"/>
                      <w:spacing w:val="0"/>
                      <w:w w:val="100"/>
                      <w:sz w:val="21"/>
                      <w:szCs w:val="21"/>
                      <w:vertAlign w:val="superscript"/>
                    </w:rPr>
                    <w:t>-</w:t>
                  </w:r>
                  <w:r>
                    <w:rPr>
                      <w:rFonts w:hint="default" w:ascii="Times New Roman" w:hAnsi="Times New Roman" w:eastAsia="宋体" w:cs="Times New Roman"/>
                      <w:b w:val="0"/>
                      <w:bCs w:val="0"/>
                      <w:color w:val="auto"/>
                      <w:spacing w:val="0"/>
                      <w:w w:val="100"/>
                      <w:sz w:val="21"/>
                      <w:szCs w:val="21"/>
                      <w:vertAlign w:val="superscript"/>
                      <w:lang w:val="en-US" w:eastAsia="zh-CN"/>
                    </w:rPr>
                    <w:t>10</w:t>
                  </w:r>
                  <w:r>
                    <w:rPr>
                      <w:rFonts w:hint="default" w:ascii="Times New Roman" w:hAnsi="Times New Roman" w:eastAsia="Times New Roman" w:cs="Times New Roman"/>
                      <w:b w:val="0"/>
                      <w:bCs w:val="0"/>
                      <w:color w:val="auto"/>
                      <w:spacing w:val="0"/>
                      <w:w w:val="100"/>
                      <w:sz w:val="21"/>
                      <w:szCs w:val="21"/>
                    </w:rPr>
                    <w:t>cm/s的要</w:t>
                  </w:r>
                  <w:r>
                    <w:rPr>
                      <w:rFonts w:hint="default" w:ascii="Times New Roman" w:hAnsi="Times New Roman" w:eastAsia="宋体" w:cs="Times New Roman"/>
                      <w:b w:val="0"/>
                      <w:bCs w:val="0"/>
                      <w:color w:val="auto"/>
                      <w:spacing w:val="0"/>
                      <w:w w:val="100"/>
                      <w:sz w:val="21"/>
                      <w:szCs w:val="21"/>
                    </w:rPr>
                    <w:t>求。</w:t>
                  </w:r>
                </w:p>
                <w:p w14:paraId="00740BA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一般防渗区：在线监测仪表间、变配电间做地面一般防渗，采取粘土铺底，再在上层铺20cm的钢筋混凝土进行硬化，渗透系数K≤1×10</w:t>
                  </w:r>
                  <w:r>
                    <w:rPr>
                      <w:rFonts w:hint="default" w:ascii="Times New Roman" w:hAnsi="Times New Roman" w:eastAsia="宋体" w:cs="Times New Roman"/>
                      <w:b w:val="0"/>
                      <w:bCs w:val="0"/>
                      <w:color w:val="auto"/>
                      <w:spacing w:val="0"/>
                      <w:w w:val="100"/>
                      <w:sz w:val="21"/>
                      <w:szCs w:val="21"/>
                      <w:vertAlign w:val="superscript"/>
                    </w:rPr>
                    <w:t>-7</w:t>
                  </w:r>
                  <w:r>
                    <w:rPr>
                      <w:rFonts w:hint="default" w:ascii="Times New Roman" w:hAnsi="Times New Roman" w:eastAsia="宋体" w:cs="Times New Roman"/>
                      <w:b w:val="0"/>
                      <w:bCs w:val="0"/>
                      <w:color w:val="auto"/>
                      <w:spacing w:val="0"/>
                      <w:w w:val="100"/>
                      <w:sz w:val="21"/>
                      <w:szCs w:val="21"/>
                    </w:rPr>
                    <w:t>cm/s。</w:t>
                  </w:r>
                </w:p>
                <w:p w14:paraId="30CB6FF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简单防渗区：厂区综合楼、鼓风机房、厂区道路进行一般水泥硬化。</w:t>
                  </w:r>
                </w:p>
              </w:tc>
              <w:tc>
                <w:tcPr>
                  <w:tcW w:w="923" w:type="dxa"/>
                  <w:vAlign w:val="center"/>
                </w:tcPr>
                <w:p w14:paraId="609D0459">
                  <w:pPr>
                    <w:jc w:val="center"/>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宋体" w:cs="Times New Roman"/>
                      <w:i w:val="0"/>
                      <w:iCs w:val="0"/>
                      <w:color w:val="auto"/>
                      <w:spacing w:val="0"/>
                      <w:w w:val="100"/>
                      <w:kern w:val="0"/>
                      <w:sz w:val="21"/>
                      <w:szCs w:val="21"/>
                      <w:u w:val="none"/>
                      <w:lang w:val="en-US" w:eastAsia="zh-CN" w:bidi="ar"/>
                    </w:rPr>
                    <w:t>15.2</w:t>
                  </w:r>
                </w:p>
              </w:tc>
              <w:tc>
                <w:tcPr>
                  <w:tcW w:w="899" w:type="dxa"/>
                  <w:tcBorders>
                    <w:right w:val="single" w:color="000000" w:sz="6" w:space="0"/>
                  </w:tcBorders>
                  <w:vAlign w:val="center"/>
                </w:tcPr>
                <w:p w14:paraId="1A4FD1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4D85AC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jc w:val="center"/>
              </w:trPr>
              <w:tc>
                <w:tcPr>
                  <w:tcW w:w="1680" w:type="dxa"/>
                  <w:gridSpan w:val="2"/>
                  <w:vAlign w:val="center"/>
                </w:tcPr>
                <w:p w14:paraId="451ABC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环境管理</w:t>
                  </w:r>
                </w:p>
              </w:tc>
              <w:tc>
                <w:tcPr>
                  <w:tcW w:w="5496" w:type="dxa"/>
                  <w:vAlign w:val="center"/>
                </w:tcPr>
                <w:p w14:paraId="7978A3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推行施工环境监理制度，实施施工期环境监理。</w:t>
                  </w:r>
                </w:p>
              </w:tc>
              <w:tc>
                <w:tcPr>
                  <w:tcW w:w="923" w:type="dxa"/>
                  <w:vAlign w:val="center"/>
                </w:tcPr>
                <w:p w14:paraId="4D118C5A">
                  <w:pPr>
                    <w:jc w:val="center"/>
                    <w:rPr>
                      <w:rFonts w:hint="default" w:ascii="Times New Roman" w:hAnsi="Times New Roman" w:eastAsia="宋体" w:cs="Times New Roman"/>
                      <w:b w:val="0"/>
                      <w:bCs w:val="0"/>
                      <w:color w:val="auto"/>
                      <w:spacing w:val="0"/>
                      <w:w w:val="100"/>
                      <w:sz w:val="21"/>
                      <w:szCs w:val="21"/>
                      <w:lang w:val="en-US" w:eastAsia="zh-CN"/>
                    </w:rPr>
                  </w:pPr>
                  <w:r>
                    <w:rPr>
                      <w:rFonts w:hint="eastAsia" w:ascii="Times New Roman" w:hAnsi="Times New Roman" w:eastAsia="宋体" w:cs="Times New Roman"/>
                      <w:b w:val="0"/>
                      <w:bCs w:val="0"/>
                      <w:color w:val="auto"/>
                      <w:spacing w:val="0"/>
                      <w:w w:val="100"/>
                      <w:sz w:val="21"/>
                      <w:szCs w:val="21"/>
                      <w:lang w:val="en-US" w:eastAsia="zh-CN"/>
                    </w:rPr>
                    <w:t>5.6</w:t>
                  </w:r>
                </w:p>
              </w:tc>
              <w:tc>
                <w:tcPr>
                  <w:tcW w:w="899" w:type="dxa"/>
                  <w:tcBorders>
                    <w:right w:val="single" w:color="000000" w:sz="6" w:space="0"/>
                  </w:tcBorders>
                  <w:vAlign w:val="center"/>
                </w:tcPr>
                <w:p w14:paraId="59E0EFA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6C017E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1" w:hRule="atLeast"/>
                <w:jc w:val="center"/>
              </w:trPr>
              <w:tc>
                <w:tcPr>
                  <w:tcW w:w="1680" w:type="dxa"/>
                  <w:gridSpan w:val="2"/>
                  <w:vAlign w:val="center"/>
                </w:tcPr>
                <w:p w14:paraId="2144D8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环境监测</w:t>
                  </w:r>
                </w:p>
              </w:tc>
              <w:tc>
                <w:tcPr>
                  <w:tcW w:w="5496" w:type="dxa"/>
                  <w:vAlign w:val="center"/>
                </w:tcPr>
                <w:p w14:paraId="039DA0C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进出水水质在线监测；定期监测污水处理厂区域地表水、</w:t>
                  </w:r>
                </w:p>
                <w:p w14:paraId="078ED0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大气环境。将有关环保措施纳入生产质量管理体系及各阶段验收指标体系中。</w:t>
                  </w:r>
                </w:p>
              </w:tc>
              <w:tc>
                <w:tcPr>
                  <w:tcW w:w="923" w:type="dxa"/>
                  <w:vAlign w:val="center"/>
                </w:tcPr>
                <w:p w14:paraId="6A790C83">
                  <w:pPr>
                    <w:jc w:val="center"/>
                    <w:rPr>
                      <w:rFonts w:hint="default" w:ascii="Times New Roman" w:hAnsi="Times New Roman" w:eastAsia="宋体" w:cs="Times New Roman"/>
                      <w:b w:val="0"/>
                      <w:bCs w:val="0"/>
                      <w:color w:val="auto"/>
                      <w:spacing w:val="0"/>
                      <w:w w:val="100"/>
                      <w:sz w:val="21"/>
                      <w:szCs w:val="21"/>
                      <w:lang w:val="en-US" w:eastAsia="zh-CN"/>
                    </w:rPr>
                  </w:pPr>
                  <w:r>
                    <w:rPr>
                      <w:rFonts w:hint="eastAsia" w:ascii="Times New Roman" w:hAnsi="Times New Roman" w:eastAsia="宋体" w:cs="Times New Roman"/>
                      <w:b w:val="0"/>
                      <w:bCs w:val="0"/>
                      <w:color w:val="auto"/>
                      <w:spacing w:val="0"/>
                      <w:w w:val="100"/>
                      <w:sz w:val="21"/>
                      <w:szCs w:val="21"/>
                      <w:lang w:val="en-US" w:eastAsia="zh-CN"/>
                    </w:rPr>
                    <w:t>20.2</w:t>
                  </w:r>
                </w:p>
              </w:tc>
              <w:tc>
                <w:tcPr>
                  <w:tcW w:w="899" w:type="dxa"/>
                  <w:tcBorders>
                    <w:right w:val="single" w:color="000000" w:sz="6" w:space="0"/>
                  </w:tcBorders>
                  <w:vAlign w:val="center"/>
                </w:tcPr>
                <w:p w14:paraId="564F176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2786C3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680" w:type="dxa"/>
                  <w:gridSpan w:val="2"/>
                  <w:vAlign w:val="center"/>
                </w:tcPr>
                <w:p w14:paraId="58A7D73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环境风险投资</w:t>
                  </w:r>
                </w:p>
              </w:tc>
              <w:tc>
                <w:tcPr>
                  <w:tcW w:w="5496" w:type="dxa"/>
                  <w:vAlign w:val="center"/>
                </w:tcPr>
                <w:p w14:paraId="207FC52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设备故障、事故及检修；防火设施投资；修建进厂、出厂</w:t>
                  </w:r>
                </w:p>
                <w:p w14:paraId="031C69B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污水截断装置；加强人员培训，加强风险管理；制定事故</w:t>
                  </w:r>
                </w:p>
                <w:p w14:paraId="14A3D5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应急救援预案</w:t>
                  </w:r>
                </w:p>
              </w:tc>
              <w:tc>
                <w:tcPr>
                  <w:tcW w:w="923" w:type="dxa"/>
                  <w:vAlign w:val="center"/>
                </w:tcPr>
                <w:p w14:paraId="5194E321">
                  <w:pPr>
                    <w:jc w:val="center"/>
                    <w:rPr>
                      <w:rFonts w:hint="default" w:ascii="Times New Roman" w:hAnsi="Times New Roman" w:eastAsia="宋体" w:cs="Times New Roman"/>
                      <w:b w:val="0"/>
                      <w:bCs w:val="0"/>
                      <w:color w:val="auto"/>
                      <w:spacing w:val="0"/>
                      <w:w w:val="100"/>
                      <w:sz w:val="21"/>
                      <w:szCs w:val="21"/>
                      <w:lang w:val="en-US" w:eastAsia="zh-CN"/>
                    </w:rPr>
                  </w:pPr>
                  <w:r>
                    <w:rPr>
                      <w:rFonts w:hint="eastAsia" w:ascii="Times New Roman" w:hAnsi="Times New Roman" w:eastAsia="宋体" w:cs="Times New Roman"/>
                      <w:b w:val="0"/>
                      <w:bCs w:val="0"/>
                      <w:color w:val="auto"/>
                      <w:spacing w:val="0"/>
                      <w:w w:val="100"/>
                      <w:sz w:val="21"/>
                      <w:szCs w:val="21"/>
                      <w:lang w:val="en-US" w:eastAsia="zh-CN"/>
                    </w:rPr>
                    <w:t>10.6</w:t>
                  </w:r>
                </w:p>
              </w:tc>
              <w:tc>
                <w:tcPr>
                  <w:tcW w:w="899" w:type="dxa"/>
                  <w:tcBorders>
                    <w:right w:val="single" w:color="000000" w:sz="6" w:space="0"/>
                  </w:tcBorders>
                  <w:vAlign w:val="center"/>
                </w:tcPr>
                <w:p w14:paraId="17E2B8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r>
            <w:tr w14:paraId="52D170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680" w:type="dxa"/>
                  <w:gridSpan w:val="2"/>
                  <w:vAlign w:val="center"/>
                </w:tcPr>
                <w:p w14:paraId="4C2FD7A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绿化</w:t>
                  </w:r>
                </w:p>
              </w:tc>
              <w:tc>
                <w:tcPr>
                  <w:tcW w:w="5496" w:type="dxa"/>
                  <w:vAlign w:val="center"/>
                </w:tcPr>
                <w:p w14:paraId="70D9CD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lang w:val="en-US"/>
                    </w:rPr>
                  </w:pPr>
                  <w:r>
                    <w:rPr>
                      <w:rFonts w:hint="default" w:ascii="Times New Roman" w:hAnsi="Times New Roman" w:eastAsia="宋体" w:cs="Times New Roman"/>
                      <w:b w:val="0"/>
                      <w:bCs w:val="0"/>
                      <w:color w:val="auto"/>
                      <w:spacing w:val="0"/>
                      <w:w w:val="100"/>
                      <w:sz w:val="21"/>
                      <w:szCs w:val="21"/>
                      <w:lang w:eastAsia="zh-CN"/>
                    </w:rPr>
                    <w:t>种植花草树木等</w:t>
                  </w:r>
                  <w:r>
                    <w:rPr>
                      <w:rFonts w:hint="eastAsia" w:ascii="Times New Roman" w:hAnsi="Times New Roman" w:eastAsia="宋体" w:cs="Times New Roman"/>
                      <w:b w:val="0"/>
                      <w:bCs w:val="0"/>
                      <w:color w:val="auto"/>
                      <w:spacing w:val="0"/>
                      <w:w w:val="100"/>
                      <w:sz w:val="21"/>
                      <w:szCs w:val="21"/>
                      <w:lang w:eastAsia="zh-CN"/>
                    </w:rPr>
                    <w:t>，绿化面积</w:t>
                  </w:r>
                  <w:r>
                    <w:rPr>
                      <w:rFonts w:hint="eastAsia" w:ascii="Times New Roman" w:hAnsi="Times New Roman" w:eastAsia="宋体" w:cs="Times New Roman"/>
                      <w:b w:val="0"/>
                      <w:bCs w:val="0"/>
                      <w:color w:val="auto"/>
                      <w:spacing w:val="0"/>
                      <w:w w:val="100"/>
                      <w:sz w:val="21"/>
                      <w:szCs w:val="21"/>
                      <w:lang w:val="en-US" w:eastAsia="zh-CN"/>
                    </w:rPr>
                    <w:t>4500m</w:t>
                  </w:r>
                  <w:r>
                    <w:rPr>
                      <w:rFonts w:hint="eastAsia" w:ascii="Times New Roman" w:hAnsi="Times New Roman" w:eastAsia="宋体" w:cs="Times New Roman"/>
                      <w:b w:val="0"/>
                      <w:bCs w:val="0"/>
                      <w:color w:val="auto"/>
                      <w:spacing w:val="0"/>
                      <w:w w:val="100"/>
                      <w:sz w:val="21"/>
                      <w:szCs w:val="21"/>
                      <w:vertAlign w:val="superscript"/>
                      <w:lang w:val="en-US" w:eastAsia="zh-CN"/>
                    </w:rPr>
                    <w:t>2</w:t>
                  </w:r>
                </w:p>
              </w:tc>
              <w:tc>
                <w:tcPr>
                  <w:tcW w:w="923" w:type="dxa"/>
                  <w:vAlign w:val="center"/>
                </w:tcPr>
                <w:p w14:paraId="16DF34BF">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eastAsia" w:ascii="Times New Roman" w:hAnsi="Times New Roman" w:eastAsia="宋体" w:cs="Times New Roman"/>
                      <w:b w:val="0"/>
                      <w:bCs w:val="0"/>
                      <w:color w:val="auto"/>
                      <w:spacing w:val="0"/>
                      <w:w w:val="100"/>
                      <w:sz w:val="21"/>
                      <w:szCs w:val="21"/>
                      <w:lang w:val="en-US" w:eastAsia="zh-CN"/>
                    </w:rPr>
                    <w:t>/</w:t>
                  </w:r>
                </w:p>
              </w:tc>
              <w:tc>
                <w:tcPr>
                  <w:tcW w:w="899" w:type="dxa"/>
                  <w:tcBorders>
                    <w:right w:val="single" w:color="000000" w:sz="6" w:space="0"/>
                  </w:tcBorders>
                  <w:vAlign w:val="center"/>
                </w:tcPr>
                <w:p w14:paraId="09A703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纳入工程投资</w:t>
                  </w:r>
                </w:p>
              </w:tc>
            </w:tr>
            <w:tr w14:paraId="42B359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jc w:val="center"/>
              </w:trPr>
              <w:tc>
                <w:tcPr>
                  <w:tcW w:w="1680" w:type="dxa"/>
                  <w:gridSpan w:val="2"/>
                  <w:vAlign w:val="center"/>
                </w:tcPr>
                <w:p w14:paraId="737D41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合计</w:t>
                  </w:r>
                </w:p>
              </w:tc>
              <w:tc>
                <w:tcPr>
                  <w:tcW w:w="5496" w:type="dxa"/>
                  <w:vAlign w:val="center"/>
                </w:tcPr>
                <w:p w14:paraId="169B34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r>
                    <w:rPr>
                      <w:rFonts w:hint="default" w:ascii="Times New Roman" w:hAnsi="Times New Roman" w:eastAsia="Times New Roman" w:cs="Times New Roman"/>
                      <w:b w:val="0"/>
                      <w:bCs w:val="0"/>
                      <w:color w:val="auto"/>
                      <w:spacing w:val="0"/>
                      <w:w w:val="100"/>
                      <w:sz w:val="21"/>
                      <w:szCs w:val="21"/>
                    </w:rPr>
                    <w:t>/</w:t>
                  </w:r>
                </w:p>
              </w:tc>
              <w:tc>
                <w:tcPr>
                  <w:tcW w:w="923" w:type="dxa"/>
                  <w:vAlign w:val="center"/>
                </w:tcPr>
                <w:p w14:paraId="71275DE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163.7</w:t>
                  </w:r>
                </w:p>
              </w:tc>
              <w:tc>
                <w:tcPr>
                  <w:tcW w:w="899" w:type="dxa"/>
                  <w:tcBorders>
                    <w:right w:val="single" w:color="000000" w:sz="6" w:space="0"/>
                  </w:tcBorders>
                  <w:vAlign w:val="center"/>
                </w:tcPr>
                <w:p w14:paraId="04D636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b w:val="0"/>
                      <w:bCs w:val="0"/>
                      <w:color w:val="auto"/>
                      <w:spacing w:val="0"/>
                      <w:w w:val="100"/>
                      <w:sz w:val="21"/>
                      <w:szCs w:val="21"/>
                    </w:rPr>
                  </w:pPr>
                </w:p>
              </w:tc>
            </w:tr>
          </w:tbl>
          <w:p w14:paraId="1FA1C6F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pacing w:val="0"/>
                <w:w w:val="100"/>
                <w:szCs w:val="21"/>
                <w:lang w:val="en-US" w:eastAsia="zh-CN"/>
              </w:rPr>
            </w:pPr>
          </w:p>
          <w:p w14:paraId="3799B49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pacing w:val="0"/>
                <w:w w:val="100"/>
                <w:szCs w:val="21"/>
                <w:lang w:val="en-US" w:eastAsia="zh-CN"/>
              </w:rPr>
            </w:pPr>
          </w:p>
          <w:p w14:paraId="3BF04FD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pacing w:val="0"/>
                <w:w w:val="100"/>
                <w:szCs w:val="21"/>
                <w:lang w:val="en-US" w:eastAsia="zh-CN"/>
              </w:rPr>
            </w:pPr>
          </w:p>
        </w:tc>
      </w:tr>
    </w:tbl>
    <w:p w14:paraId="74E97A9A">
      <w:pPr>
        <w:spacing w:line="360" w:lineRule="auto"/>
        <w:rPr>
          <w:rFonts w:hint="default" w:ascii="Times New Roman" w:hAnsi="Times New Roman" w:eastAsia="宋体" w:cs="Times New Roman"/>
          <w:b/>
          <w:bCs w:val="0"/>
          <w:color w:val="auto"/>
          <w:spacing w:val="0"/>
          <w:w w:val="100"/>
          <w:sz w:val="28"/>
          <w:szCs w:val="28"/>
          <w:lang w:val="en-US" w:eastAsia="zh-CN" w:bidi="ar"/>
        </w:rPr>
        <w:sectPr>
          <w:footerReference r:id="rId6" w:type="default"/>
          <w:pgSz w:w="11915" w:h="16840"/>
          <w:pgMar w:top="1440" w:right="1440" w:bottom="1440" w:left="1440" w:header="851" w:footer="851" w:gutter="0"/>
          <w:pgNumType w:fmt="decimal"/>
          <w:cols w:space="425" w:num="1"/>
          <w:docGrid w:type="lines" w:linePitch="312" w:charSpace="0"/>
        </w:sectPr>
      </w:pPr>
    </w:p>
    <w:p w14:paraId="69334609">
      <w:pPr>
        <w:pStyle w:val="19"/>
        <w:keepNext w:val="0"/>
        <w:keepLines w:val="0"/>
        <w:pageBreakBefore w:val="0"/>
        <w:widowControl/>
        <w:kinsoku/>
        <w:wordWrap/>
        <w:overflowPunct/>
        <w:topLinePunct w:val="0"/>
        <w:autoSpaceDE/>
        <w:autoSpaceDN/>
        <w:bidi w:val="0"/>
        <w:adjustRightInd/>
        <w:snapToGrid/>
        <w:spacing w:beforeAutospacing="0" w:afterAutospacing="0" w:line="360" w:lineRule="auto"/>
        <w:jc w:val="center"/>
        <w:textAlignment w:val="auto"/>
        <w:outlineLvl w:val="0"/>
        <w:rPr>
          <w:rFonts w:hint="default" w:ascii="Times New Roman" w:hAnsi="Times New Roman" w:eastAsia="黑体" w:cs="Times New Roman"/>
          <w:color w:val="auto"/>
          <w:spacing w:val="0"/>
          <w:w w:val="100"/>
          <w:sz w:val="30"/>
          <w:szCs w:val="30"/>
          <w:lang w:val="en-US"/>
        </w:rPr>
      </w:pPr>
      <w:r>
        <w:rPr>
          <w:rFonts w:hint="default" w:ascii="Times New Roman" w:hAnsi="Times New Roman" w:eastAsia="黑体" w:cs="Times New Roman"/>
          <w:snapToGrid w:val="0"/>
          <w:color w:val="auto"/>
          <w:spacing w:val="0"/>
          <w:w w:val="100"/>
          <w:sz w:val="30"/>
          <w:szCs w:val="30"/>
          <w:lang w:eastAsia="zh-CN"/>
        </w:rPr>
        <w:t>五、</w:t>
      </w:r>
      <w:bookmarkStart w:id="5" w:name="_Hlk54167917"/>
      <w:r>
        <w:rPr>
          <w:rFonts w:hint="default" w:ascii="Times New Roman" w:hAnsi="Times New Roman" w:eastAsia="黑体" w:cs="Times New Roman"/>
          <w:snapToGrid w:val="0"/>
          <w:color w:val="auto"/>
          <w:spacing w:val="0"/>
          <w:w w:val="100"/>
          <w:sz w:val="30"/>
          <w:szCs w:val="30"/>
          <w:lang w:eastAsia="zh-CN"/>
        </w:rPr>
        <w:t>环境保护措施监督检查清单</w:t>
      </w:r>
      <w:bookmarkEnd w:id="5"/>
    </w:p>
    <w:tbl>
      <w:tblPr>
        <w:tblStyle w:val="21"/>
        <w:tblW w:w="510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3"/>
        <w:gridCol w:w="1784"/>
        <w:gridCol w:w="1475"/>
        <w:gridCol w:w="2653"/>
        <w:gridCol w:w="2402"/>
      </w:tblGrid>
      <w:tr w14:paraId="429C5F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17" w:hRule="atLeast"/>
          <w:jc w:val="center"/>
        </w:trPr>
        <w:tc>
          <w:tcPr>
            <w:tcW w:w="594" w:type="pct"/>
            <w:tcBorders>
              <w:top w:val="single" w:color="auto" w:sz="8" w:space="0"/>
              <w:left w:val="single" w:color="auto" w:sz="8" w:space="0"/>
              <w:bottom w:val="single" w:color="auto" w:sz="4" w:space="0"/>
              <w:right w:val="single" w:color="auto" w:sz="4" w:space="0"/>
              <w:tl2br w:val="single" w:color="auto" w:sz="4" w:space="0"/>
            </w:tcBorders>
            <w:shd w:val="clear" w:color="auto" w:fill="auto"/>
            <w:vAlign w:val="top"/>
          </w:tcPr>
          <w:p w14:paraId="45691574">
            <w:pPr>
              <w:keepNext w:val="0"/>
              <w:keepLines w:val="0"/>
              <w:widowControl w:val="0"/>
              <w:suppressLineNumbers w:val="0"/>
              <w:adjustRightInd w:val="0"/>
              <w:snapToGrid w:val="0"/>
              <w:spacing w:before="0" w:beforeAutospacing="0" w:after="0" w:afterAutospacing="0"/>
              <w:ind w:left="0" w:right="0" w:firstLine="240" w:firstLineChars="100"/>
              <w:jc w:val="both"/>
              <w:rPr>
                <w:rFonts w:hint="default" w:ascii="Times New Roman" w:hAnsi="Times New Roman" w:eastAsia="宋体" w:cs="Times New Roman"/>
                <w:color w:val="auto"/>
                <w:spacing w:val="0"/>
                <w:w w:val="100"/>
                <w:kern w:val="2"/>
                <w:sz w:val="24"/>
                <w:szCs w:val="24"/>
                <w:lang w:val="en-US" w:eastAsia="zh-CN" w:bidi="ar"/>
              </w:rPr>
            </w:pPr>
            <w:r>
              <w:rPr>
                <w:rFonts w:hint="default" w:ascii="Times New Roman" w:hAnsi="Times New Roman" w:eastAsia="宋体" w:cs="Times New Roman"/>
                <w:color w:val="auto"/>
                <w:spacing w:val="0"/>
                <w:w w:val="100"/>
                <w:kern w:val="2"/>
                <w:sz w:val="24"/>
                <w:szCs w:val="24"/>
                <w:lang w:val="en-US" w:eastAsia="zh-CN" w:bidi="ar"/>
              </w:rPr>
              <w:t>内容</w:t>
            </w:r>
          </w:p>
          <w:p w14:paraId="4F0E8B5F">
            <w:pPr>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要素</w:t>
            </w:r>
          </w:p>
        </w:tc>
        <w:tc>
          <w:tcPr>
            <w:tcW w:w="945" w:type="pct"/>
            <w:tcBorders>
              <w:top w:val="single" w:color="auto" w:sz="8" w:space="0"/>
              <w:left w:val="single" w:color="auto" w:sz="4" w:space="0"/>
              <w:bottom w:val="single" w:color="auto" w:sz="4" w:space="0"/>
              <w:right w:val="single" w:color="auto" w:sz="4" w:space="0"/>
            </w:tcBorders>
            <w:shd w:val="clear" w:color="auto" w:fill="auto"/>
            <w:vAlign w:val="center"/>
          </w:tcPr>
          <w:p w14:paraId="634343AB">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排放口</w:t>
            </w:r>
            <w:r>
              <w:rPr>
                <w:rFonts w:hint="eastAsia" w:ascii="Times New Roman" w:hAnsi="Times New Roman" w:eastAsia="宋体" w:cs="Times New Roman"/>
                <w:color w:val="auto"/>
                <w:spacing w:val="0"/>
                <w:w w:val="100"/>
                <w:kern w:val="2"/>
                <w:sz w:val="24"/>
                <w:szCs w:val="24"/>
                <w:lang w:val="en-US" w:eastAsia="zh-CN" w:bidi="ar"/>
              </w:rPr>
              <w:t>（</w:t>
            </w:r>
            <w:r>
              <w:rPr>
                <w:rFonts w:hint="default" w:ascii="Times New Roman" w:hAnsi="Times New Roman" w:eastAsia="宋体" w:cs="Times New Roman"/>
                <w:color w:val="auto"/>
                <w:spacing w:val="0"/>
                <w:w w:val="100"/>
                <w:kern w:val="2"/>
                <w:sz w:val="24"/>
                <w:szCs w:val="24"/>
                <w:lang w:val="en-US" w:eastAsia="zh-CN" w:bidi="ar"/>
              </w:rPr>
              <w:t>编号、</w:t>
            </w:r>
          </w:p>
          <w:p w14:paraId="1CFEBF73">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名称</w:t>
            </w:r>
            <w:r>
              <w:rPr>
                <w:rFonts w:hint="eastAsia" w:ascii="Times New Roman" w:hAnsi="Times New Roman" w:eastAsia="宋体" w:cs="Times New Roman"/>
                <w:color w:val="auto"/>
                <w:spacing w:val="0"/>
                <w:w w:val="100"/>
                <w:kern w:val="2"/>
                <w:sz w:val="24"/>
                <w:szCs w:val="24"/>
                <w:lang w:val="en-US" w:eastAsia="zh-CN" w:bidi="ar"/>
              </w:rPr>
              <w:t>）</w:t>
            </w:r>
            <w:r>
              <w:rPr>
                <w:rFonts w:hint="default" w:ascii="Times New Roman" w:hAnsi="Times New Roman" w:eastAsia="宋体" w:cs="Times New Roman"/>
                <w:color w:val="auto"/>
                <w:spacing w:val="0"/>
                <w:w w:val="100"/>
                <w:kern w:val="2"/>
                <w:sz w:val="24"/>
                <w:szCs w:val="24"/>
                <w:lang w:val="en-US" w:eastAsia="zh-CN" w:bidi="ar"/>
              </w:rPr>
              <w:t>/污染源</w:t>
            </w:r>
          </w:p>
        </w:tc>
        <w:tc>
          <w:tcPr>
            <w:tcW w:w="781" w:type="pct"/>
            <w:tcBorders>
              <w:top w:val="single" w:color="auto" w:sz="8" w:space="0"/>
              <w:left w:val="single" w:color="auto" w:sz="4" w:space="0"/>
              <w:bottom w:val="single" w:color="auto" w:sz="4" w:space="0"/>
              <w:right w:val="single" w:color="auto" w:sz="4" w:space="0"/>
            </w:tcBorders>
            <w:shd w:val="clear" w:color="auto" w:fill="auto"/>
            <w:vAlign w:val="center"/>
          </w:tcPr>
          <w:p w14:paraId="7D8E275C">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污染物项目</w:t>
            </w:r>
          </w:p>
        </w:tc>
        <w:tc>
          <w:tcPr>
            <w:tcW w:w="1405" w:type="pct"/>
            <w:tcBorders>
              <w:top w:val="single" w:color="auto" w:sz="8" w:space="0"/>
              <w:left w:val="single" w:color="auto" w:sz="4" w:space="0"/>
              <w:bottom w:val="single" w:color="auto" w:sz="4" w:space="0"/>
              <w:right w:val="single" w:color="auto" w:sz="4" w:space="0"/>
            </w:tcBorders>
            <w:shd w:val="clear" w:color="auto" w:fill="auto"/>
            <w:vAlign w:val="center"/>
          </w:tcPr>
          <w:p w14:paraId="47235CC1">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环境保护措施</w:t>
            </w:r>
          </w:p>
        </w:tc>
        <w:tc>
          <w:tcPr>
            <w:tcW w:w="1272" w:type="pct"/>
            <w:tcBorders>
              <w:top w:val="single" w:color="auto" w:sz="8" w:space="0"/>
              <w:left w:val="single" w:color="auto" w:sz="4" w:space="0"/>
              <w:bottom w:val="single" w:color="auto" w:sz="4" w:space="0"/>
              <w:right w:val="single" w:color="auto" w:sz="8" w:space="0"/>
            </w:tcBorders>
            <w:shd w:val="clear" w:color="auto" w:fill="auto"/>
            <w:vAlign w:val="center"/>
          </w:tcPr>
          <w:p w14:paraId="68C87D51">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执行标准</w:t>
            </w:r>
          </w:p>
        </w:tc>
      </w:tr>
      <w:tr w14:paraId="7CDF42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91" w:hRule="atLeast"/>
          <w:jc w:val="center"/>
        </w:trPr>
        <w:tc>
          <w:tcPr>
            <w:tcW w:w="594" w:type="pct"/>
            <w:tcBorders>
              <w:top w:val="single" w:color="auto" w:sz="4" w:space="0"/>
              <w:left w:val="single" w:color="auto" w:sz="8" w:space="0"/>
              <w:right w:val="single" w:color="auto" w:sz="4" w:space="0"/>
            </w:tcBorders>
            <w:shd w:val="clear" w:color="auto" w:fill="auto"/>
            <w:vAlign w:val="center"/>
          </w:tcPr>
          <w:p w14:paraId="202546BC">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大气环境</w:t>
            </w:r>
          </w:p>
        </w:tc>
        <w:tc>
          <w:tcPr>
            <w:tcW w:w="945" w:type="pct"/>
            <w:tcBorders>
              <w:top w:val="single" w:color="auto" w:sz="4" w:space="0"/>
              <w:left w:val="single" w:color="auto" w:sz="4" w:space="0"/>
              <w:right w:val="single" w:color="auto" w:sz="4" w:space="0"/>
            </w:tcBorders>
            <w:shd w:val="clear" w:color="auto" w:fill="auto"/>
            <w:vAlign w:val="center"/>
          </w:tcPr>
          <w:p w14:paraId="6B61A903">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排气筒</w:t>
            </w:r>
            <w:r>
              <w:rPr>
                <w:rFonts w:hint="eastAsia" w:ascii="Times New Roman" w:hAnsi="Times New Roman" w:eastAsia="宋体" w:cs="Times New Roman"/>
                <w:color w:val="auto"/>
                <w:spacing w:val="0"/>
                <w:w w:val="100"/>
                <w:sz w:val="24"/>
                <w:szCs w:val="24"/>
                <w:lang w:val="en-US" w:eastAsia="zh-CN"/>
              </w:rPr>
              <w:t>DA001</w:t>
            </w:r>
          </w:p>
        </w:tc>
        <w:tc>
          <w:tcPr>
            <w:tcW w:w="781" w:type="pct"/>
            <w:tcBorders>
              <w:top w:val="single" w:color="auto" w:sz="4" w:space="0"/>
              <w:left w:val="single" w:color="auto" w:sz="4" w:space="0"/>
              <w:right w:val="single" w:color="auto" w:sz="4" w:space="0"/>
            </w:tcBorders>
            <w:shd w:val="clear" w:color="auto" w:fill="auto"/>
            <w:vAlign w:val="center"/>
          </w:tcPr>
          <w:p w14:paraId="5B30BE78">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恶臭气体</w:t>
            </w:r>
          </w:p>
        </w:tc>
        <w:tc>
          <w:tcPr>
            <w:tcW w:w="1405" w:type="pct"/>
            <w:tcBorders>
              <w:top w:val="single" w:color="auto" w:sz="4" w:space="0"/>
              <w:left w:val="single" w:color="auto" w:sz="4" w:space="0"/>
              <w:right w:val="single" w:color="auto" w:sz="4" w:space="0"/>
            </w:tcBorders>
            <w:shd w:val="clear" w:color="auto" w:fill="auto"/>
            <w:vAlign w:val="center"/>
          </w:tcPr>
          <w:p w14:paraId="77F3AD3F">
            <w:pPr>
              <w:keepNext w:val="0"/>
              <w:keepLines w:val="0"/>
              <w:suppressLineNumbers w:val="0"/>
              <w:spacing w:before="31" w:beforeAutospacing="0" w:after="0" w:afterAutospacing="0" w:line="186" w:lineRule="auto"/>
              <w:ind w:left="0" w:right="0" w:firstLine="195" w:firstLineChars="0"/>
              <w:jc w:val="center"/>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主要恶臭产生构筑物经加盖密闭方式对臭气收集后经</w:t>
            </w:r>
            <w:r>
              <w:rPr>
                <w:rFonts w:hint="default" w:ascii="Times New Roman" w:hAnsi="Times New Roman" w:eastAsia="宋体" w:cs="Times New Roman"/>
                <w:color w:val="auto"/>
                <w:spacing w:val="0"/>
                <w:w w:val="100"/>
                <w:sz w:val="24"/>
                <w:szCs w:val="24"/>
                <w:lang w:eastAsia="zh-CN"/>
              </w:rPr>
              <w:t>生物</w:t>
            </w:r>
            <w:r>
              <w:rPr>
                <w:rFonts w:hint="default" w:ascii="Times New Roman" w:hAnsi="Times New Roman" w:eastAsia="宋体" w:cs="Times New Roman"/>
                <w:color w:val="auto"/>
                <w:spacing w:val="0"/>
                <w:w w:val="100"/>
                <w:sz w:val="24"/>
                <w:szCs w:val="24"/>
              </w:rPr>
              <w:t>除臭处理后由</w:t>
            </w:r>
            <w:r>
              <w:rPr>
                <w:rFonts w:hint="default" w:ascii="Times New Roman" w:hAnsi="Times New Roman" w:eastAsia="Times New Roman" w:cs="Times New Roman"/>
                <w:color w:val="auto"/>
                <w:spacing w:val="0"/>
                <w:w w:val="100"/>
                <w:sz w:val="24"/>
                <w:szCs w:val="24"/>
              </w:rPr>
              <w:t>15m</w:t>
            </w:r>
            <w:r>
              <w:rPr>
                <w:rFonts w:hint="default" w:ascii="Times New Roman" w:hAnsi="Times New Roman" w:eastAsia="宋体" w:cs="Times New Roman"/>
                <w:color w:val="auto"/>
                <w:spacing w:val="0"/>
                <w:w w:val="100"/>
                <w:sz w:val="24"/>
                <w:szCs w:val="24"/>
              </w:rPr>
              <w:t>高排气筒排放</w:t>
            </w:r>
          </w:p>
        </w:tc>
        <w:tc>
          <w:tcPr>
            <w:tcW w:w="1272" w:type="pct"/>
            <w:tcBorders>
              <w:top w:val="single" w:color="auto" w:sz="4" w:space="0"/>
              <w:left w:val="single" w:color="auto" w:sz="4" w:space="0"/>
              <w:right w:val="single" w:color="auto" w:sz="8" w:space="0"/>
            </w:tcBorders>
            <w:shd w:val="clear" w:color="auto" w:fill="auto"/>
            <w:vAlign w:val="center"/>
          </w:tcPr>
          <w:p w14:paraId="3BF1E4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185" w:lineRule="auto"/>
              <w:ind w:left="0" w:right="0"/>
              <w:jc w:val="center"/>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sz w:val="24"/>
                <w:szCs w:val="24"/>
              </w:rPr>
              <w:t>《恶臭污染物排放标准》（</w:t>
            </w:r>
            <w:r>
              <w:rPr>
                <w:rFonts w:hint="default" w:ascii="Times New Roman" w:hAnsi="Times New Roman" w:eastAsia="Times New Roman" w:cs="Times New Roman"/>
                <w:color w:val="auto"/>
                <w:spacing w:val="0"/>
                <w:w w:val="100"/>
                <w:sz w:val="24"/>
                <w:szCs w:val="24"/>
              </w:rPr>
              <w:t>GB14554-93</w:t>
            </w:r>
            <w:r>
              <w:rPr>
                <w:rFonts w:hint="default" w:ascii="Times New Roman" w:hAnsi="Times New Roman" w:eastAsia="宋体" w:cs="Times New Roman"/>
                <w:color w:val="auto"/>
                <w:spacing w:val="0"/>
                <w:w w:val="100"/>
                <w:sz w:val="24"/>
                <w:szCs w:val="24"/>
              </w:rPr>
              <w:t>）表</w:t>
            </w:r>
            <w:r>
              <w:rPr>
                <w:rFonts w:hint="default" w:ascii="Times New Roman" w:hAnsi="Times New Roman" w:eastAsia="Times New Roman" w:cs="Times New Roman"/>
                <w:color w:val="auto"/>
                <w:spacing w:val="0"/>
                <w:w w:val="100"/>
                <w:sz w:val="24"/>
                <w:szCs w:val="24"/>
              </w:rPr>
              <w:t>2</w:t>
            </w:r>
            <w:r>
              <w:rPr>
                <w:rFonts w:hint="default" w:ascii="Times New Roman" w:hAnsi="Times New Roman" w:eastAsia="宋体" w:cs="Times New Roman"/>
                <w:color w:val="auto"/>
                <w:spacing w:val="0"/>
                <w:w w:val="100"/>
                <w:sz w:val="24"/>
                <w:szCs w:val="24"/>
              </w:rPr>
              <w:t>排放限值。</w:t>
            </w:r>
          </w:p>
        </w:tc>
      </w:tr>
      <w:tr w14:paraId="4142AE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26" w:hRule="atLeast"/>
          <w:jc w:val="center"/>
        </w:trPr>
        <w:tc>
          <w:tcPr>
            <w:tcW w:w="594" w:type="pct"/>
            <w:tcBorders>
              <w:top w:val="single" w:color="auto" w:sz="4" w:space="0"/>
              <w:left w:val="single" w:color="auto" w:sz="8" w:space="0"/>
              <w:bottom w:val="single" w:color="auto" w:sz="4" w:space="0"/>
              <w:right w:val="single" w:color="auto" w:sz="4" w:space="0"/>
            </w:tcBorders>
            <w:shd w:val="clear" w:color="auto" w:fill="auto"/>
            <w:vAlign w:val="center"/>
          </w:tcPr>
          <w:p w14:paraId="060B1F2F">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地表水环境</w:t>
            </w:r>
          </w:p>
        </w:tc>
        <w:tc>
          <w:tcPr>
            <w:tcW w:w="945" w:type="pct"/>
            <w:tcBorders>
              <w:top w:val="single" w:color="auto" w:sz="4" w:space="0"/>
              <w:left w:val="single" w:color="auto" w:sz="4" w:space="0"/>
              <w:bottom w:val="single" w:color="auto" w:sz="4" w:space="0"/>
              <w:right w:val="single" w:color="auto" w:sz="4" w:space="0"/>
            </w:tcBorders>
            <w:shd w:val="clear" w:color="auto" w:fill="auto"/>
            <w:vAlign w:val="center"/>
          </w:tcPr>
          <w:p w14:paraId="45A4A3DE">
            <w:pPr>
              <w:keepNext w:val="0"/>
              <w:keepLines w:val="0"/>
              <w:suppressLineNumbers w:val="0"/>
              <w:spacing w:before="68" w:beforeAutospacing="0" w:after="0" w:afterAutospacing="0" w:line="186" w:lineRule="auto"/>
              <w:ind w:left="0" w:right="0" w:firstLine="151" w:firstLineChars="0"/>
              <w:jc w:val="center"/>
              <w:rPr>
                <w:rFonts w:hint="default" w:ascii="Times New Roman" w:hAnsi="Times New Roman" w:eastAsia="宋体" w:cs="Times New Roman"/>
                <w:color w:val="auto"/>
                <w:spacing w:val="0"/>
                <w:w w:val="100"/>
                <w:kern w:val="2"/>
                <w:sz w:val="24"/>
                <w:szCs w:val="24"/>
                <w:lang w:val="en-US" w:eastAsia="zh-CN" w:bidi="ar-SA"/>
              </w:rPr>
            </w:pPr>
            <w:r>
              <w:rPr>
                <w:rFonts w:hint="eastAsia" w:ascii="Times New Roman" w:hAnsi="Times New Roman" w:eastAsia="宋体" w:cs="Times New Roman"/>
                <w:color w:val="auto"/>
                <w:spacing w:val="0"/>
                <w:w w:val="100"/>
                <w:sz w:val="24"/>
                <w:szCs w:val="24"/>
                <w:lang w:eastAsia="zh-CN"/>
              </w:rPr>
              <w:t>污水处理厂</w:t>
            </w:r>
            <w:r>
              <w:rPr>
                <w:rFonts w:hint="default" w:ascii="Times New Roman" w:hAnsi="Times New Roman" w:eastAsia="宋体" w:cs="Times New Roman"/>
                <w:color w:val="auto"/>
                <w:spacing w:val="0"/>
                <w:w w:val="100"/>
                <w:sz w:val="24"/>
                <w:szCs w:val="24"/>
              </w:rPr>
              <w:t>排污口</w:t>
            </w:r>
          </w:p>
        </w:tc>
        <w:tc>
          <w:tcPr>
            <w:tcW w:w="781" w:type="pct"/>
            <w:tcBorders>
              <w:top w:val="single" w:color="auto" w:sz="4" w:space="0"/>
              <w:left w:val="single" w:color="auto" w:sz="4" w:space="0"/>
              <w:bottom w:val="single" w:color="auto" w:sz="4" w:space="0"/>
              <w:right w:val="single" w:color="auto" w:sz="4" w:space="0"/>
            </w:tcBorders>
            <w:shd w:val="clear" w:color="auto" w:fill="auto"/>
            <w:vAlign w:val="center"/>
          </w:tcPr>
          <w:p w14:paraId="50690CC7">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Times New Roman" w:cs="Times New Roman"/>
                <w:color w:val="auto"/>
                <w:spacing w:val="0"/>
                <w:w w:val="100"/>
                <w:kern w:val="2"/>
                <w:sz w:val="24"/>
                <w:szCs w:val="24"/>
                <w:lang w:val="en-US" w:eastAsia="zh-CN" w:bidi="ar-SA"/>
              </w:rPr>
            </w:pPr>
            <w:r>
              <w:rPr>
                <w:rFonts w:hint="default" w:ascii="Times New Roman" w:hAnsi="Times New Roman" w:eastAsia="Times New Roman" w:cs="Times New Roman"/>
                <w:color w:val="auto"/>
                <w:spacing w:val="0"/>
                <w:w w:val="100"/>
                <w:sz w:val="24"/>
                <w:szCs w:val="24"/>
              </w:rPr>
              <w:t>BOD</w:t>
            </w:r>
            <w:r>
              <w:rPr>
                <w:rFonts w:hint="default" w:ascii="Times New Roman" w:hAnsi="Times New Roman" w:eastAsia="Times New Roman" w:cs="Times New Roman"/>
                <w:color w:val="auto"/>
                <w:spacing w:val="0"/>
                <w:w w:val="100"/>
                <w:position w:val="-1"/>
                <w:sz w:val="24"/>
                <w:szCs w:val="24"/>
                <w:vertAlign w:val="subscript"/>
              </w:rPr>
              <w:t>5</w:t>
            </w:r>
            <w:r>
              <w:rPr>
                <w:rFonts w:hint="default" w:ascii="Times New Roman" w:hAnsi="Times New Roman" w:eastAsia="宋体" w:cs="Times New Roman"/>
                <w:color w:val="auto"/>
                <w:spacing w:val="0"/>
                <w:w w:val="100"/>
                <w:sz w:val="24"/>
                <w:szCs w:val="24"/>
              </w:rPr>
              <w:t>、</w:t>
            </w:r>
            <w:r>
              <w:rPr>
                <w:rFonts w:hint="default" w:ascii="Times New Roman" w:hAnsi="Times New Roman" w:eastAsia="Times New Roman" w:cs="Times New Roman"/>
                <w:color w:val="auto"/>
                <w:spacing w:val="0"/>
                <w:w w:val="100"/>
                <w:sz w:val="24"/>
                <w:szCs w:val="24"/>
              </w:rPr>
              <w:t>COD</w:t>
            </w:r>
            <w:r>
              <w:rPr>
                <w:rFonts w:hint="default" w:ascii="Times New Roman" w:hAnsi="Times New Roman" w:eastAsia="宋体" w:cs="Times New Roman"/>
                <w:color w:val="auto"/>
                <w:spacing w:val="0"/>
                <w:w w:val="100"/>
                <w:sz w:val="24"/>
                <w:szCs w:val="24"/>
              </w:rPr>
              <w:t>、</w:t>
            </w:r>
            <w:r>
              <w:rPr>
                <w:rFonts w:hint="default" w:ascii="Times New Roman" w:hAnsi="Times New Roman" w:eastAsia="Times New Roman" w:cs="Times New Roman"/>
                <w:color w:val="auto"/>
                <w:spacing w:val="0"/>
                <w:w w:val="100"/>
                <w:sz w:val="24"/>
                <w:szCs w:val="24"/>
              </w:rPr>
              <w:t>SS</w:t>
            </w:r>
            <w:r>
              <w:rPr>
                <w:rFonts w:hint="default" w:ascii="Times New Roman" w:hAnsi="Times New Roman" w:eastAsia="宋体" w:cs="Times New Roman"/>
                <w:color w:val="auto"/>
                <w:spacing w:val="0"/>
                <w:w w:val="100"/>
                <w:sz w:val="24"/>
                <w:szCs w:val="24"/>
                <w:lang w:val="en-US" w:eastAsia="zh-CN"/>
              </w:rPr>
              <w:t>、</w:t>
            </w:r>
            <w:r>
              <w:rPr>
                <w:rFonts w:hint="default" w:ascii="Times New Roman" w:hAnsi="Times New Roman" w:eastAsia="Times New Roman" w:cs="Times New Roman"/>
                <w:color w:val="auto"/>
                <w:spacing w:val="0"/>
                <w:w w:val="100"/>
                <w:sz w:val="24"/>
                <w:szCs w:val="24"/>
              </w:rPr>
              <w:t>NH</w:t>
            </w:r>
            <w:r>
              <w:rPr>
                <w:rFonts w:hint="default" w:ascii="Times New Roman" w:hAnsi="Times New Roman" w:eastAsia="Times New Roman" w:cs="Times New Roman"/>
                <w:color w:val="auto"/>
                <w:spacing w:val="0"/>
                <w:w w:val="100"/>
                <w:position w:val="-1"/>
                <w:sz w:val="24"/>
                <w:szCs w:val="24"/>
                <w:vertAlign w:val="subscript"/>
              </w:rPr>
              <w:t>3</w:t>
            </w:r>
            <w:r>
              <w:rPr>
                <w:rFonts w:hint="default" w:ascii="Times New Roman" w:hAnsi="Times New Roman" w:eastAsia="Times New Roman" w:cs="Times New Roman"/>
                <w:color w:val="auto"/>
                <w:spacing w:val="0"/>
                <w:w w:val="100"/>
                <w:sz w:val="24"/>
                <w:szCs w:val="24"/>
              </w:rPr>
              <w:t>-N</w:t>
            </w:r>
            <w:r>
              <w:rPr>
                <w:rFonts w:hint="default" w:ascii="Times New Roman" w:hAnsi="Times New Roman" w:eastAsia="宋体" w:cs="Times New Roman"/>
                <w:color w:val="auto"/>
                <w:spacing w:val="0"/>
                <w:w w:val="100"/>
                <w:sz w:val="24"/>
                <w:szCs w:val="24"/>
              </w:rPr>
              <w:t>、</w:t>
            </w:r>
            <w:r>
              <w:rPr>
                <w:rFonts w:hint="default" w:ascii="Times New Roman" w:hAnsi="Times New Roman" w:eastAsia="Times New Roman" w:cs="Times New Roman"/>
                <w:color w:val="auto"/>
                <w:spacing w:val="0"/>
                <w:w w:val="100"/>
                <w:sz w:val="24"/>
                <w:szCs w:val="24"/>
              </w:rPr>
              <w:t>T-N</w:t>
            </w:r>
            <w:r>
              <w:rPr>
                <w:rFonts w:hint="default" w:ascii="Times New Roman" w:hAnsi="Times New Roman" w:eastAsia="宋体" w:cs="Times New Roman"/>
                <w:color w:val="auto"/>
                <w:spacing w:val="0"/>
                <w:w w:val="100"/>
                <w:sz w:val="24"/>
                <w:szCs w:val="24"/>
              </w:rPr>
              <w:t>、</w:t>
            </w:r>
            <w:r>
              <w:rPr>
                <w:rFonts w:hint="default" w:ascii="Times New Roman" w:hAnsi="Times New Roman" w:eastAsia="Times New Roman" w:cs="Times New Roman"/>
                <w:color w:val="auto"/>
                <w:spacing w:val="0"/>
                <w:w w:val="100"/>
                <w:sz w:val="24"/>
                <w:szCs w:val="24"/>
              </w:rPr>
              <w:t>T-P</w:t>
            </w:r>
          </w:p>
        </w:tc>
        <w:tc>
          <w:tcPr>
            <w:tcW w:w="1405" w:type="pct"/>
            <w:tcBorders>
              <w:top w:val="single" w:color="auto" w:sz="4" w:space="0"/>
              <w:left w:val="single" w:color="auto" w:sz="4" w:space="0"/>
              <w:bottom w:val="single" w:color="auto" w:sz="4" w:space="0"/>
              <w:right w:val="single" w:color="auto" w:sz="4" w:space="0"/>
            </w:tcBorders>
            <w:shd w:val="clear" w:color="auto" w:fill="auto"/>
            <w:vAlign w:val="center"/>
          </w:tcPr>
          <w:p w14:paraId="5C5F0EC7">
            <w:pPr>
              <w:keepNext w:val="0"/>
              <w:keepLines w:val="0"/>
              <w:suppressLineNumbers w:val="0"/>
              <w:spacing w:before="43" w:beforeAutospacing="0" w:after="0" w:afterAutospacing="0" w:line="200" w:lineRule="auto"/>
              <w:ind w:left="0" w:right="0" w:firstLine="135" w:firstLineChars="0"/>
              <w:jc w:val="center"/>
              <w:rPr>
                <w:rFonts w:hint="default" w:ascii="Times New Roman" w:hAnsi="Times New Roman" w:eastAsia="宋体" w:cs="Times New Roman"/>
                <w:color w:val="auto"/>
                <w:spacing w:val="0"/>
                <w:w w:val="100"/>
                <w:kern w:val="2"/>
                <w:sz w:val="24"/>
                <w:szCs w:val="24"/>
                <w:lang w:val="en-US" w:eastAsia="zh-CN" w:bidi="ar-SA"/>
              </w:rPr>
            </w:pPr>
            <w:r>
              <w:rPr>
                <w:rFonts w:hint="default" w:ascii="Times New Roman" w:hAnsi="Times New Roman" w:eastAsia="宋体" w:cs="Times New Roman"/>
                <w:b w:val="0"/>
                <w:bCs w:val="0"/>
                <w:color w:val="auto"/>
                <w:spacing w:val="0"/>
                <w:w w:val="100"/>
                <w:sz w:val="24"/>
                <w:szCs w:val="24"/>
                <w:lang w:val="en-US" w:eastAsia="zh-CN"/>
              </w:rPr>
              <w:t>格栅+</w:t>
            </w:r>
            <w:r>
              <w:rPr>
                <w:rFonts w:hint="default" w:ascii="Times New Roman" w:hAnsi="Times New Roman" w:eastAsia="宋体" w:cs="Times New Roman"/>
                <w:b w:val="0"/>
                <w:bCs w:val="0"/>
                <w:color w:val="auto"/>
                <w:spacing w:val="0"/>
                <w:w w:val="100"/>
                <w:sz w:val="24"/>
                <w:szCs w:val="24"/>
                <w:highlight w:val="none"/>
                <w:lang w:val="en-US" w:eastAsia="zh-CN"/>
              </w:rPr>
              <w:t>沉砂池</w:t>
            </w:r>
            <w:r>
              <w:rPr>
                <w:rFonts w:hint="default" w:ascii="Times New Roman" w:hAnsi="Times New Roman" w:eastAsia="宋体" w:cs="Times New Roman"/>
                <w:b w:val="0"/>
                <w:bCs w:val="0"/>
                <w:color w:val="auto"/>
                <w:spacing w:val="0"/>
                <w:w w:val="100"/>
                <w:sz w:val="24"/>
                <w:szCs w:val="24"/>
                <w:lang w:val="en-US" w:eastAsia="zh-CN"/>
              </w:rPr>
              <w:t>+A</w:t>
            </w:r>
            <w:r>
              <w:rPr>
                <w:rFonts w:hint="default" w:ascii="Times New Roman" w:hAnsi="Times New Roman" w:eastAsia="宋体" w:cs="Times New Roman"/>
                <w:b w:val="0"/>
                <w:bCs w:val="0"/>
                <w:color w:val="auto"/>
                <w:spacing w:val="0"/>
                <w:w w:val="100"/>
                <w:sz w:val="24"/>
                <w:szCs w:val="24"/>
                <w:vertAlign w:val="superscript"/>
                <w:lang w:val="en-US" w:eastAsia="zh-CN"/>
              </w:rPr>
              <w:t>2</w:t>
            </w:r>
            <w:r>
              <w:rPr>
                <w:rFonts w:hint="default" w:ascii="Times New Roman" w:hAnsi="Times New Roman" w:eastAsia="宋体" w:cs="Times New Roman"/>
                <w:b w:val="0"/>
                <w:bCs w:val="0"/>
                <w:color w:val="auto"/>
                <w:spacing w:val="0"/>
                <w:w w:val="100"/>
                <w:sz w:val="24"/>
                <w:szCs w:val="24"/>
                <w:lang w:val="en-US" w:eastAsia="zh-CN"/>
              </w:rPr>
              <w:t>/O工艺+</w:t>
            </w:r>
            <w:r>
              <w:rPr>
                <w:rFonts w:hint="eastAsia" w:ascii="Times New Roman" w:hAnsi="Times New Roman" w:eastAsia="宋体" w:cs="Times New Roman"/>
                <w:b w:val="0"/>
                <w:bCs w:val="0"/>
                <w:color w:val="auto"/>
                <w:spacing w:val="0"/>
                <w:w w:val="100"/>
                <w:sz w:val="24"/>
                <w:szCs w:val="24"/>
                <w:lang w:val="en-US" w:eastAsia="zh-CN"/>
              </w:rPr>
              <w:t>MBR</w:t>
            </w:r>
            <w:r>
              <w:rPr>
                <w:rFonts w:hint="default" w:ascii="Times New Roman" w:hAnsi="Times New Roman" w:eastAsia="宋体" w:cs="Times New Roman"/>
                <w:b w:val="0"/>
                <w:bCs w:val="0"/>
                <w:color w:val="auto"/>
                <w:spacing w:val="0"/>
                <w:w w:val="100"/>
                <w:sz w:val="24"/>
                <w:szCs w:val="24"/>
                <w:lang w:val="en-US" w:eastAsia="zh-CN"/>
              </w:rPr>
              <w:t>池+接触消毒</w:t>
            </w:r>
          </w:p>
        </w:tc>
        <w:tc>
          <w:tcPr>
            <w:tcW w:w="1272" w:type="pct"/>
            <w:tcBorders>
              <w:top w:val="single" w:color="auto" w:sz="4" w:space="0"/>
              <w:left w:val="single" w:color="auto" w:sz="4" w:space="0"/>
              <w:bottom w:val="single" w:color="auto" w:sz="4" w:space="0"/>
              <w:right w:val="single" w:color="auto" w:sz="8" w:space="0"/>
            </w:tcBorders>
            <w:shd w:val="clear" w:color="auto" w:fill="auto"/>
            <w:vAlign w:val="center"/>
          </w:tcPr>
          <w:p w14:paraId="62528F8C">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kern w:val="2"/>
                <w:sz w:val="24"/>
                <w:szCs w:val="24"/>
                <w:lang w:val="en-US" w:eastAsia="zh-CN" w:bidi="ar-SA"/>
              </w:rPr>
            </w:pPr>
            <w:r>
              <w:rPr>
                <w:rFonts w:hint="default" w:ascii="Times New Roman" w:hAnsi="Times New Roman" w:eastAsia="宋体" w:cs="Times New Roman"/>
                <w:b w:val="0"/>
                <w:bCs w:val="0"/>
                <w:color w:val="auto"/>
                <w:spacing w:val="0"/>
                <w:w w:val="100"/>
                <w:sz w:val="24"/>
                <w:szCs w:val="24"/>
                <w:lang w:eastAsia="zh-CN"/>
              </w:rPr>
              <w:t>《陕西省黄河流域污水综合排放标准》（DB61/224-2018）表</w:t>
            </w:r>
            <w:r>
              <w:rPr>
                <w:rFonts w:hint="default" w:ascii="Times New Roman" w:hAnsi="Times New Roman" w:eastAsia="宋体" w:cs="Times New Roman"/>
                <w:b w:val="0"/>
                <w:bCs w:val="0"/>
                <w:color w:val="auto"/>
                <w:spacing w:val="0"/>
                <w:w w:val="100"/>
                <w:sz w:val="24"/>
                <w:szCs w:val="24"/>
                <w:lang w:val="en-US" w:eastAsia="zh-CN"/>
              </w:rPr>
              <w:t>1中A</w:t>
            </w:r>
            <w:r>
              <w:rPr>
                <w:rFonts w:hint="default" w:ascii="Times New Roman" w:hAnsi="Times New Roman" w:eastAsia="宋体" w:cs="Times New Roman"/>
                <w:b w:val="0"/>
                <w:bCs w:val="0"/>
                <w:color w:val="auto"/>
                <w:spacing w:val="0"/>
                <w:w w:val="100"/>
                <w:sz w:val="24"/>
                <w:szCs w:val="24"/>
                <w:lang w:eastAsia="zh-CN"/>
              </w:rPr>
              <w:t>标准</w:t>
            </w:r>
          </w:p>
        </w:tc>
      </w:tr>
      <w:tr w14:paraId="652103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91" w:hRule="atLeast"/>
          <w:jc w:val="center"/>
        </w:trPr>
        <w:tc>
          <w:tcPr>
            <w:tcW w:w="594" w:type="pct"/>
            <w:tcBorders>
              <w:top w:val="single" w:color="auto" w:sz="4" w:space="0"/>
              <w:left w:val="single" w:color="auto" w:sz="8" w:space="0"/>
              <w:bottom w:val="single" w:color="auto" w:sz="4" w:space="0"/>
              <w:right w:val="single" w:color="auto" w:sz="4" w:space="0"/>
            </w:tcBorders>
            <w:shd w:val="clear" w:color="auto" w:fill="auto"/>
            <w:vAlign w:val="center"/>
          </w:tcPr>
          <w:p w14:paraId="371E9AEE">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声环境</w:t>
            </w:r>
          </w:p>
        </w:tc>
        <w:tc>
          <w:tcPr>
            <w:tcW w:w="945" w:type="pct"/>
            <w:tcBorders>
              <w:top w:val="single" w:color="auto" w:sz="4" w:space="0"/>
              <w:left w:val="single" w:color="auto" w:sz="4" w:space="0"/>
              <w:bottom w:val="single" w:color="auto" w:sz="4" w:space="0"/>
              <w:right w:val="single" w:color="auto" w:sz="4" w:space="0"/>
            </w:tcBorders>
            <w:shd w:val="clear" w:color="auto" w:fill="auto"/>
            <w:vAlign w:val="center"/>
          </w:tcPr>
          <w:p w14:paraId="3702F1DA">
            <w:pPr>
              <w:keepNext w:val="0"/>
              <w:keepLines w:val="0"/>
              <w:suppressLineNumbers w:val="0"/>
              <w:spacing w:before="43" w:beforeAutospacing="0" w:after="0" w:afterAutospacing="0" w:line="200" w:lineRule="auto"/>
              <w:ind w:left="0" w:right="0" w:firstLine="135" w:firstLineChars="0"/>
              <w:jc w:val="center"/>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运行设备</w:t>
            </w:r>
          </w:p>
        </w:tc>
        <w:tc>
          <w:tcPr>
            <w:tcW w:w="781" w:type="pct"/>
            <w:tcBorders>
              <w:top w:val="single" w:color="auto" w:sz="4" w:space="0"/>
              <w:left w:val="single" w:color="auto" w:sz="4" w:space="0"/>
              <w:bottom w:val="single" w:color="auto" w:sz="4" w:space="0"/>
              <w:right w:val="single" w:color="auto" w:sz="4" w:space="0"/>
            </w:tcBorders>
            <w:shd w:val="clear" w:color="auto" w:fill="auto"/>
            <w:vAlign w:val="center"/>
          </w:tcPr>
          <w:p w14:paraId="2D8F2CF5">
            <w:pPr>
              <w:keepNext w:val="0"/>
              <w:keepLines w:val="0"/>
              <w:suppressLineNumbers w:val="0"/>
              <w:spacing w:before="43" w:beforeAutospacing="0" w:after="0" w:afterAutospacing="0" w:line="200" w:lineRule="auto"/>
              <w:ind w:left="0" w:right="0" w:firstLine="135" w:firstLineChars="0"/>
              <w:jc w:val="center"/>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噪声</w:t>
            </w:r>
          </w:p>
        </w:tc>
        <w:tc>
          <w:tcPr>
            <w:tcW w:w="1405" w:type="pct"/>
            <w:tcBorders>
              <w:top w:val="single" w:color="auto" w:sz="4" w:space="0"/>
              <w:left w:val="single" w:color="auto" w:sz="4" w:space="0"/>
              <w:bottom w:val="single" w:color="auto" w:sz="4" w:space="0"/>
              <w:right w:val="single" w:color="auto" w:sz="4" w:space="0"/>
            </w:tcBorders>
            <w:shd w:val="clear" w:color="auto" w:fill="auto"/>
            <w:vAlign w:val="center"/>
          </w:tcPr>
          <w:p w14:paraId="640F3D16">
            <w:pPr>
              <w:keepNext w:val="0"/>
              <w:keepLines w:val="0"/>
              <w:suppressLineNumbers w:val="0"/>
              <w:spacing w:before="43" w:beforeAutospacing="0" w:after="0" w:afterAutospacing="0" w:line="200" w:lineRule="auto"/>
              <w:ind w:left="0" w:right="0" w:firstLine="135" w:firstLineChars="0"/>
              <w:jc w:val="center"/>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选用低噪声设备、布置于地下，采取防振、减振、隔振等措施</w:t>
            </w:r>
          </w:p>
        </w:tc>
        <w:tc>
          <w:tcPr>
            <w:tcW w:w="1272" w:type="pct"/>
            <w:tcBorders>
              <w:top w:val="single" w:color="auto" w:sz="4" w:space="0"/>
              <w:left w:val="single" w:color="auto" w:sz="4" w:space="0"/>
              <w:bottom w:val="single" w:color="auto" w:sz="4" w:space="0"/>
              <w:right w:val="single" w:color="auto" w:sz="8" w:space="0"/>
            </w:tcBorders>
            <w:shd w:val="clear" w:color="auto" w:fill="auto"/>
            <w:vAlign w:val="center"/>
          </w:tcPr>
          <w:p w14:paraId="3A5BF45F">
            <w:pPr>
              <w:keepNext w:val="0"/>
              <w:keepLines w:val="0"/>
              <w:suppressLineNumbers w:val="0"/>
              <w:spacing w:before="43" w:beforeAutospacing="0" w:after="0" w:afterAutospacing="0" w:line="200" w:lineRule="auto"/>
              <w:ind w:left="0" w:right="0" w:firstLine="135" w:firstLineChars="0"/>
              <w:jc w:val="center"/>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《工业企业厂界环境噪声排放标准》（GB12348-2008）中</w:t>
            </w:r>
            <w:r>
              <w:rPr>
                <w:rFonts w:hint="eastAsia" w:ascii="Times New Roman" w:hAnsi="Times New Roman" w:eastAsia="宋体" w:cs="Times New Roman"/>
                <w:b w:val="0"/>
                <w:bCs w:val="0"/>
                <w:color w:val="auto"/>
                <w:spacing w:val="0"/>
                <w:w w:val="100"/>
                <w:sz w:val="24"/>
                <w:szCs w:val="24"/>
                <w:lang w:val="en-US" w:eastAsia="zh-CN"/>
              </w:rPr>
              <w:t>3</w:t>
            </w:r>
            <w:r>
              <w:rPr>
                <w:rFonts w:hint="default" w:ascii="Times New Roman" w:hAnsi="Times New Roman" w:eastAsia="宋体" w:cs="Times New Roman"/>
                <w:b w:val="0"/>
                <w:bCs w:val="0"/>
                <w:color w:val="auto"/>
                <w:spacing w:val="0"/>
                <w:w w:val="100"/>
                <w:sz w:val="24"/>
                <w:szCs w:val="24"/>
                <w:lang w:val="en-US" w:eastAsia="zh-CN"/>
              </w:rPr>
              <w:t>类标准的限值</w:t>
            </w:r>
          </w:p>
        </w:tc>
      </w:tr>
      <w:tr w14:paraId="0F0F17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78" w:hRule="atLeast"/>
          <w:jc w:val="center"/>
        </w:trPr>
        <w:tc>
          <w:tcPr>
            <w:tcW w:w="594" w:type="pct"/>
            <w:tcBorders>
              <w:top w:val="single" w:color="auto" w:sz="4" w:space="0"/>
              <w:left w:val="single" w:color="auto" w:sz="8" w:space="0"/>
              <w:bottom w:val="single" w:color="auto" w:sz="4" w:space="0"/>
              <w:right w:val="single" w:color="auto" w:sz="4" w:space="0"/>
            </w:tcBorders>
            <w:shd w:val="clear" w:color="auto" w:fill="auto"/>
            <w:vAlign w:val="center"/>
          </w:tcPr>
          <w:p w14:paraId="4EAFE32A">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电磁辐射</w:t>
            </w:r>
          </w:p>
        </w:tc>
        <w:tc>
          <w:tcPr>
            <w:tcW w:w="945" w:type="pct"/>
            <w:tcBorders>
              <w:top w:val="single" w:color="auto" w:sz="4" w:space="0"/>
              <w:left w:val="single" w:color="auto" w:sz="4" w:space="0"/>
              <w:right w:val="single" w:color="auto" w:sz="4" w:space="0"/>
            </w:tcBorders>
            <w:shd w:val="clear" w:color="auto" w:fill="auto"/>
            <w:vAlign w:val="center"/>
          </w:tcPr>
          <w:p w14:paraId="50576DFC">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w:t>
            </w:r>
          </w:p>
        </w:tc>
        <w:tc>
          <w:tcPr>
            <w:tcW w:w="781" w:type="pct"/>
            <w:tcBorders>
              <w:top w:val="single" w:color="auto" w:sz="4" w:space="0"/>
              <w:left w:val="single" w:color="auto" w:sz="4" w:space="0"/>
              <w:right w:val="single" w:color="auto" w:sz="4" w:space="0"/>
            </w:tcBorders>
            <w:shd w:val="clear" w:color="auto" w:fill="auto"/>
            <w:vAlign w:val="center"/>
          </w:tcPr>
          <w:p w14:paraId="1F32112D">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sz w:val="24"/>
                <w:szCs w:val="24"/>
                <w:lang w:val="en-US" w:eastAsia="zh-CN"/>
              </w:rPr>
              <w:t>/</w:t>
            </w:r>
          </w:p>
        </w:tc>
        <w:tc>
          <w:tcPr>
            <w:tcW w:w="1405" w:type="pct"/>
            <w:tcBorders>
              <w:top w:val="single" w:color="auto" w:sz="4" w:space="0"/>
              <w:left w:val="single" w:color="auto" w:sz="4" w:space="0"/>
              <w:right w:val="single" w:color="auto" w:sz="4" w:space="0"/>
            </w:tcBorders>
            <w:shd w:val="clear" w:color="auto" w:fill="auto"/>
            <w:vAlign w:val="center"/>
          </w:tcPr>
          <w:p w14:paraId="1B15735E">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sz w:val="24"/>
                <w:szCs w:val="24"/>
                <w:lang w:val="en-US" w:eastAsia="zh-CN"/>
              </w:rPr>
              <w:t>/</w:t>
            </w:r>
          </w:p>
        </w:tc>
        <w:tc>
          <w:tcPr>
            <w:tcW w:w="1272" w:type="pct"/>
            <w:tcBorders>
              <w:top w:val="single" w:color="auto" w:sz="4" w:space="0"/>
              <w:left w:val="single" w:color="auto" w:sz="4" w:space="0"/>
              <w:bottom w:val="single" w:color="auto" w:sz="4" w:space="0"/>
              <w:right w:val="single" w:color="auto" w:sz="8" w:space="0"/>
            </w:tcBorders>
            <w:shd w:val="clear" w:color="auto" w:fill="auto"/>
            <w:vAlign w:val="center"/>
          </w:tcPr>
          <w:p w14:paraId="27888720">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sz w:val="24"/>
                <w:szCs w:val="24"/>
                <w:lang w:val="en-US" w:eastAsia="zh-CN"/>
              </w:rPr>
              <w:t>/</w:t>
            </w:r>
          </w:p>
        </w:tc>
      </w:tr>
      <w:tr w14:paraId="380083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78" w:hRule="atLeast"/>
          <w:jc w:val="center"/>
        </w:trPr>
        <w:tc>
          <w:tcPr>
            <w:tcW w:w="594" w:type="pct"/>
            <w:tcBorders>
              <w:top w:val="single" w:color="auto" w:sz="4" w:space="0"/>
              <w:left w:val="single" w:color="auto" w:sz="8" w:space="0"/>
              <w:bottom w:val="single" w:color="auto" w:sz="4" w:space="0"/>
              <w:right w:val="single" w:color="auto" w:sz="4" w:space="0"/>
            </w:tcBorders>
            <w:shd w:val="clear" w:color="auto" w:fill="auto"/>
            <w:vAlign w:val="center"/>
          </w:tcPr>
          <w:p w14:paraId="19C75967">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固体废物</w:t>
            </w:r>
          </w:p>
        </w:tc>
        <w:tc>
          <w:tcPr>
            <w:tcW w:w="4405"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43783A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cs="Times New Roman"/>
                <w:color w:val="auto"/>
                <w:spacing w:val="0"/>
                <w:w w:val="100"/>
                <w:sz w:val="24"/>
                <w:szCs w:val="24"/>
              </w:rPr>
              <w:t>一般固废暂存设施</w:t>
            </w:r>
            <w:r>
              <w:rPr>
                <w:rFonts w:hint="default"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rPr>
              <w:t>生活垃圾收集设施</w:t>
            </w:r>
            <w:r>
              <w:rPr>
                <w:rFonts w:hint="default"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rPr>
              <w:t>一般工业固废</w:t>
            </w:r>
            <w:r>
              <w:rPr>
                <w:rFonts w:hint="default" w:ascii="Times New Roman" w:hAnsi="Times New Roman" w:cs="Times New Roman"/>
                <w:color w:val="auto"/>
                <w:spacing w:val="0"/>
                <w:w w:val="100"/>
                <w:sz w:val="24"/>
                <w:szCs w:val="24"/>
                <w:lang w:eastAsia="zh-CN"/>
              </w:rPr>
              <w:t>暂存设施</w:t>
            </w:r>
            <w:r>
              <w:rPr>
                <w:rFonts w:hint="default" w:ascii="Times New Roman" w:hAnsi="Times New Roman" w:cs="Times New Roman"/>
                <w:color w:val="auto"/>
                <w:spacing w:val="0"/>
                <w:w w:val="100"/>
                <w:sz w:val="24"/>
                <w:szCs w:val="24"/>
              </w:rPr>
              <w:t>应满足相应防</w:t>
            </w:r>
            <w:r>
              <w:rPr>
                <w:rFonts w:hint="default" w:ascii="Times New Roman" w:hAnsi="Times New Roman" w:eastAsia="宋体" w:cs="Times New Roman"/>
                <w:color w:val="auto"/>
                <w:spacing w:val="0"/>
                <w:w w:val="100"/>
                <w:sz w:val="24"/>
                <w:szCs w:val="24"/>
              </w:rPr>
              <w:t>渗漏、防雨淋、防扬尘等环境保护要求。</w:t>
            </w:r>
          </w:p>
          <w:p w14:paraId="2F16662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危险固废</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在线监测废液由桶装后暂存于</w:t>
            </w:r>
            <w:r>
              <w:rPr>
                <w:rFonts w:hint="default" w:ascii="Times New Roman" w:hAnsi="Times New Roman" w:eastAsia="宋体" w:cs="Times New Roman"/>
                <w:color w:val="auto"/>
                <w:spacing w:val="0"/>
                <w:w w:val="100"/>
                <w:sz w:val="24"/>
                <w:szCs w:val="24"/>
                <w:lang w:val="en-US" w:eastAsia="zh-CN"/>
              </w:rPr>
              <w:t>2</w:t>
            </w:r>
            <w:r>
              <w:rPr>
                <w:rFonts w:hint="default" w:ascii="Times New Roman" w:hAnsi="Times New Roman" w:eastAsia="宋体" w:cs="Times New Roman"/>
                <w:color w:val="auto"/>
                <w:spacing w:val="0"/>
                <w:w w:val="100"/>
                <w:sz w:val="24"/>
                <w:szCs w:val="24"/>
              </w:rPr>
              <w:t>5m</w:t>
            </w:r>
            <w:r>
              <w:rPr>
                <w:rFonts w:hint="default" w:ascii="Times New Roman" w:hAnsi="Times New Roman" w:eastAsia="宋体" w:cs="Times New Roman"/>
                <w:color w:val="auto"/>
                <w:spacing w:val="0"/>
                <w:w w:val="100"/>
                <w:sz w:val="24"/>
                <w:szCs w:val="24"/>
                <w:vertAlign w:val="superscript"/>
              </w:rPr>
              <w:t>2</w:t>
            </w:r>
            <w:r>
              <w:rPr>
                <w:rFonts w:hint="default" w:ascii="Times New Roman" w:hAnsi="Times New Roman" w:eastAsia="宋体" w:cs="Times New Roman"/>
                <w:color w:val="auto"/>
                <w:spacing w:val="0"/>
                <w:w w:val="100"/>
                <w:sz w:val="24"/>
                <w:szCs w:val="24"/>
              </w:rPr>
              <w:t>危废暂存间，桶下放置托盘，</w:t>
            </w:r>
            <w:r>
              <w:rPr>
                <w:rFonts w:hint="default" w:ascii="Times New Roman" w:hAnsi="Times New Roman" w:cs="Times New Roman"/>
                <w:color w:val="auto"/>
                <w:spacing w:val="0"/>
                <w:w w:val="100"/>
                <w:sz w:val="24"/>
                <w:szCs w:val="24"/>
              </w:rPr>
              <w:t>交由有资质单位处理。</w:t>
            </w:r>
          </w:p>
        </w:tc>
      </w:tr>
      <w:tr w14:paraId="44FFE5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55" w:hRule="atLeast"/>
          <w:jc w:val="center"/>
        </w:trPr>
        <w:tc>
          <w:tcPr>
            <w:tcW w:w="594" w:type="pct"/>
            <w:tcBorders>
              <w:top w:val="single" w:color="auto" w:sz="4" w:space="0"/>
              <w:left w:val="single" w:color="auto" w:sz="8" w:space="0"/>
              <w:bottom w:val="single" w:color="auto" w:sz="4" w:space="0"/>
              <w:right w:val="single" w:color="auto" w:sz="4" w:space="0"/>
            </w:tcBorders>
            <w:shd w:val="clear" w:color="auto" w:fill="auto"/>
            <w:vAlign w:val="center"/>
          </w:tcPr>
          <w:p w14:paraId="101C1194">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土壤及地下水污染防治措施</w:t>
            </w:r>
          </w:p>
        </w:tc>
        <w:tc>
          <w:tcPr>
            <w:tcW w:w="4405"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6B3AE38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采取</w:t>
            </w:r>
            <w:r>
              <w:rPr>
                <w:rFonts w:hint="default" w:ascii="Times New Roman" w:hAnsi="Times New Roman" w:eastAsia="Times New Roman" w:cs="Times New Roman"/>
                <w:color w:val="auto"/>
                <w:spacing w:val="0"/>
                <w:w w:val="100"/>
                <w:sz w:val="24"/>
                <w:szCs w:val="24"/>
              </w:rPr>
              <w:t>“</w:t>
            </w:r>
            <w:r>
              <w:rPr>
                <w:rFonts w:hint="default" w:ascii="Times New Roman" w:hAnsi="Times New Roman" w:eastAsia="宋体" w:cs="Times New Roman"/>
                <w:color w:val="auto"/>
                <w:spacing w:val="0"/>
                <w:w w:val="100"/>
                <w:sz w:val="24"/>
                <w:szCs w:val="24"/>
              </w:rPr>
              <w:t>源头控制</w:t>
            </w:r>
            <w:r>
              <w:rPr>
                <w:rFonts w:hint="default" w:ascii="Times New Roman" w:hAnsi="Times New Roman" w:eastAsia="Times New Roman" w:cs="Times New Roman"/>
                <w:color w:val="auto"/>
                <w:spacing w:val="0"/>
                <w:w w:val="100"/>
                <w:sz w:val="24"/>
                <w:szCs w:val="24"/>
              </w:rPr>
              <w:t>+</w:t>
            </w:r>
            <w:r>
              <w:rPr>
                <w:rFonts w:hint="default" w:ascii="Times New Roman" w:hAnsi="Times New Roman" w:eastAsia="宋体" w:cs="Times New Roman"/>
                <w:color w:val="auto"/>
                <w:spacing w:val="0"/>
                <w:w w:val="100"/>
                <w:sz w:val="24"/>
                <w:szCs w:val="24"/>
              </w:rPr>
              <w:t>分区防控</w:t>
            </w:r>
            <w:r>
              <w:rPr>
                <w:rFonts w:hint="default" w:ascii="Times New Roman" w:hAnsi="Times New Roman" w:eastAsia="Times New Roman" w:cs="Times New Roman"/>
                <w:color w:val="auto"/>
                <w:spacing w:val="0"/>
                <w:w w:val="100"/>
                <w:sz w:val="24"/>
                <w:szCs w:val="24"/>
              </w:rPr>
              <w:t>”</w:t>
            </w:r>
            <w:r>
              <w:rPr>
                <w:rFonts w:hint="default" w:ascii="Times New Roman" w:hAnsi="Times New Roman" w:eastAsia="宋体" w:cs="Times New Roman"/>
                <w:color w:val="auto"/>
                <w:spacing w:val="0"/>
                <w:w w:val="100"/>
                <w:sz w:val="24"/>
                <w:szCs w:val="24"/>
              </w:rPr>
              <w:t>措施，土壤采取</w:t>
            </w:r>
            <w:r>
              <w:rPr>
                <w:rFonts w:hint="default" w:ascii="Times New Roman" w:hAnsi="Times New Roman" w:eastAsia="Times New Roman" w:cs="Times New Roman"/>
                <w:color w:val="auto"/>
                <w:spacing w:val="0"/>
                <w:w w:val="100"/>
                <w:sz w:val="24"/>
                <w:szCs w:val="24"/>
              </w:rPr>
              <w:t>“</w:t>
            </w:r>
            <w:r>
              <w:rPr>
                <w:rFonts w:hint="default" w:ascii="Times New Roman" w:hAnsi="Times New Roman" w:eastAsia="宋体" w:cs="Times New Roman"/>
                <w:color w:val="auto"/>
                <w:spacing w:val="0"/>
                <w:w w:val="100"/>
                <w:sz w:val="24"/>
                <w:szCs w:val="24"/>
              </w:rPr>
              <w:t>源头控制</w:t>
            </w:r>
            <w:r>
              <w:rPr>
                <w:rFonts w:hint="default" w:ascii="Times New Roman" w:hAnsi="Times New Roman" w:eastAsia="Times New Roman" w:cs="Times New Roman"/>
                <w:color w:val="auto"/>
                <w:spacing w:val="0"/>
                <w:w w:val="100"/>
                <w:sz w:val="24"/>
                <w:szCs w:val="24"/>
              </w:rPr>
              <w:t>+</w:t>
            </w:r>
            <w:r>
              <w:rPr>
                <w:rFonts w:hint="default" w:ascii="Times New Roman" w:hAnsi="Times New Roman" w:eastAsia="宋体" w:cs="Times New Roman"/>
                <w:color w:val="auto"/>
                <w:spacing w:val="0"/>
                <w:w w:val="100"/>
                <w:sz w:val="24"/>
                <w:szCs w:val="24"/>
              </w:rPr>
              <w:t>过程防控</w:t>
            </w:r>
            <w:r>
              <w:rPr>
                <w:rFonts w:hint="default" w:ascii="Times New Roman" w:hAnsi="Times New Roman" w:eastAsia="Times New Roman" w:cs="Times New Roman"/>
                <w:color w:val="auto"/>
                <w:spacing w:val="0"/>
                <w:w w:val="100"/>
                <w:sz w:val="24"/>
                <w:szCs w:val="24"/>
              </w:rPr>
              <w:t>”</w:t>
            </w:r>
            <w:r>
              <w:rPr>
                <w:rFonts w:hint="default" w:ascii="Times New Roman" w:hAnsi="Times New Roman" w:eastAsia="宋体" w:cs="Times New Roman"/>
                <w:color w:val="auto"/>
                <w:spacing w:val="0"/>
                <w:w w:val="100"/>
                <w:sz w:val="24"/>
                <w:szCs w:val="24"/>
              </w:rPr>
              <w:t>措施。运营期加强管理，杜绝油类物质跑、冒、滴、漏。</w:t>
            </w:r>
          </w:p>
          <w:p w14:paraId="47DB12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重点防渗区：所有废水、污泥处理构筑物采取水泥基渗透结晶抗渗混凝土（厚度</w:t>
            </w:r>
            <w:r>
              <w:rPr>
                <w:rFonts w:hint="eastAsia" w:ascii="Times New Roman" w:hAnsi="Times New Roman" w:eastAsia="宋体" w:cs="Times New Roman"/>
                <w:color w:val="auto"/>
                <w:spacing w:val="0"/>
                <w:w w:val="100"/>
                <w:sz w:val="24"/>
                <w:szCs w:val="24"/>
                <w:lang w:eastAsia="zh-CN"/>
              </w:rPr>
              <w:t>不宜</w:t>
            </w:r>
            <w:r>
              <w:rPr>
                <w:rFonts w:hint="default" w:ascii="Times New Roman" w:hAnsi="Times New Roman" w:eastAsia="宋体" w:cs="Times New Roman"/>
                <w:color w:val="auto"/>
                <w:spacing w:val="0"/>
                <w:w w:val="100"/>
                <w:sz w:val="24"/>
                <w:szCs w:val="24"/>
              </w:rPr>
              <w:t>小于</w:t>
            </w:r>
            <w:r>
              <w:rPr>
                <w:rFonts w:hint="default" w:ascii="Times New Roman" w:hAnsi="Times New Roman" w:eastAsia="Times New Roman" w:cs="Times New Roman"/>
                <w:color w:val="auto"/>
                <w:spacing w:val="0"/>
                <w:w w:val="100"/>
                <w:sz w:val="24"/>
                <w:szCs w:val="24"/>
              </w:rPr>
              <w:t>150mm</w:t>
            </w:r>
            <w:r>
              <w:rPr>
                <w:rFonts w:hint="default" w:ascii="Times New Roman" w:hAnsi="Times New Roman" w:eastAsia="宋体" w:cs="Times New Roman"/>
                <w:color w:val="auto"/>
                <w:spacing w:val="0"/>
                <w:w w:val="100"/>
                <w:sz w:val="24"/>
                <w:szCs w:val="24"/>
              </w:rPr>
              <w:t>）</w:t>
            </w:r>
            <w:r>
              <w:rPr>
                <w:rFonts w:hint="default" w:ascii="Times New Roman" w:hAnsi="Times New Roman" w:eastAsia="Times New Roman" w:cs="Times New Roman"/>
                <w:color w:val="auto"/>
                <w:spacing w:val="0"/>
                <w:w w:val="100"/>
                <w:sz w:val="24"/>
                <w:szCs w:val="24"/>
              </w:rPr>
              <w:t>+</w:t>
            </w:r>
            <w:r>
              <w:rPr>
                <w:rFonts w:hint="default" w:ascii="Times New Roman" w:hAnsi="Times New Roman" w:eastAsia="宋体" w:cs="Times New Roman"/>
                <w:color w:val="auto"/>
                <w:spacing w:val="0"/>
                <w:w w:val="100"/>
                <w:sz w:val="24"/>
                <w:szCs w:val="24"/>
              </w:rPr>
              <w:t>水泥基渗透结晶型防渗涂层（厚度不小于</w:t>
            </w:r>
            <w:r>
              <w:rPr>
                <w:rFonts w:hint="default" w:ascii="Times New Roman" w:hAnsi="Times New Roman" w:eastAsia="Times New Roman" w:cs="Times New Roman"/>
                <w:color w:val="auto"/>
                <w:spacing w:val="0"/>
                <w:w w:val="100"/>
                <w:sz w:val="24"/>
                <w:szCs w:val="24"/>
              </w:rPr>
              <w:t>0.8mm</w:t>
            </w:r>
            <w:r>
              <w:rPr>
                <w:rFonts w:hint="default" w:ascii="Times New Roman" w:hAnsi="Times New Roman" w:eastAsia="宋体" w:cs="Times New Roman"/>
                <w:color w:val="auto"/>
                <w:spacing w:val="0"/>
                <w:w w:val="100"/>
                <w:sz w:val="24"/>
                <w:szCs w:val="24"/>
              </w:rPr>
              <w:t>）</w:t>
            </w:r>
            <w:r>
              <w:rPr>
                <w:rFonts w:hint="default" w:ascii="Times New Roman" w:hAnsi="Times New Roman" w:eastAsia="Times New Roman" w:cs="Times New Roman"/>
                <w:color w:val="auto"/>
                <w:spacing w:val="0"/>
                <w:w w:val="100"/>
                <w:sz w:val="24"/>
                <w:szCs w:val="24"/>
              </w:rPr>
              <w:t>+HDPE</w:t>
            </w:r>
            <w:r>
              <w:rPr>
                <w:rFonts w:hint="default" w:ascii="Times New Roman" w:hAnsi="Times New Roman" w:eastAsia="宋体" w:cs="Times New Roman"/>
                <w:color w:val="auto"/>
                <w:spacing w:val="0"/>
                <w:w w:val="100"/>
                <w:sz w:val="24"/>
                <w:szCs w:val="24"/>
              </w:rPr>
              <w:t>土工膜（厚度不小于</w:t>
            </w:r>
            <w:r>
              <w:rPr>
                <w:rFonts w:hint="default" w:ascii="Times New Roman" w:hAnsi="Times New Roman" w:eastAsia="Times New Roman" w:cs="Times New Roman"/>
                <w:color w:val="auto"/>
                <w:spacing w:val="0"/>
                <w:w w:val="100"/>
                <w:sz w:val="24"/>
                <w:szCs w:val="24"/>
              </w:rPr>
              <w:t>1.5mm</w:t>
            </w:r>
            <w:r>
              <w:rPr>
                <w:rFonts w:hint="default" w:ascii="Times New Roman" w:hAnsi="Times New Roman" w:eastAsia="宋体" w:cs="Times New Roman"/>
                <w:color w:val="auto"/>
                <w:spacing w:val="0"/>
                <w:w w:val="100"/>
                <w:sz w:val="24"/>
                <w:szCs w:val="24"/>
              </w:rPr>
              <w:t>）结构形式，达到等效黏土防渗层</w:t>
            </w:r>
            <w:r>
              <w:rPr>
                <w:rFonts w:hint="default" w:ascii="Times New Roman" w:hAnsi="Times New Roman" w:eastAsia="Times New Roman" w:cs="Times New Roman"/>
                <w:color w:val="auto"/>
                <w:spacing w:val="0"/>
                <w:w w:val="100"/>
                <w:sz w:val="24"/>
                <w:szCs w:val="24"/>
              </w:rPr>
              <w:t>Mb≥6.0m</w:t>
            </w:r>
            <w:r>
              <w:rPr>
                <w:rFonts w:hint="default" w:ascii="Times New Roman" w:hAnsi="Times New Roman" w:eastAsia="宋体" w:cs="Times New Roman"/>
                <w:color w:val="auto"/>
                <w:spacing w:val="0"/>
                <w:w w:val="100"/>
                <w:sz w:val="24"/>
                <w:szCs w:val="24"/>
              </w:rPr>
              <w:t>、</w:t>
            </w:r>
            <w:r>
              <w:rPr>
                <w:rFonts w:hint="default" w:ascii="Times New Roman" w:hAnsi="Times New Roman" w:eastAsia="Times New Roman" w:cs="Times New Roman"/>
                <w:color w:val="auto"/>
                <w:spacing w:val="0"/>
                <w:w w:val="100"/>
                <w:sz w:val="24"/>
                <w:szCs w:val="24"/>
              </w:rPr>
              <w:t>K≤10</w:t>
            </w:r>
            <w:r>
              <w:rPr>
                <w:rFonts w:hint="default" w:ascii="Times New Roman" w:hAnsi="Times New Roman" w:eastAsia="Times New Roman" w:cs="Times New Roman"/>
                <w:color w:val="auto"/>
                <w:spacing w:val="0"/>
                <w:w w:val="100"/>
                <w:sz w:val="24"/>
                <w:szCs w:val="24"/>
                <w:vertAlign w:val="superscript"/>
              </w:rPr>
              <w:t>-</w:t>
            </w:r>
            <w:r>
              <w:rPr>
                <w:rFonts w:hint="default" w:ascii="Times New Roman" w:hAnsi="Times New Roman" w:eastAsia="Times New Roman" w:cs="Times New Roman"/>
                <w:color w:val="auto"/>
                <w:spacing w:val="0"/>
                <w:w w:val="100"/>
                <w:sz w:val="24"/>
                <w:szCs w:val="24"/>
                <w:vertAlign w:val="superscript"/>
                <w:lang w:val="en-US" w:eastAsia="zh-CN"/>
              </w:rPr>
              <w:t>10</w:t>
            </w:r>
            <w:r>
              <w:rPr>
                <w:rFonts w:hint="default" w:ascii="Times New Roman" w:hAnsi="Times New Roman" w:eastAsia="Times New Roman" w:cs="Times New Roman"/>
                <w:color w:val="auto"/>
                <w:spacing w:val="0"/>
                <w:w w:val="100"/>
                <w:sz w:val="24"/>
                <w:szCs w:val="24"/>
              </w:rPr>
              <w:t>cm/s</w:t>
            </w:r>
            <w:r>
              <w:rPr>
                <w:rFonts w:hint="default" w:ascii="Times New Roman" w:hAnsi="Times New Roman" w:eastAsia="宋体" w:cs="Times New Roman"/>
                <w:color w:val="auto"/>
                <w:spacing w:val="0"/>
                <w:w w:val="100"/>
                <w:sz w:val="24"/>
                <w:szCs w:val="24"/>
              </w:rPr>
              <w:t>的要求。</w:t>
            </w:r>
          </w:p>
          <w:p w14:paraId="6A5B71C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一般防渗区：在线监测仪表间、变配电间做地面一般防渗，采取粘土铺底，再在上层铺</w:t>
            </w:r>
            <w:r>
              <w:rPr>
                <w:rFonts w:hint="default" w:ascii="Times New Roman" w:hAnsi="Times New Roman" w:eastAsia="Times New Roman" w:cs="Times New Roman"/>
                <w:color w:val="auto"/>
                <w:spacing w:val="0"/>
                <w:w w:val="100"/>
                <w:sz w:val="24"/>
                <w:szCs w:val="24"/>
              </w:rPr>
              <w:t>20cm</w:t>
            </w:r>
            <w:r>
              <w:rPr>
                <w:rFonts w:hint="default" w:ascii="Times New Roman" w:hAnsi="Times New Roman" w:eastAsia="宋体" w:cs="Times New Roman"/>
                <w:color w:val="auto"/>
                <w:spacing w:val="0"/>
                <w:w w:val="100"/>
                <w:sz w:val="24"/>
                <w:szCs w:val="24"/>
              </w:rPr>
              <w:t>的钢筋混凝土进行硬化，渗透系数</w:t>
            </w:r>
            <w:r>
              <w:rPr>
                <w:rFonts w:hint="default" w:ascii="Times New Roman" w:hAnsi="Times New Roman" w:eastAsia="Times New Roman" w:cs="Times New Roman"/>
                <w:color w:val="auto"/>
                <w:spacing w:val="0"/>
                <w:w w:val="100"/>
                <w:sz w:val="24"/>
                <w:szCs w:val="24"/>
              </w:rPr>
              <w:t>K≤1</w:t>
            </w:r>
            <w:r>
              <w:rPr>
                <w:rFonts w:hint="default" w:ascii="Times New Roman" w:hAnsi="Times New Roman" w:eastAsia="宋体" w:cs="Times New Roman"/>
                <w:color w:val="auto"/>
                <w:spacing w:val="0"/>
                <w:w w:val="100"/>
                <w:sz w:val="24"/>
                <w:szCs w:val="24"/>
              </w:rPr>
              <w:t>×10</w:t>
            </w:r>
            <w:r>
              <w:rPr>
                <w:rFonts w:hint="default" w:ascii="Times New Roman" w:hAnsi="Times New Roman" w:eastAsia="宋体" w:cs="Times New Roman"/>
                <w:color w:val="auto"/>
                <w:spacing w:val="0"/>
                <w:w w:val="100"/>
                <w:sz w:val="24"/>
                <w:szCs w:val="24"/>
                <w:vertAlign w:val="superscript"/>
              </w:rPr>
              <w:t>-7</w:t>
            </w:r>
            <w:r>
              <w:rPr>
                <w:rFonts w:hint="default" w:ascii="Times New Roman" w:hAnsi="Times New Roman" w:eastAsia="宋体" w:cs="Times New Roman"/>
                <w:color w:val="auto"/>
                <w:spacing w:val="0"/>
                <w:w w:val="100"/>
                <w:sz w:val="24"/>
                <w:szCs w:val="24"/>
              </w:rPr>
              <w:t>cm/s。</w:t>
            </w:r>
          </w:p>
          <w:p w14:paraId="43A5851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简单防渗区：厂区综合楼、鼓风机房、厂区道路进行一般水泥硬化。</w:t>
            </w:r>
          </w:p>
        </w:tc>
      </w:tr>
      <w:tr w14:paraId="08BF30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12" w:hRule="atLeast"/>
          <w:jc w:val="center"/>
        </w:trPr>
        <w:tc>
          <w:tcPr>
            <w:tcW w:w="594" w:type="pct"/>
            <w:tcBorders>
              <w:top w:val="single" w:color="auto" w:sz="4" w:space="0"/>
              <w:left w:val="single" w:color="auto" w:sz="8" w:space="0"/>
              <w:bottom w:val="single" w:color="auto" w:sz="4" w:space="0"/>
              <w:right w:val="single" w:color="auto" w:sz="4" w:space="0"/>
            </w:tcBorders>
            <w:shd w:val="clear" w:color="auto" w:fill="auto"/>
            <w:vAlign w:val="center"/>
          </w:tcPr>
          <w:p w14:paraId="4DF270F1">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生态保护措施</w:t>
            </w:r>
          </w:p>
        </w:tc>
        <w:tc>
          <w:tcPr>
            <w:tcW w:w="4405"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443D871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eastAsia="zh-CN"/>
              </w:rPr>
              <w:t>工程占地</w:t>
            </w:r>
            <w:r>
              <w:rPr>
                <w:rFonts w:hint="default" w:ascii="Times New Roman" w:hAnsi="Times New Roman" w:eastAsia="宋体" w:cs="Times New Roman"/>
                <w:color w:val="auto"/>
                <w:spacing w:val="0"/>
                <w:w w:val="100"/>
                <w:sz w:val="24"/>
                <w:szCs w:val="24"/>
              </w:rPr>
              <w:t>：建设单位不得非法新增占地，减少对生态环境的影响。</w:t>
            </w:r>
          </w:p>
          <w:p w14:paraId="7F73A7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植物：项目施工完成后，及时进行迹地恢复。按管线保护要求，要求在管线两侧5m的范围内不得种植深根系植物，可恢复浅根系植物。动物。确保噪声稳定达标，减少事故状态下噪声对周围动物的不良影响。</w:t>
            </w:r>
          </w:p>
          <w:p w14:paraId="61037B3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水土流失：①应尽量避开雨季施工，强降雨来临前做好预防；②制定合理的施工方案，施工材料堆放场应选择较为平整的场地且远离</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；③工程施工应分期分区进行，不要全面铺开以缩短单项工期，减少开挖的裸露面；④根据工程施工进度，开挖的裸露面要有</w:t>
            </w:r>
            <w:r>
              <w:rPr>
                <w:rFonts w:hint="eastAsia" w:ascii="Times New Roman" w:hAnsi="Times New Roman" w:eastAsia="宋体" w:cs="Times New Roman"/>
                <w:color w:val="auto"/>
                <w:spacing w:val="0"/>
                <w:w w:val="100"/>
                <w:sz w:val="24"/>
                <w:szCs w:val="24"/>
                <w:lang w:eastAsia="zh-CN"/>
              </w:rPr>
              <w:t>防治措施</w:t>
            </w:r>
            <w:r>
              <w:rPr>
                <w:rFonts w:hint="default" w:ascii="Times New Roman" w:hAnsi="Times New Roman" w:eastAsia="宋体" w:cs="Times New Roman"/>
                <w:color w:val="auto"/>
                <w:spacing w:val="0"/>
                <w:w w:val="100"/>
                <w:sz w:val="24"/>
                <w:szCs w:val="24"/>
              </w:rPr>
              <w:t>，尽量缩短暴露时间，减少水土流失</w:t>
            </w:r>
            <w:r>
              <w:rPr>
                <w:rFonts w:hint="eastAsia" w:ascii="Times New Roman" w:hAnsi="Times New Roman" w:eastAsia="宋体" w:cs="Times New Roman"/>
                <w:color w:val="auto"/>
                <w:spacing w:val="0"/>
                <w:w w:val="100"/>
                <w:sz w:val="24"/>
                <w:szCs w:val="24"/>
                <w:lang w:eastAsia="zh-CN"/>
              </w:rPr>
              <w:t>。</w:t>
            </w:r>
          </w:p>
        </w:tc>
      </w:tr>
      <w:tr w14:paraId="2A8BC0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26" w:hRule="atLeast"/>
          <w:jc w:val="center"/>
        </w:trPr>
        <w:tc>
          <w:tcPr>
            <w:tcW w:w="594" w:type="pct"/>
            <w:tcBorders>
              <w:top w:val="single" w:color="auto" w:sz="4" w:space="0"/>
              <w:left w:val="single" w:color="auto" w:sz="8" w:space="0"/>
              <w:bottom w:val="single" w:color="auto" w:sz="4" w:space="0"/>
              <w:right w:val="single" w:color="auto" w:sz="4" w:space="0"/>
            </w:tcBorders>
            <w:shd w:val="clear" w:color="auto" w:fill="auto"/>
            <w:vAlign w:val="center"/>
          </w:tcPr>
          <w:p w14:paraId="7BD67C3C">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环境风险防范措施</w:t>
            </w:r>
          </w:p>
        </w:tc>
        <w:tc>
          <w:tcPr>
            <w:tcW w:w="4405"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033E778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t>1</w:t>
            </w:r>
            <w:r>
              <w:rPr>
                <w:rFonts w:hint="default" w:ascii="Times New Roman" w:hAnsi="Times New Roman" w:eastAsia="宋体" w:cs="Times New Roman"/>
                <w:color w:val="auto"/>
                <w:spacing w:val="0"/>
                <w:w w:val="100"/>
                <w:sz w:val="24"/>
                <w:szCs w:val="24"/>
              </w:rPr>
              <w:t>、各类化学品需分类分别存放，不可以一起存放；化学品库房化学品存放区应有截留围堰措施，地面做好防腐防渗，防止泄漏化学品流出，污染地表水体和地下水体；在厂区少量存放化学品，涉及的危险化学品不得露天存放。</w:t>
            </w:r>
          </w:p>
          <w:p w14:paraId="5FF2A25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t>2</w:t>
            </w:r>
            <w:r>
              <w:rPr>
                <w:rFonts w:hint="default" w:ascii="Times New Roman" w:hAnsi="Times New Roman" w:eastAsia="宋体" w:cs="Times New Roman"/>
                <w:color w:val="auto"/>
                <w:spacing w:val="0"/>
                <w:w w:val="100"/>
                <w:sz w:val="24"/>
                <w:szCs w:val="24"/>
              </w:rPr>
              <w:t>、装卸化学品做好个人防护，穿戴防护服、防护手套、防护面罩等，装卸、搬运化学品时应做到轻装、轻卸。严禁摔、碰、撞击、拖拉、倾倒和滚动等。</w:t>
            </w:r>
          </w:p>
          <w:p w14:paraId="671CBC7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sz w:val="24"/>
                <w:szCs w:val="24"/>
                <w:lang w:val="en-US" w:eastAsia="zh-CN"/>
              </w:rPr>
              <w:t>3</w:t>
            </w:r>
            <w:r>
              <w:rPr>
                <w:rFonts w:hint="default" w:ascii="Times New Roman" w:hAnsi="Times New Roman" w:eastAsia="宋体" w:cs="Times New Roman"/>
                <w:color w:val="auto"/>
                <w:spacing w:val="0"/>
                <w:w w:val="100"/>
                <w:sz w:val="24"/>
                <w:szCs w:val="24"/>
              </w:rPr>
              <w:t>、将次氯酸钠等原料放置到原料库房中，禁止露天堆放。</w:t>
            </w:r>
          </w:p>
        </w:tc>
      </w:tr>
      <w:tr w14:paraId="5FD92D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930" w:hRule="atLeast"/>
          <w:jc w:val="center"/>
        </w:trPr>
        <w:tc>
          <w:tcPr>
            <w:tcW w:w="594" w:type="pct"/>
            <w:tcBorders>
              <w:top w:val="single" w:color="auto" w:sz="4" w:space="0"/>
              <w:left w:val="single" w:color="auto" w:sz="8" w:space="0"/>
              <w:bottom w:val="single" w:color="auto" w:sz="8" w:space="0"/>
              <w:right w:val="single" w:color="auto" w:sz="4" w:space="0"/>
            </w:tcBorders>
            <w:shd w:val="clear" w:color="auto" w:fill="auto"/>
            <w:vAlign w:val="center"/>
          </w:tcPr>
          <w:p w14:paraId="681D91EE">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0"/>
                <w:w w:val="100"/>
                <w:sz w:val="24"/>
                <w:szCs w:val="24"/>
                <w:lang w:val="en-US"/>
              </w:rPr>
            </w:pPr>
            <w:r>
              <w:rPr>
                <w:rFonts w:hint="default" w:ascii="Times New Roman" w:hAnsi="Times New Roman" w:eastAsia="宋体" w:cs="Times New Roman"/>
                <w:color w:val="auto"/>
                <w:spacing w:val="0"/>
                <w:w w:val="100"/>
                <w:kern w:val="2"/>
                <w:sz w:val="24"/>
                <w:szCs w:val="24"/>
                <w:lang w:val="en-US" w:eastAsia="zh-CN" w:bidi="ar"/>
              </w:rPr>
              <w:t>其他环境管理要求</w:t>
            </w:r>
          </w:p>
        </w:tc>
        <w:tc>
          <w:tcPr>
            <w:tcW w:w="4405" w:type="pct"/>
            <w:gridSpan w:val="4"/>
            <w:tcBorders>
              <w:top w:val="single" w:color="auto" w:sz="4" w:space="0"/>
              <w:left w:val="single" w:color="auto" w:sz="4" w:space="0"/>
              <w:bottom w:val="single" w:color="auto" w:sz="8" w:space="0"/>
              <w:right w:val="single" w:color="auto" w:sz="8" w:space="0"/>
            </w:tcBorders>
            <w:shd w:val="clear" w:color="auto" w:fill="auto"/>
            <w:vAlign w:val="center"/>
          </w:tcPr>
          <w:p w14:paraId="57AD69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1环境管理</w:t>
            </w:r>
          </w:p>
          <w:p w14:paraId="17E57EB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1.1环境管理机构</w:t>
            </w:r>
          </w:p>
          <w:p w14:paraId="4AA3285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建设单位应把环境管理</w:t>
            </w:r>
            <w:r>
              <w:rPr>
                <w:rFonts w:hint="eastAsia" w:ascii="Times New Roman" w:hAnsi="Times New Roman" w:cs="Times New Roman"/>
                <w:color w:val="auto"/>
                <w:spacing w:val="0"/>
                <w:w w:val="100"/>
                <w:sz w:val="24"/>
                <w:szCs w:val="24"/>
                <w:lang w:eastAsia="zh-CN"/>
              </w:rPr>
              <w:t>纳入</w:t>
            </w:r>
            <w:r>
              <w:rPr>
                <w:rFonts w:hint="default" w:ascii="Times New Roman" w:hAnsi="Times New Roman" w:cs="Times New Roman"/>
                <w:color w:val="auto"/>
                <w:spacing w:val="0"/>
                <w:w w:val="100"/>
                <w:sz w:val="24"/>
                <w:szCs w:val="24"/>
              </w:rPr>
              <w:t>日常管理中去，并逐步与各项管理制度有机结合起来，做到有专门机构和人员负责公司环境管理工作，安排专职（或兼职）环境管理人员1～2人。管理机构职责包括：</w:t>
            </w:r>
          </w:p>
          <w:p w14:paraId="0F230D0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①建立环境保护工作规章制度，明确环保责任制</w:t>
            </w:r>
            <w:r>
              <w:rPr>
                <w:rFonts w:hint="eastAsia" w:ascii="Times New Roman" w:hAnsi="Times New Roman" w:cs="Times New Roman"/>
                <w:color w:val="auto"/>
                <w:spacing w:val="0"/>
                <w:w w:val="100"/>
                <w:sz w:val="24"/>
                <w:szCs w:val="24"/>
                <w:lang w:eastAsia="zh-CN"/>
              </w:rPr>
              <w:t>及</w:t>
            </w:r>
            <w:r>
              <w:rPr>
                <w:rFonts w:hint="default" w:ascii="Times New Roman" w:hAnsi="Times New Roman" w:cs="Times New Roman"/>
                <w:color w:val="auto"/>
                <w:spacing w:val="0"/>
                <w:w w:val="100"/>
                <w:sz w:val="24"/>
                <w:szCs w:val="24"/>
              </w:rPr>
              <w:t>奖惩办法；</w:t>
            </w:r>
          </w:p>
          <w:p w14:paraId="3AAA7E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②确定公司环境目标管理，对车间及操作岗位进行监督与考核；</w:t>
            </w:r>
          </w:p>
          <w:p w14:paraId="6282709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③建立环保档案，包括环评报告、竣工验收报告、污染源监测报告、环保设备及运行记录资料；</w:t>
            </w:r>
          </w:p>
          <w:p w14:paraId="08D2900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④收集与管理有关污染物排放标准、环保法规、环保技术资料；</w:t>
            </w:r>
          </w:p>
          <w:p w14:paraId="6DB5653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⑤协调环保设施与车间主体设施的协调管理，使污染防治设施的配备与车间主体设施相适应，并与主体设施同时运行；污染防治设施出现故障时，环境管理机构应立即采取措施，严防污染扩大；</w:t>
            </w:r>
          </w:p>
          <w:p w14:paraId="16A9A64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⑥做好固体废物的收集、暂存和转运工作；</w:t>
            </w:r>
          </w:p>
          <w:p w14:paraId="2B8B23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⑦负责污染事故的处理；</w:t>
            </w:r>
          </w:p>
          <w:p w14:paraId="37473CF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⑧组织职工的环保教育，做好环境宣传。</w:t>
            </w:r>
          </w:p>
          <w:p w14:paraId="1EBD98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1.2环境管理制度</w:t>
            </w:r>
          </w:p>
          <w:p w14:paraId="64A4810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为了落实各项污染防治措施，加强环境保护工作管理，应当根据实际情况，制定各种类型的环保制度。</w:t>
            </w:r>
          </w:p>
          <w:p w14:paraId="64CFC1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（1）污染处理设施的管理制度</w:t>
            </w:r>
          </w:p>
          <w:p w14:paraId="71C3940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对污染治理设施的管理必须与生产经营活动一起纳入企业的日常管理中，建立健全岗位责任制、操作规程，建立环保</w:t>
            </w:r>
            <w:r>
              <w:rPr>
                <w:rFonts w:hint="eastAsia" w:ascii="Times New Roman" w:hAnsi="Times New Roman" w:cs="Times New Roman"/>
                <w:color w:val="auto"/>
                <w:spacing w:val="0"/>
                <w:w w:val="100"/>
                <w:sz w:val="24"/>
                <w:szCs w:val="24"/>
                <w:lang w:eastAsia="zh-CN"/>
              </w:rPr>
              <w:t>管理台账</w:t>
            </w:r>
            <w:r>
              <w:rPr>
                <w:rFonts w:hint="default" w:ascii="Times New Roman" w:hAnsi="Times New Roman" w:cs="Times New Roman"/>
                <w:color w:val="auto"/>
                <w:spacing w:val="0"/>
                <w:w w:val="100"/>
                <w:sz w:val="24"/>
                <w:szCs w:val="24"/>
              </w:rPr>
              <w:t>。</w:t>
            </w:r>
          </w:p>
          <w:p w14:paraId="0B4AF40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（2）奖惩制度</w:t>
            </w:r>
          </w:p>
          <w:p w14:paraId="15CFF95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企业应设置环境保护奖惩制度，对爱护环保设施、节能降耗者实行奖励；对不按环保要求管理，造成环保设施损坏、环境污染和资源、能源浪费者予以重罚。</w:t>
            </w:r>
          </w:p>
          <w:p w14:paraId="06B866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（3）制定各类环保规章制度</w:t>
            </w:r>
          </w:p>
          <w:p w14:paraId="0143CF4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制定环境管理制度，促进公司的环境保护工作，做到环境保护工作规范化和程序化。</w:t>
            </w:r>
          </w:p>
          <w:p w14:paraId="7FE8C7D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1.3环境管理台账</w:t>
            </w:r>
          </w:p>
          <w:p w14:paraId="60FE26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left"/>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编制主要污染防治设施的环境管理台账，包括基本信息、污染治理措施运行管理信息、监测记录信息、其他环境管理信息等。</w:t>
            </w:r>
          </w:p>
          <w:p w14:paraId="2188D9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left"/>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（1）基本信息：污染防治设施名称、工艺等排污许可证规定的排污单位基本信息，与污染物排放相关的主要参数等；</w:t>
            </w:r>
          </w:p>
          <w:p w14:paraId="5157E7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left"/>
              <w:textAlignment w:val="auto"/>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（2）监测记录信息：手工监测记录信息，生产和污染治理设施运行状况记录信息。</w:t>
            </w:r>
          </w:p>
          <w:p w14:paraId="6400DB8E">
            <w:pPr>
              <w:keepNext w:val="0"/>
              <w:keepLines w:val="0"/>
              <w:suppressLineNumbers w:val="0"/>
              <w:spacing w:before="0" w:beforeAutospacing="0" w:after="0" w:afterAutospacing="0" w:line="360" w:lineRule="auto"/>
              <w:ind w:left="0" w:right="0" w:firstLine="470" w:firstLineChars="196"/>
              <w:outlineLvl w:val="2"/>
              <w:rPr>
                <w:rFonts w:hint="default" w:ascii="Times New Roman" w:hAnsi="Times New Roman" w:cs="Times New Roman"/>
                <w:b w:val="0"/>
                <w:bCs w:val="0"/>
                <w:color w:val="auto"/>
                <w:spacing w:val="0"/>
                <w:w w:val="100"/>
                <w:sz w:val="24"/>
                <w:szCs w:val="24"/>
              </w:rPr>
            </w:pPr>
            <w:r>
              <w:rPr>
                <w:rFonts w:hint="default" w:ascii="Times New Roman" w:hAnsi="Times New Roman" w:cs="Times New Roman"/>
                <w:b w:val="0"/>
                <w:bCs w:val="0"/>
                <w:color w:val="auto"/>
                <w:spacing w:val="0"/>
                <w:w w:val="100"/>
                <w:sz w:val="24"/>
                <w:szCs w:val="24"/>
              </w:rPr>
              <w:t>1.4排污口规范化管理</w:t>
            </w:r>
          </w:p>
          <w:p w14:paraId="07A3FBE0">
            <w:pPr>
              <w:keepNext w:val="0"/>
              <w:keepLines w:val="0"/>
              <w:suppressLineNumbers w:val="0"/>
              <w:spacing w:before="0" w:beforeAutospacing="0" w:after="0" w:afterAutospacing="0" w:line="360" w:lineRule="auto"/>
              <w:ind w:left="0" w:right="0" w:firstLine="360" w:firstLineChars="150"/>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（1）排污口规范管理原则</w:t>
            </w:r>
          </w:p>
          <w:p w14:paraId="48407335">
            <w:pPr>
              <w:keepNext w:val="0"/>
              <w:keepLines w:val="0"/>
              <w:suppressLineNumbers w:val="0"/>
              <w:spacing w:before="0" w:beforeAutospacing="0" w:after="0" w:afterAutospacing="0" w:line="360" w:lineRule="auto"/>
              <w:ind w:left="0" w:right="0" w:firstLine="480"/>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fldChar w:fldCharType="begin"/>
            </w:r>
            <w:r>
              <w:rPr>
                <w:rFonts w:hint="default" w:ascii="Times New Roman" w:hAnsi="Times New Roman" w:cs="Times New Roman"/>
                <w:color w:val="auto"/>
                <w:spacing w:val="0"/>
                <w:w w:val="100"/>
                <w:sz w:val="24"/>
                <w:szCs w:val="24"/>
              </w:rPr>
              <w:instrText xml:space="preserve">= 1 \* GB3</w:instrText>
            </w:r>
            <w:r>
              <w:rPr>
                <w:rFonts w:hint="default" w:ascii="Times New Roman" w:hAnsi="Times New Roman" w:cs="Times New Roman"/>
                <w:color w:val="auto"/>
                <w:spacing w:val="0"/>
                <w:w w:val="100"/>
                <w:sz w:val="24"/>
                <w:szCs w:val="24"/>
              </w:rPr>
              <w:fldChar w:fldCharType="separate"/>
            </w:r>
            <w:r>
              <w:rPr>
                <w:rFonts w:hint="default" w:ascii="Times New Roman" w:hAnsi="Times New Roman" w:cs="Times New Roman"/>
                <w:color w:val="auto"/>
                <w:spacing w:val="0"/>
                <w:w w:val="100"/>
                <w:sz w:val="24"/>
                <w:szCs w:val="24"/>
              </w:rPr>
              <w:t>①</w:t>
            </w:r>
            <w:r>
              <w:rPr>
                <w:rFonts w:hint="default" w:ascii="Times New Roman" w:hAnsi="Times New Roman" w:cs="Times New Roman"/>
                <w:color w:val="auto"/>
                <w:spacing w:val="0"/>
                <w:w w:val="100"/>
                <w:sz w:val="24"/>
                <w:szCs w:val="24"/>
              </w:rPr>
              <w:fldChar w:fldCharType="end"/>
            </w:r>
            <w:r>
              <w:rPr>
                <w:rFonts w:hint="default" w:ascii="Times New Roman" w:hAnsi="Times New Roman" w:cs="Times New Roman"/>
                <w:color w:val="auto"/>
                <w:spacing w:val="0"/>
                <w:w w:val="100"/>
                <w:sz w:val="24"/>
                <w:szCs w:val="24"/>
              </w:rPr>
              <w:t>排污口设置合理，按照环监[96]470号文件进行规范化管理；</w:t>
            </w:r>
          </w:p>
          <w:p w14:paraId="1B6240E6">
            <w:pPr>
              <w:keepNext w:val="0"/>
              <w:keepLines w:val="0"/>
              <w:suppressLineNumbers w:val="0"/>
              <w:spacing w:before="0" w:beforeAutospacing="0" w:after="0" w:afterAutospacing="0" w:line="360" w:lineRule="auto"/>
              <w:ind w:left="0" w:right="0" w:firstLine="480"/>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fldChar w:fldCharType="begin"/>
            </w:r>
            <w:r>
              <w:rPr>
                <w:rFonts w:hint="default" w:ascii="Times New Roman" w:hAnsi="Times New Roman" w:cs="Times New Roman"/>
                <w:color w:val="auto"/>
                <w:spacing w:val="0"/>
                <w:w w:val="100"/>
                <w:sz w:val="24"/>
                <w:szCs w:val="24"/>
              </w:rPr>
              <w:instrText xml:space="preserve">= 2 \* GB3</w:instrText>
            </w:r>
            <w:r>
              <w:rPr>
                <w:rFonts w:hint="default" w:ascii="Times New Roman" w:hAnsi="Times New Roman" w:cs="Times New Roman"/>
                <w:color w:val="auto"/>
                <w:spacing w:val="0"/>
                <w:w w:val="100"/>
                <w:sz w:val="24"/>
                <w:szCs w:val="24"/>
              </w:rPr>
              <w:fldChar w:fldCharType="separate"/>
            </w:r>
            <w:r>
              <w:rPr>
                <w:rFonts w:hint="default" w:ascii="Times New Roman" w:hAnsi="Times New Roman" w:cs="Times New Roman"/>
                <w:color w:val="auto"/>
                <w:spacing w:val="0"/>
                <w:w w:val="100"/>
                <w:sz w:val="24"/>
                <w:szCs w:val="24"/>
              </w:rPr>
              <w:t>②</w:t>
            </w:r>
            <w:r>
              <w:rPr>
                <w:rFonts w:hint="default" w:ascii="Times New Roman" w:hAnsi="Times New Roman" w:cs="Times New Roman"/>
                <w:color w:val="auto"/>
                <w:spacing w:val="0"/>
                <w:w w:val="100"/>
                <w:sz w:val="24"/>
                <w:szCs w:val="24"/>
              </w:rPr>
              <w:fldChar w:fldCharType="end"/>
            </w:r>
            <w:r>
              <w:rPr>
                <w:rFonts w:hint="default" w:ascii="Times New Roman" w:hAnsi="Times New Roman" w:cs="Times New Roman"/>
                <w:color w:val="auto"/>
                <w:spacing w:val="0"/>
                <w:w w:val="100"/>
                <w:sz w:val="24"/>
                <w:szCs w:val="24"/>
              </w:rPr>
              <w:t>废气排气装置应设置便于采样、监测的平台，设置应符合《污染源监测技术规范》；</w:t>
            </w:r>
          </w:p>
          <w:p w14:paraId="28FEE925">
            <w:pPr>
              <w:keepNext w:val="0"/>
              <w:keepLines w:val="0"/>
              <w:suppressLineNumbers w:val="0"/>
              <w:spacing w:before="0" w:beforeAutospacing="0" w:after="0" w:afterAutospacing="0" w:line="360" w:lineRule="auto"/>
              <w:ind w:left="0" w:right="0" w:firstLine="480"/>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fldChar w:fldCharType="begin"/>
            </w:r>
            <w:r>
              <w:rPr>
                <w:rFonts w:hint="default" w:ascii="Times New Roman" w:hAnsi="Times New Roman" w:cs="Times New Roman"/>
                <w:color w:val="auto"/>
                <w:spacing w:val="0"/>
                <w:w w:val="100"/>
                <w:sz w:val="24"/>
                <w:szCs w:val="24"/>
              </w:rPr>
              <w:instrText xml:space="preserve"> = 3 \* GB3 </w:instrText>
            </w:r>
            <w:r>
              <w:rPr>
                <w:rFonts w:hint="default" w:ascii="Times New Roman" w:hAnsi="Times New Roman" w:cs="Times New Roman"/>
                <w:color w:val="auto"/>
                <w:spacing w:val="0"/>
                <w:w w:val="100"/>
                <w:sz w:val="24"/>
                <w:szCs w:val="24"/>
              </w:rPr>
              <w:fldChar w:fldCharType="separate"/>
            </w:r>
            <w:r>
              <w:rPr>
                <w:rFonts w:hint="default" w:ascii="Times New Roman" w:hAnsi="Times New Roman" w:cs="Times New Roman"/>
                <w:color w:val="auto"/>
                <w:spacing w:val="0"/>
                <w:w w:val="100"/>
                <w:sz w:val="24"/>
                <w:szCs w:val="24"/>
              </w:rPr>
              <w:t>③</w:t>
            </w:r>
            <w:r>
              <w:rPr>
                <w:rFonts w:hint="default" w:ascii="Times New Roman" w:hAnsi="Times New Roman" w:cs="Times New Roman"/>
                <w:color w:val="auto"/>
                <w:spacing w:val="0"/>
                <w:w w:val="100"/>
                <w:sz w:val="24"/>
                <w:szCs w:val="24"/>
              </w:rPr>
              <w:fldChar w:fldCharType="end"/>
            </w:r>
            <w:r>
              <w:rPr>
                <w:rFonts w:hint="default" w:ascii="Times New Roman" w:hAnsi="Times New Roman" w:cs="Times New Roman"/>
                <w:color w:val="auto"/>
                <w:spacing w:val="0"/>
                <w:w w:val="100"/>
                <w:sz w:val="24"/>
                <w:szCs w:val="24"/>
              </w:rPr>
              <w:t>固废堆放场应设有防扬散、防流失、防渗漏措施。</w:t>
            </w:r>
          </w:p>
          <w:p w14:paraId="0157CDDE">
            <w:pPr>
              <w:keepNext w:val="0"/>
              <w:keepLines w:val="0"/>
              <w:suppressLineNumbers w:val="0"/>
              <w:spacing w:before="0" w:beforeAutospacing="0" w:after="0" w:afterAutospacing="0" w:line="360" w:lineRule="auto"/>
              <w:ind w:left="0" w:right="0" w:firstLine="360" w:firstLineChars="150"/>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（2）排污口立标管理</w:t>
            </w:r>
          </w:p>
          <w:p w14:paraId="71C0F98B">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根据国家环境保护部《关于开展排放口规范化整治工作的通知》（环发</w:t>
            </w:r>
            <w:r>
              <w:rPr>
                <w:rFonts w:hint="default"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rPr>
              <w:t>1999</w:t>
            </w:r>
            <w:r>
              <w:rPr>
                <w:rFonts w:hint="default"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rPr>
              <w:t>24号）、《环境保护图形标志》（GB15562.1-1995）（GB15562.2-1995）的规定，设置环境保护图形标志牌。环境保护图形标志牌设置位置应距污染物排放口（源）、固体废物贮存（堆放）场或采样点较近且醒目处，并能长久保留。</w:t>
            </w:r>
          </w:p>
          <w:p w14:paraId="5080FBE8">
            <w:pPr>
              <w:keepNext w:val="0"/>
              <w:keepLines w:val="0"/>
              <w:widowControl/>
              <w:suppressLineNumbers w:val="0"/>
              <w:spacing w:before="0" w:beforeAutospacing="0" w:after="0" w:afterAutospacing="0" w:line="360" w:lineRule="auto"/>
              <w:ind w:left="0" w:right="0" w:firstLine="480"/>
              <w:jc w:val="left"/>
              <w:rPr>
                <w:rFonts w:hint="default" w:ascii="Times New Roman" w:hAnsi="Times New Roman" w:cs="Times New Roman"/>
                <w:color w:val="auto"/>
                <w:spacing w:val="0"/>
                <w:w w:val="100"/>
                <w:sz w:val="24"/>
                <w:szCs w:val="24"/>
              </w:rPr>
            </w:pPr>
            <w:r>
              <w:rPr>
                <w:rFonts w:hint="default" w:ascii="Times New Roman" w:hAnsi="Times New Roman" w:cs="Times New Roman"/>
                <w:color w:val="auto"/>
                <w:spacing w:val="0"/>
                <w:w w:val="100"/>
                <w:sz w:val="24"/>
                <w:szCs w:val="24"/>
              </w:rPr>
              <w:t>环境保护图形标志具体设置图形见表</w:t>
            </w:r>
            <w:r>
              <w:rPr>
                <w:rFonts w:hint="eastAsia" w:ascii="Times New Roman" w:hAnsi="Times New Roman" w:cs="Times New Roman"/>
                <w:color w:val="auto"/>
                <w:spacing w:val="0"/>
                <w:w w:val="100"/>
                <w:sz w:val="24"/>
                <w:szCs w:val="24"/>
                <w:lang w:val="en-US" w:eastAsia="zh-CN"/>
              </w:rPr>
              <w:t>5-1</w:t>
            </w:r>
            <w:r>
              <w:rPr>
                <w:rFonts w:hint="default" w:ascii="Times New Roman" w:hAnsi="Times New Roman" w:cs="Times New Roman"/>
                <w:color w:val="auto"/>
                <w:spacing w:val="0"/>
                <w:w w:val="100"/>
                <w:sz w:val="24"/>
                <w:szCs w:val="24"/>
              </w:rPr>
              <w:t>。</w:t>
            </w:r>
          </w:p>
          <w:p w14:paraId="62660826">
            <w:pPr>
              <w:keepNext w:val="0"/>
              <w:keepLines w:val="0"/>
              <w:widowControl/>
              <w:suppressLineNumbers w:val="0"/>
              <w:spacing w:before="0" w:beforeAutospacing="0" w:after="0" w:afterAutospacing="0" w:line="240" w:lineRule="auto"/>
              <w:ind w:left="0" w:right="0" w:firstLine="1050" w:firstLineChars="500"/>
              <w:jc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表</w:t>
            </w:r>
            <w:r>
              <w:rPr>
                <w:rFonts w:hint="eastAsia" w:ascii="Times New Roman" w:hAnsi="Times New Roman" w:eastAsia="宋体" w:cs="Times New Roman"/>
                <w:b w:val="0"/>
                <w:bCs w:val="0"/>
                <w:color w:val="auto"/>
                <w:spacing w:val="0"/>
                <w:w w:val="100"/>
                <w:sz w:val="21"/>
                <w:szCs w:val="21"/>
                <w:lang w:val="en-US" w:eastAsia="zh-CN"/>
              </w:rPr>
              <w:t xml:space="preserve">5-1 </w:t>
            </w:r>
            <w:r>
              <w:rPr>
                <w:rFonts w:hint="default" w:ascii="Times New Roman" w:hAnsi="Times New Roman" w:eastAsia="宋体" w:cs="Times New Roman"/>
                <w:b w:val="0"/>
                <w:bCs w:val="0"/>
                <w:color w:val="auto"/>
                <w:spacing w:val="0"/>
                <w:w w:val="100"/>
                <w:sz w:val="21"/>
                <w:szCs w:val="21"/>
              </w:rPr>
              <w:t xml:space="preserve">  环境保护</w:t>
            </w:r>
            <w:r>
              <w:rPr>
                <w:rFonts w:hint="default" w:ascii="Times New Roman" w:hAnsi="Times New Roman" w:eastAsia="宋体" w:cs="Times New Roman"/>
                <w:b w:val="0"/>
                <w:bCs w:val="0"/>
                <w:color w:val="auto"/>
                <w:spacing w:val="0"/>
                <w:w w:val="100"/>
                <w:sz w:val="21"/>
                <w:szCs w:val="21"/>
                <w:lang w:eastAsia="zh-CN"/>
              </w:rPr>
              <w:t>图形</w:t>
            </w:r>
            <w:r>
              <w:rPr>
                <w:rFonts w:hint="default" w:ascii="Times New Roman" w:hAnsi="Times New Roman" w:eastAsia="宋体" w:cs="Times New Roman"/>
                <w:b w:val="0"/>
                <w:bCs w:val="0"/>
                <w:color w:val="auto"/>
                <w:spacing w:val="0"/>
                <w:w w:val="100"/>
                <w:sz w:val="21"/>
                <w:szCs w:val="21"/>
              </w:rPr>
              <w:t>标志</w:t>
            </w:r>
          </w:p>
          <w:p w14:paraId="63D18F38">
            <w:pPr>
              <w:keepNext w:val="0"/>
              <w:keepLines w:val="0"/>
              <w:suppressLineNumbers w:val="0"/>
              <w:spacing w:before="0" w:beforeAutospacing="0" w:after="0" w:afterAutospacing="0" w:line="360" w:lineRule="auto"/>
              <w:ind w:left="0" w:right="0" w:firstLine="482"/>
              <w:rPr>
                <w:rFonts w:hint="default" w:ascii="Times New Roman" w:hAnsi="Times New Roman" w:cs="Times New Roman"/>
                <w:b w:val="0"/>
                <w:bCs/>
                <w:color w:val="auto"/>
                <w:spacing w:val="0"/>
                <w:w w:val="100"/>
                <w:sz w:val="24"/>
                <w:szCs w:val="24"/>
              </w:rPr>
            </w:pPr>
            <w:r>
              <w:rPr>
                <w:rFonts w:hint="eastAsia"/>
                <w:color w:val="auto"/>
                <w:sz w:val="21"/>
                <w:szCs w:val="21"/>
              </w:rPr>
              <w:drawing>
                <wp:anchor distT="0" distB="0" distL="114300" distR="114300" simplePos="0" relativeHeight="251684864" behindDoc="0" locked="0" layoutInCell="1" allowOverlap="1">
                  <wp:simplePos x="0" y="0"/>
                  <wp:positionH relativeFrom="column">
                    <wp:posOffset>3868420</wp:posOffset>
                  </wp:positionH>
                  <wp:positionV relativeFrom="paragraph">
                    <wp:posOffset>531495</wp:posOffset>
                  </wp:positionV>
                  <wp:extent cx="739775" cy="661670"/>
                  <wp:effectExtent l="0" t="0" r="3175" b="5080"/>
                  <wp:wrapNone/>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22"/>
                          <a:stretch>
                            <a:fillRect/>
                          </a:stretch>
                        </pic:blipFill>
                        <pic:spPr>
                          <a:xfrm>
                            <a:off x="0" y="0"/>
                            <a:ext cx="739775" cy="661670"/>
                          </a:xfrm>
                          <a:prstGeom prst="rect">
                            <a:avLst/>
                          </a:prstGeom>
                          <a:noFill/>
                          <a:ln>
                            <a:noFill/>
                          </a:ln>
                        </pic:spPr>
                      </pic:pic>
                    </a:graphicData>
                  </a:graphic>
                </wp:anchor>
              </w:drawing>
            </w:r>
            <w:r>
              <w:rPr>
                <w:rFonts w:hint="default" w:ascii="Times New Roman" w:hAnsi="Times New Roman" w:eastAsia="黑体" w:cs="Times New Roman"/>
                <w:color w:val="auto"/>
                <w:spacing w:val="0"/>
                <w:w w:val="100"/>
                <w:sz w:val="21"/>
                <w:szCs w:val="21"/>
                <w:lang w:eastAsia="zh-CN"/>
              </w:rPr>
              <w:drawing>
                <wp:anchor distT="0" distB="0" distL="114300" distR="114300" simplePos="0" relativeHeight="251671552" behindDoc="0" locked="0" layoutInCell="1" allowOverlap="1">
                  <wp:simplePos x="0" y="0"/>
                  <wp:positionH relativeFrom="column">
                    <wp:posOffset>309880</wp:posOffset>
                  </wp:positionH>
                  <wp:positionV relativeFrom="paragraph">
                    <wp:posOffset>57150</wp:posOffset>
                  </wp:positionV>
                  <wp:extent cx="4347845" cy="2302510"/>
                  <wp:effectExtent l="0" t="0" r="14605" b="2540"/>
                  <wp:wrapTopAndBottom/>
                  <wp:docPr id="25" name="图片 2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1"/>
                          <pic:cNvPicPr>
                            <a:picLocks noChangeAspect="1"/>
                          </pic:cNvPicPr>
                        </pic:nvPicPr>
                        <pic:blipFill>
                          <a:blip r:embed="rId23"/>
                          <a:stretch>
                            <a:fillRect/>
                          </a:stretch>
                        </pic:blipFill>
                        <pic:spPr>
                          <a:xfrm>
                            <a:off x="0" y="0"/>
                            <a:ext cx="4347845" cy="2302510"/>
                          </a:xfrm>
                          <a:prstGeom prst="rect">
                            <a:avLst/>
                          </a:prstGeom>
                        </pic:spPr>
                      </pic:pic>
                    </a:graphicData>
                  </a:graphic>
                </wp:anchor>
              </w:drawing>
            </w:r>
            <w:r>
              <w:rPr>
                <w:rFonts w:hint="default" w:ascii="Times New Roman" w:hAnsi="Times New Roman" w:cs="Times New Roman"/>
                <w:b w:val="0"/>
                <w:bCs/>
                <w:color w:val="auto"/>
                <w:spacing w:val="0"/>
                <w:w w:val="100"/>
                <w:sz w:val="24"/>
                <w:szCs w:val="24"/>
              </w:rPr>
              <w:t>2</w:t>
            </w:r>
            <w:r>
              <w:rPr>
                <w:rFonts w:hint="default" w:ascii="Times New Roman" w:hAnsi="Times New Roman" w:cs="Times New Roman"/>
                <w:b w:val="0"/>
                <w:bCs/>
                <w:color w:val="auto"/>
                <w:spacing w:val="0"/>
                <w:w w:val="100"/>
                <w:sz w:val="24"/>
                <w:szCs w:val="24"/>
                <w:lang w:eastAsia="zh-CN"/>
              </w:rPr>
              <w:t>、</w:t>
            </w:r>
            <w:r>
              <w:rPr>
                <w:rFonts w:hint="default" w:ascii="Times New Roman" w:hAnsi="Times New Roman" w:cs="Times New Roman"/>
                <w:b w:val="0"/>
                <w:bCs/>
                <w:color w:val="auto"/>
                <w:spacing w:val="0"/>
                <w:w w:val="100"/>
                <w:sz w:val="24"/>
                <w:szCs w:val="24"/>
              </w:rPr>
              <w:t>环境信息公开</w:t>
            </w:r>
          </w:p>
          <w:p w14:paraId="264CBE67">
            <w:pPr>
              <w:keepNext w:val="0"/>
              <w:keepLines w:val="0"/>
              <w:widowControl/>
              <w:suppressLineNumbers w:val="0"/>
              <w:spacing w:before="0" w:beforeAutospacing="0" w:after="0" w:afterAutospacing="0" w:line="360" w:lineRule="auto"/>
              <w:ind w:left="0" w:right="0" w:firstLine="480"/>
              <w:rPr>
                <w:rFonts w:hint="default" w:ascii="Times New Roman" w:hAnsi="Times New Roman" w:cs="Times New Roman"/>
                <w:b w:val="0"/>
                <w:bCs w:val="0"/>
                <w:color w:val="auto"/>
                <w:spacing w:val="0"/>
                <w:w w:val="100"/>
                <w:sz w:val="24"/>
                <w:szCs w:val="24"/>
              </w:rPr>
            </w:pPr>
            <w:r>
              <w:rPr>
                <w:rFonts w:hint="default" w:ascii="Times New Roman" w:hAnsi="Times New Roman" w:cs="Times New Roman"/>
                <w:color w:val="auto"/>
                <w:spacing w:val="0"/>
                <w:w w:val="100"/>
                <w:sz w:val="24"/>
                <w:szCs w:val="24"/>
              </w:rPr>
              <w:t>建设单位信息公开参照《国家重点监控企业自行监测及信息公开办法</w:t>
            </w:r>
            <w:r>
              <w:rPr>
                <w:rFonts w:hint="eastAsia" w:ascii="Times New Roman" w:hAnsi="Times New Roman" w:cs="Times New Roman"/>
                <w:color w:val="auto"/>
                <w:spacing w:val="0"/>
                <w:w w:val="100"/>
                <w:sz w:val="24"/>
                <w:szCs w:val="24"/>
                <w:lang w:eastAsia="zh-CN"/>
              </w:rPr>
              <w:t>（试行）》</w:t>
            </w:r>
            <w:r>
              <w:rPr>
                <w:rFonts w:hint="default" w:ascii="Times New Roman" w:hAnsi="Times New Roman" w:cs="Times New Roman"/>
                <w:color w:val="auto"/>
                <w:spacing w:val="0"/>
                <w:w w:val="100"/>
                <w:sz w:val="24"/>
                <w:szCs w:val="24"/>
              </w:rPr>
              <w:t>（环发</w:t>
            </w:r>
            <w:r>
              <w:rPr>
                <w:rFonts w:hint="default"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rPr>
              <w:t>2013</w:t>
            </w:r>
            <w:r>
              <w:rPr>
                <w:rFonts w:hint="default" w:ascii="Times New Roman" w:hAnsi="Times New Roman" w:cs="Times New Roman"/>
                <w:color w:val="auto"/>
                <w:spacing w:val="0"/>
                <w:w w:val="100"/>
                <w:sz w:val="24"/>
                <w:szCs w:val="24"/>
                <w:lang w:eastAsia="zh-CN"/>
              </w:rPr>
              <w:t>〕</w:t>
            </w:r>
            <w:r>
              <w:rPr>
                <w:rFonts w:hint="default" w:ascii="Times New Roman" w:hAnsi="Times New Roman" w:cs="Times New Roman"/>
                <w:color w:val="auto"/>
                <w:spacing w:val="0"/>
                <w:w w:val="100"/>
                <w:sz w:val="24"/>
                <w:szCs w:val="24"/>
              </w:rPr>
              <w:t>81号），对本项目环保设施运行情况和污染源及环境质量现状监测情况公开，见表</w:t>
            </w:r>
            <w:r>
              <w:rPr>
                <w:rFonts w:hint="eastAsia" w:ascii="Times New Roman" w:hAnsi="Times New Roman" w:cs="Times New Roman"/>
                <w:color w:val="auto"/>
                <w:spacing w:val="0"/>
                <w:w w:val="100"/>
                <w:sz w:val="24"/>
                <w:szCs w:val="24"/>
                <w:lang w:val="en-US" w:eastAsia="zh-CN"/>
              </w:rPr>
              <w:t>5-2</w:t>
            </w:r>
            <w:r>
              <w:rPr>
                <w:rFonts w:hint="default" w:ascii="Times New Roman" w:hAnsi="Times New Roman" w:cs="Times New Roman"/>
                <w:color w:val="auto"/>
                <w:spacing w:val="0"/>
                <w:w w:val="100"/>
                <w:sz w:val="24"/>
                <w:szCs w:val="24"/>
              </w:rPr>
              <w:t>。</w:t>
            </w:r>
          </w:p>
          <w:p w14:paraId="6D9EA60D">
            <w:pPr>
              <w:pStyle w:val="8"/>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auto"/>
                <w:spacing w:val="0"/>
                <w:w w:val="100"/>
                <w:sz w:val="24"/>
                <w:szCs w:val="24"/>
              </w:rPr>
            </w:pPr>
            <w:r>
              <w:rPr>
                <w:rFonts w:hint="default" w:ascii="Times New Roman" w:hAnsi="Times New Roman" w:eastAsia="宋体" w:cs="Times New Roman"/>
                <w:b w:val="0"/>
                <w:bCs w:val="0"/>
                <w:color w:val="auto"/>
                <w:spacing w:val="0"/>
                <w:w w:val="100"/>
                <w:sz w:val="21"/>
                <w:szCs w:val="21"/>
              </w:rPr>
              <w:t>表</w:t>
            </w:r>
            <w:r>
              <w:rPr>
                <w:rFonts w:hint="eastAsia" w:ascii="Times New Roman" w:hAnsi="Times New Roman" w:eastAsia="宋体" w:cs="Times New Roman"/>
                <w:b w:val="0"/>
                <w:bCs w:val="0"/>
                <w:color w:val="auto"/>
                <w:spacing w:val="0"/>
                <w:w w:val="100"/>
                <w:sz w:val="21"/>
                <w:szCs w:val="21"/>
                <w:lang w:val="en-US" w:eastAsia="zh-CN"/>
              </w:rPr>
              <w:t xml:space="preserve">5-2 </w:t>
            </w:r>
            <w:r>
              <w:rPr>
                <w:rFonts w:hint="default" w:ascii="Times New Roman" w:hAnsi="Times New Roman" w:eastAsia="宋体" w:cs="Times New Roman"/>
                <w:b w:val="0"/>
                <w:bCs w:val="0"/>
                <w:color w:val="auto"/>
                <w:spacing w:val="0"/>
                <w:w w:val="100"/>
                <w:sz w:val="21"/>
                <w:szCs w:val="21"/>
                <w:lang w:val="en-US" w:eastAsia="zh-CN"/>
              </w:rPr>
              <w:t xml:space="preserve">  </w:t>
            </w:r>
            <w:r>
              <w:rPr>
                <w:rFonts w:hint="default" w:ascii="Times New Roman" w:hAnsi="Times New Roman" w:eastAsia="宋体" w:cs="Times New Roman"/>
                <w:b w:val="0"/>
                <w:bCs w:val="0"/>
                <w:color w:val="auto"/>
                <w:spacing w:val="0"/>
                <w:w w:val="100"/>
                <w:sz w:val="21"/>
                <w:szCs w:val="21"/>
              </w:rPr>
              <w:t>信息公开表</w:t>
            </w:r>
          </w:p>
          <w:tbl>
            <w:tblPr>
              <w:tblStyle w:val="21"/>
              <w:tblW w:w="7698"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5"/>
              <w:gridCol w:w="2580"/>
              <w:gridCol w:w="4253"/>
            </w:tblGrid>
            <w:tr w14:paraId="216A4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865" w:type="dxa"/>
                  <w:noWrap w:val="0"/>
                  <w:vAlign w:val="center"/>
                </w:tcPr>
                <w:p w14:paraId="6622D2C0">
                  <w:pPr>
                    <w:pStyle w:val="64"/>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w w:val="100"/>
                      <w:sz w:val="21"/>
                      <w:szCs w:val="21"/>
                      <w:u w:val="none"/>
                    </w:rPr>
                  </w:pPr>
                  <w:r>
                    <w:rPr>
                      <w:rFonts w:hint="default" w:ascii="Times New Roman" w:hAnsi="Times New Roman" w:cs="Times New Roman"/>
                      <w:color w:val="auto"/>
                      <w:spacing w:val="0"/>
                      <w:w w:val="100"/>
                      <w:sz w:val="21"/>
                      <w:szCs w:val="21"/>
                      <w:u w:val="none"/>
                    </w:rPr>
                    <w:t>方式</w:t>
                  </w:r>
                </w:p>
              </w:tc>
              <w:tc>
                <w:tcPr>
                  <w:tcW w:w="2580" w:type="dxa"/>
                  <w:noWrap w:val="0"/>
                  <w:vAlign w:val="center"/>
                </w:tcPr>
                <w:p w14:paraId="135D12A1">
                  <w:pPr>
                    <w:pStyle w:val="64"/>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w w:val="100"/>
                      <w:sz w:val="21"/>
                      <w:szCs w:val="21"/>
                      <w:u w:val="none"/>
                    </w:rPr>
                  </w:pPr>
                  <w:r>
                    <w:rPr>
                      <w:rFonts w:hint="default" w:ascii="Times New Roman" w:hAnsi="Times New Roman" w:cs="Times New Roman"/>
                      <w:color w:val="auto"/>
                      <w:spacing w:val="0"/>
                      <w:w w:val="100"/>
                      <w:sz w:val="21"/>
                      <w:szCs w:val="21"/>
                      <w:u w:val="none"/>
                    </w:rPr>
                    <w:t>时间节点</w:t>
                  </w:r>
                </w:p>
              </w:tc>
              <w:tc>
                <w:tcPr>
                  <w:tcW w:w="4253" w:type="dxa"/>
                  <w:noWrap w:val="0"/>
                  <w:vAlign w:val="center"/>
                </w:tcPr>
                <w:p w14:paraId="0087C2B3">
                  <w:pPr>
                    <w:pStyle w:val="64"/>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w w:val="100"/>
                      <w:sz w:val="21"/>
                      <w:szCs w:val="21"/>
                      <w:u w:val="none"/>
                    </w:rPr>
                  </w:pPr>
                  <w:r>
                    <w:rPr>
                      <w:rFonts w:hint="default" w:ascii="Times New Roman" w:hAnsi="Times New Roman" w:cs="Times New Roman"/>
                      <w:color w:val="auto"/>
                      <w:spacing w:val="0"/>
                      <w:w w:val="100"/>
                      <w:sz w:val="21"/>
                      <w:szCs w:val="21"/>
                      <w:u w:val="none"/>
                    </w:rPr>
                    <w:t>公开内容</w:t>
                  </w:r>
                </w:p>
              </w:tc>
            </w:tr>
            <w:tr w14:paraId="7602D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865" w:type="dxa"/>
                  <w:noWrap w:val="0"/>
                  <w:vAlign w:val="center"/>
                </w:tcPr>
                <w:p w14:paraId="05EFE9C8">
                  <w:pPr>
                    <w:pStyle w:val="64"/>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w w:val="100"/>
                      <w:sz w:val="21"/>
                      <w:szCs w:val="21"/>
                      <w:u w:val="none"/>
                    </w:rPr>
                  </w:pPr>
                  <w:r>
                    <w:rPr>
                      <w:rFonts w:hint="default" w:ascii="Times New Roman" w:hAnsi="Times New Roman" w:cs="Times New Roman"/>
                      <w:color w:val="auto"/>
                      <w:spacing w:val="0"/>
                      <w:w w:val="100"/>
                      <w:sz w:val="21"/>
                      <w:szCs w:val="21"/>
                      <w:u w:val="none"/>
                    </w:rPr>
                    <w:t>宣传栏</w:t>
                  </w:r>
                </w:p>
              </w:tc>
              <w:tc>
                <w:tcPr>
                  <w:tcW w:w="2580" w:type="dxa"/>
                  <w:noWrap w:val="0"/>
                  <w:vAlign w:val="center"/>
                </w:tcPr>
                <w:p w14:paraId="6CA3003B">
                  <w:pPr>
                    <w:pStyle w:val="64"/>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w w:val="100"/>
                      <w:sz w:val="21"/>
                      <w:szCs w:val="21"/>
                      <w:u w:val="none"/>
                    </w:rPr>
                  </w:pPr>
                  <w:r>
                    <w:rPr>
                      <w:rFonts w:hint="default" w:ascii="Times New Roman" w:hAnsi="Times New Roman" w:cs="Times New Roman"/>
                      <w:color w:val="auto"/>
                      <w:spacing w:val="0"/>
                      <w:w w:val="100"/>
                      <w:sz w:val="21"/>
                      <w:szCs w:val="21"/>
                      <w:u w:val="none"/>
                    </w:rPr>
                    <w:t>两周一次</w:t>
                  </w:r>
                </w:p>
              </w:tc>
              <w:tc>
                <w:tcPr>
                  <w:tcW w:w="4253" w:type="dxa"/>
                  <w:noWrap w:val="0"/>
                  <w:vAlign w:val="center"/>
                </w:tcPr>
                <w:p w14:paraId="64316F52">
                  <w:pPr>
                    <w:pStyle w:val="64"/>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w w:val="100"/>
                      <w:sz w:val="21"/>
                      <w:szCs w:val="21"/>
                      <w:u w:val="none"/>
                    </w:rPr>
                  </w:pPr>
                  <w:r>
                    <w:rPr>
                      <w:rFonts w:hint="default" w:ascii="Times New Roman" w:hAnsi="Times New Roman" w:cs="Times New Roman"/>
                      <w:color w:val="auto"/>
                      <w:spacing w:val="0"/>
                      <w:w w:val="100"/>
                      <w:sz w:val="21"/>
                      <w:szCs w:val="21"/>
                      <w:u w:val="none"/>
                    </w:rPr>
                    <w:t>环保设施运行情况</w:t>
                  </w:r>
                </w:p>
              </w:tc>
            </w:tr>
            <w:tr w14:paraId="14769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7" w:hRule="atLeast"/>
              </w:trPr>
              <w:tc>
                <w:tcPr>
                  <w:tcW w:w="865" w:type="dxa"/>
                  <w:noWrap w:val="0"/>
                  <w:vAlign w:val="center"/>
                </w:tcPr>
                <w:p w14:paraId="68267798">
                  <w:pPr>
                    <w:pStyle w:val="64"/>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w w:val="100"/>
                      <w:sz w:val="21"/>
                      <w:szCs w:val="21"/>
                      <w:u w:val="none"/>
                    </w:rPr>
                  </w:pPr>
                  <w:r>
                    <w:rPr>
                      <w:rFonts w:hint="default" w:ascii="Times New Roman" w:hAnsi="Times New Roman" w:cs="Times New Roman"/>
                      <w:color w:val="auto"/>
                      <w:spacing w:val="0"/>
                      <w:w w:val="100"/>
                      <w:sz w:val="21"/>
                      <w:szCs w:val="21"/>
                      <w:u w:val="none"/>
                    </w:rPr>
                    <w:t>宣传栏</w:t>
                  </w:r>
                </w:p>
              </w:tc>
              <w:tc>
                <w:tcPr>
                  <w:tcW w:w="2580" w:type="dxa"/>
                  <w:noWrap w:val="0"/>
                  <w:vAlign w:val="center"/>
                </w:tcPr>
                <w:p w14:paraId="4D6BE2E9">
                  <w:pPr>
                    <w:pStyle w:val="64"/>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w w:val="100"/>
                      <w:sz w:val="21"/>
                      <w:szCs w:val="21"/>
                      <w:u w:val="none"/>
                    </w:rPr>
                  </w:pPr>
                  <w:r>
                    <w:rPr>
                      <w:rFonts w:hint="default" w:ascii="Times New Roman" w:hAnsi="Times New Roman" w:cs="Times New Roman"/>
                      <w:color w:val="auto"/>
                      <w:spacing w:val="0"/>
                      <w:w w:val="100"/>
                      <w:sz w:val="21"/>
                      <w:szCs w:val="21"/>
                      <w:u w:val="none"/>
                    </w:rPr>
                    <w:t>1企业基础信息应随监测数据一并公布，基础信息、自行监测方案如有调整变化时，应于变更后的五日内公布最新内容；2每年一月底前公布上年度自行监测年度报告。</w:t>
                  </w:r>
                </w:p>
              </w:tc>
              <w:tc>
                <w:tcPr>
                  <w:tcW w:w="4253" w:type="dxa"/>
                  <w:noWrap w:val="0"/>
                  <w:vAlign w:val="center"/>
                </w:tcPr>
                <w:p w14:paraId="3AE37BB8">
                  <w:pPr>
                    <w:pStyle w:val="64"/>
                    <w:keepNext w:val="0"/>
                    <w:keepLines w:val="0"/>
                    <w:suppressLineNumbers w:val="0"/>
                    <w:spacing w:before="0" w:beforeAutospacing="0" w:after="0" w:afterAutospacing="0" w:line="240" w:lineRule="auto"/>
                    <w:ind w:left="0" w:right="0"/>
                    <w:jc w:val="left"/>
                    <w:rPr>
                      <w:rFonts w:hint="default" w:ascii="Times New Roman" w:hAnsi="Times New Roman" w:cs="Times New Roman"/>
                      <w:color w:val="auto"/>
                      <w:spacing w:val="0"/>
                      <w:w w:val="100"/>
                      <w:sz w:val="21"/>
                      <w:szCs w:val="21"/>
                      <w:u w:val="none"/>
                    </w:rPr>
                  </w:pPr>
                  <w:r>
                    <w:rPr>
                      <w:rFonts w:hint="default" w:ascii="Times New Roman" w:hAnsi="Times New Roman" w:cs="Times New Roman"/>
                      <w:color w:val="auto"/>
                      <w:spacing w:val="0"/>
                      <w:w w:val="100"/>
                      <w:sz w:val="21"/>
                      <w:szCs w:val="21"/>
                      <w:u w:val="none"/>
                    </w:rPr>
                    <w:t>1基础信息：企业名称、法人代表、所属行业、地理位置、生产周期、联系方式、监测机构名称等；2自行监测方案；3自行监测结果：全部监测点位、监测时间、污染物种类及浓度、标准限值、达标情况、超标倍数、污染物排放方式及排放去向；4未开展自行监测的原因；5污染源监测年度报告。</w:t>
                  </w:r>
                </w:p>
              </w:tc>
            </w:tr>
            <w:tr w14:paraId="6DBF2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7698" w:type="dxa"/>
                  <w:gridSpan w:val="3"/>
                  <w:noWrap w:val="0"/>
                  <w:vAlign w:val="center"/>
                </w:tcPr>
                <w:p w14:paraId="27E84221">
                  <w:pPr>
                    <w:pStyle w:val="64"/>
                    <w:keepNext w:val="0"/>
                    <w:keepLines w:val="0"/>
                    <w:suppressLineNumbers w:val="0"/>
                    <w:spacing w:before="0" w:beforeAutospacing="0" w:after="0" w:afterAutospacing="0" w:line="240" w:lineRule="auto"/>
                    <w:ind w:left="0" w:right="0"/>
                    <w:jc w:val="left"/>
                    <w:rPr>
                      <w:rFonts w:hint="default" w:ascii="Times New Roman" w:hAnsi="Times New Roman" w:cs="Times New Roman"/>
                      <w:color w:val="auto"/>
                      <w:spacing w:val="0"/>
                      <w:w w:val="100"/>
                      <w:sz w:val="21"/>
                      <w:szCs w:val="21"/>
                      <w:u w:val="none"/>
                    </w:rPr>
                  </w:pPr>
                  <w:r>
                    <w:rPr>
                      <w:rFonts w:hint="default" w:ascii="Times New Roman" w:hAnsi="Times New Roman" w:cs="Times New Roman"/>
                      <w:color w:val="auto"/>
                      <w:spacing w:val="0"/>
                      <w:w w:val="100"/>
                      <w:sz w:val="21"/>
                      <w:szCs w:val="21"/>
                      <w:u w:val="none"/>
                    </w:rPr>
                    <w:t>备注：信息公开主体为建设单位</w:t>
                  </w:r>
                </w:p>
              </w:tc>
            </w:tr>
          </w:tbl>
          <w:p w14:paraId="3528C196">
            <w:pPr>
              <w:pStyle w:val="4"/>
              <w:keepNext w:val="0"/>
              <w:keepLines w:val="0"/>
              <w:suppressLineNumbers w:val="0"/>
              <w:ind w:left="0" w:right="0"/>
              <w:rPr>
                <w:rFonts w:hint="default"/>
                <w:color w:val="auto"/>
                <w:spacing w:val="0"/>
                <w:w w:val="100"/>
              </w:rPr>
            </w:pPr>
          </w:p>
          <w:p w14:paraId="53086AA8">
            <w:pPr>
              <w:pStyle w:val="20"/>
              <w:keepNext w:val="0"/>
              <w:keepLines w:val="0"/>
              <w:suppressLineNumbers w:val="0"/>
              <w:spacing w:before="0" w:beforeAutospacing="0" w:afterAutospacing="0"/>
              <w:ind w:right="0"/>
              <w:rPr>
                <w:rFonts w:hint="default" w:ascii="Times New Roman" w:hAnsi="Times New Roman" w:cs="Times New Roman"/>
                <w:color w:val="auto"/>
                <w:spacing w:val="0"/>
                <w:w w:val="100"/>
                <w:lang w:val="en-US" w:eastAsia="zh-CN"/>
              </w:rPr>
            </w:pPr>
          </w:p>
          <w:p w14:paraId="109A4218">
            <w:pPr>
              <w:keepNext w:val="0"/>
              <w:keepLines w:val="0"/>
              <w:suppressLineNumbers w:val="0"/>
              <w:spacing w:before="0" w:beforeAutospacing="0" w:after="0" w:afterAutospacing="0"/>
              <w:ind w:left="0" w:right="0"/>
              <w:rPr>
                <w:rFonts w:hint="default" w:ascii="Times New Roman" w:hAnsi="Times New Roman" w:cs="Times New Roman"/>
                <w:color w:val="auto"/>
                <w:spacing w:val="0"/>
                <w:w w:val="100"/>
                <w:lang w:val="en-US" w:eastAsia="zh-CN"/>
              </w:rPr>
            </w:pPr>
          </w:p>
          <w:p w14:paraId="793923CB">
            <w:pPr>
              <w:keepNext w:val="0"/>
              <w:keepLines w:val="0"/>
              <w:suppressLineNumbers w:val="0"/>
              <w:spacing w:before="0" w:beforeAutospacing="0" w:after="0" w:afterAutospacing="0"/>
              <w:ind w:left="0" w:right="0"/>
              <w:rPr>
                <w:rFonts w:hint="default" w:ascii="Times New Roman" w:hAnsi="Times New Roman" w:cs="Times New Roman"/>
                <w:color w:val="auto"/>
                <w:spacing w:val="0"/>
                <w:w w:val="100"/>
                <w:lang w:val="en-US" w:eastAsia="zh-CN"/>
              </w:rPr>
            </w:pPr>
          </w:p>
          <w:p w14:paraId="0ECFA115">
            <w:pPr>
              <w:keepNext w:val="0"/>
              <w:keepLines w:val="0"/>
              <w:suppressLineNumbers w:val="0"/>
              <w:spacing w:before="0" w:beforeAutospacing="0" w:after="0" w:afterAutospacing="0"/>
              <w:ind w:left="0" w:right="0"/>
              <w:rPr>
                <w:rFonts w:hint="default" w:ascii="Times New Roman" w:hAnsi="Times New Roman" w:cs="Times New Roman"/>
                <w:color w:val="auto"/>
                <w:spacing w:val="0"/>
                <w:w w:val="100"/>
                <w:lang w:val="en-US" w:eastAsia="zh-CN"/>
              </w:rPr>
            </w:pPr>
          </w:p>
        </w:tc>
      </w:tr>
    </w:tbl>
    <w:p w14:paraId="1DA5E74E">
      <w:pPr>
        <w:pStyle w:val="19"/>
        <w:keepNext w:val="0"/>
        <w:keepLines w:val="0"/>
        <w:pageBreakBefore w:val="0"/>
        <w:widowControl/>
        <w:kinsoku/>
        <w:wordWrap/>
        <w:overflowPunct/>
        <w:topLinePunct w:val="0"/>
        <w:autoSpaceDE/>
        <w:autoSpaceDN/>
        <w:bidi w:val="0"/>
        <w:adjustRightInd/>
        <w:snapToGrid/>
        <w:spacing w:beforeAutospacing="0" w:afterAutospacing="0" w:line="360" w:lineRule="auto"/>
        <w:jc w:val="center"/>
        <w:textAlignment w:val="auto"/>
        <w:outlineLvl w:val="0"/>
        <w:rPr>
          <w:rFonts w:hint="default" w:ascii="Times New Roman" w:hAnsi="Times New Roman" w:eastAsia="黑体" w:cs="Times New Roman"/>
          <w:color w:val="auto"/>
          <w:spacing w:val="0"/>
          <w:w w:val="100"/>
          <w:sz w:val="30"/>
          <w:szCs w:val="30"/>
          <w:lang w:val="en-US"/>
        </w:rPr>
      </w:pPr>
      <w:r>
        <w:rPr>
          <w:rFonts w:hint="default" w:ascii="Times New Roman" w:hAnsi="Times New Roman" w:eastAsia="宋体" w:cs="Times New Roman"/>
          <w:snapToGrid w:val="0"/>
          <w:color w:val="auto"/>
          <w:spacing w:val="0"/>
          <w:w w:val="100"/>
          <w:sz w:val="24"/>
          <w:szCs w:val="20"/>
          <w:lang w:val="en-US" w:eastAsia="zh-CN" w:bidi="ar"/>
        </w:rPr>
        <w:br w:type="page"/>
      </w:r>
      <w:r>
        <w:rPr>
          <w:rFonts w:hint="default" w:ascii="Times New Roman" w:hAnsi="Times New Roman" w:eastAsia="黑体" w:cs="Times New Roman"/>
          <w:snapToGrid w:val="0"/>
          <w:color w:val="auto"/>
          <w:spacing w:val="0"/>
          <w:w w:val="100"/>
          <w:sz w:val="30"/>
          <w:szCs w:val="30"/>
          <w:lang w:eastAsia="zh-CN"/>
        </w:rPr>
        <w:t>六、结论</w:t>
      </w:r>
    </w:p>
    <w:tbl>
      <w:tblPr>
        <w:tblStyle w:val="21"/>
        <w:tblW w:w="953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530"/>
      </w:tblGrid>
      <w:tr w14:paraId="2256F3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033" w:hRule="atLeast"/>
          <w:jc w:val="center"/>
        </w:trPr>
        <w:tc>
          <w:tcPr>
            <w:tcW w:w="9530" w:type="dxa"/>
            <w:tcBorders>
              <w:top w:val="single" w:color="auto" w:sz="8" w:space="0"/>
              <w:left w:val="single" w:color="auto" w:sz="8" w:space="0"/>
              <w:bottom w:val="single" w:color="auto" w:sz="8" w:space="0"/>
              <w:right w:val="single" w:color="auto" w:sz="8" w:space="0"/>
            </w:tcBorders>
            <w:shd w:val="clear" w:color="auto" w:fill="auto"/>
            <w:vAlign w:val="top"/>
          </w:tcPr>
          <w:p w14:paraId="7D1A6316">
            <w:pPr>
              <w:keepNext w:val="0"/>
              <w:keepLines w:val="0"/>
              <w:pageBreakBefore w:val="0"/>
              <w:widowControl w:val="0"/>
              <w:suppressLineNumbers w:val="0"/>
              <w:tabs>
                <w:tab w:val="left" w:pos="525"/>
              </w:tabs>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pacing w:val="0"/>
                <w:w w:val="100"/>
                <w:sz w:val="24"/>
                <w:szCs w:val="24"/>
                <w:lang w:val="en-US"/>
              </w:rPr>
            </w:pPr>
            <w:r>
              <w:rPr>
                <w:rFonts w:hint="eastAsia" w:ascii="Times New Roman" w:hAnsi="Times New Roman" w:cs="Times New Roman"/>
                <w:color w:val="auto"/>
                <w:spacing w:val="0"/>
                <w:w w:val="100"/>
                <w:sz w:val="24"/>
                <w:szCs w:val="24"/>
                <w:lang w:val="en-US" w:eastAsia="zh-CN"/>
              </w:rPr>
              <w:t>综上，陇县经济技术开发区水污染综合治理及再生水资源节约利用项目</w:t>
            </w:r>
            <w:r>
              <w:rPr>
                <w:rFonts w:hint="default" w:ascii="Times New Roman" w:hAnsi="Times New Roman" w:cs="Times New Roman"/>
                <w:color w:val="auto"/>
                <w:spacing w:val="0"/>
                <w:w w:val="100"/>
                <w:sz w:val="24"/>
                <w:szCs w:val="24"/>
              </w:rPr>
              <w:t>符合</w:t>
            </w:r>
            <w:r>
              <w:rPr>
                <w:rFonts w:hint="default" w:ascii="Times New Roman" w:hAnsi="Times New Roman" w:cs="Times New Roman"/>
                <w:color w:val="auto"/>
                <w:spacing w:val="0"/>
                <w:w w:val="100"/>
                <w:sz w:val="24"/>
                <w:szCs w:val="24"/>
                <w:lang w:eastAsia="zh-CN"/>
              </w:rPr>
              <w:t>国家及地方环保政策</w:t>
            </w:r>
            <w:r>
              <w:rPr>
                <w:rFonts w:hint="default" w:ascii="Times New Roman" w:hAnsi="Times New Roman" w:cs="Times New Roman"/>
                <w:color w:val="auto"/>
                <w:spacing w:val="0"/>
                <w:w w:val="100"/>
                <w:sz w:val="24"/>
                <w:szCs w:val="24"/>
              </w:rPr>
              <w:t>，</w:t>
            </w:r>
            <w:r>
              <w:rPr>
                <w:rFonts w:hint="default" w:ascii="Times New Roman" w:hAnsi="Times New Roman" w:eastAsia="宋体" w:cs="Times New Roman"/>
                <w:color w:val="auto"/>
                <w:spacing w:val="0"/>
                <w:w w:val="100"/>
                <w:sz w:val="24"/>
                <w:szCs w:val="24"/>
              </w:rPr>
              <w:t>项目生产运行过程中污染物产生量相对较小，能够做到污染物达标排放</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因此，在各项环保措施真正落实的基础上，从环保的角度，本项目的建设是可行的。</w:t>
            </w:r>
          </w:p>
        </w:tc>
      </w:tr>
    </w:tbl>
    <w:p w14:paraId="42541C2A">
      <w:pPr>
        <w:rPr>
          <w:rFonts w:hint="default" w:ascii="Times New Roman" w:hAnsi="Times New Roman" w:eastAsia="宋体" w:cs="Times New Roman"/>
          <w:color w:val="auto"/>
          <w:spacing w:val="0"/>
          <w:w w:val="100"/>
          <w:kern w:val="2"/>
          <w:sz w:val="21"/>
          <w:szCs w:val="24"/>
          <w:lang w:val="en-US" w:eastAsia="zh-CN" w:bidi="ar"/>
        </w:rPr>
        <w:sectPr>
          <w:footerReference r:id="rId7" w:type="default"/>
          <w:pgSz w:w="11906" w:h="16838"/>
          <w:pgMar w:top="1440" w:right="1440" w:bottom="1440" w:left="1440" w:header="851" w:footer="851" w:gutter="0"/>
          <w:pgNumType w:fmt="decimal"/>
          <w:cols w:space="425" w:num="1"/>
          <w:docGrid w:type="lines" w:linePitch="312" w:charSpace="0"/>
        </w:sectPr>
      </w:pPr>
    </w:p>
    <w:p w14:paraId="52643CAB">
      <w:pPr>
        <w:pStyle w:val="19"/>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right="0"/>
        <w:textAlignment w:val="auto"/>
        <w:outlineLvl w:val="0"/>
        <w:rPr>
          <w:rFonts w:hint="default" w:ascii="Times New Roman" w:hAnsi="Times New Roman" w:eastAsia="黑体" w:cs="Times New Roman"/>
          <w:i w:val="0"/>
          <w:iCs w:val="0"/>
          <w:color w:val="auto"/>
          <w:spacing w:val="0"/>
          <w:w w:val="100"/>
          <w:sz w:val="32"/>
          <w:szCs w:val="32"/>
          <w:lang w:val="en-US"/>
        </w:rPr>
      </w:pPr>
      <w:r>
        <w:rPr>
          <w:rFonts w:hint="default" w:ascii="Times New Roman" w:hAnsi="Times New Roman" w:eastAsia="黑体" w:cs="Times New Roman"/>
          <w:i w:val="0"/>
          <w:iCs w:val="0"/>
          <w:snapToGrid w:val="0"/>
          <w:color w:val="auto"/>
          <w:spacing w:val="0"/>
          <w:w w:val="100"/>
          <w:sz w:val="32"/>
          <w:szCs w:val="32"/>
          <w:lang w:eastAsia="zh-CN"/>
        </w:rPr>
        <w:t>附表</w:t>
      </w:r>
    </w:p>
    <w:p w14:paraId="7514620F">
      <w:pPr>
        <w:pStyle w:val="19"/>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outlineLvl w:val="0"/>
        <w:rPr>
          <w:rFonts w:hint="default" w:ascii="Times New Roman" w:hAnsi="Times New Roman" w:eastAsia="方正小标宋_GBK" w:cs="Times New Roman"/>
          <w:i w:val="0"/>
          <w:iCs w:val="0"/>
          <w:color w:val="auto"/>
          <w:spacing w:val="0"/>
          <w:w w:val="100"/>
          <w:sz w:val="38"/>
          <w:szCs w:val="38"/>
          <w:lang w:val="en-US"/>
        </w:rPr>
      </w:pPr>
      <w:r>
        <w:rPr>
          <w:rFonts w:hint="default" w:ascii="Times New Roman" w:hAnsi="Times New Roman" w:eastAsia="方正小标宋_GBK" w:cs="Times New Roman"/>
          <w:i w:val="0"/>
          <w:iCs w:val="0"/>
          <w:snapToGrid w:val="0"/>
          <w:color w:val="auto"/>
          <w:spacing w:val="0"/>
          <w:w w:val="100"/>
          <w:sz w:val="38"/>
          <w:szCs w:val="38"/>
          <w:lang w:eastAsia="zh-CN"/>
        </w:rPr>
        <w:t>建设项目污染物排放量汇总表</w:t>
      </w:r>
    </w:p>
    <w:tbl>
      <w:tblPr>
        <w:tblStyle w:val="21"/>
        <w:tblW w:w="1529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647"/>
        <w:gridCol w:w="1850"/>
        <w:gridCol w:w="1642"/>
        <w:gridCol w:w="1423"/>
        <w:gridCol w:w="1762"/>
        <w:gridCol w:w="1711"/>
        <w:gridCol w:w="1797"/>
        <w:gridCol w:w="2050"/>
        <w:gridCol w:w="1414"/>
      </w:tblGrid>
      <w:tr w14:paraId="6B9B82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00" w:hRule="atLeast"/>
        </w:trPr>
        <w:tc>
          <w:tcPr>
            <w:tcW w:w="1647" w:type="dxa"/>
            <w:tcBorders>
              <w:top w:val="single" w:color="auto" w:sz="8" w:space="0"/>
              <w:left w:val="single" w:color="auto" w:sz="8" w:space="0"/>
              <w:bottom w:val="single" w:color="auto" w:sz="4" w:space="0"/>
              <w:right w:val="single" w:color="auto" w:sz="4" w:space="0"/>
              <w:tl2br w:val="single" w:color="auto" w:sz="4" w:space="0"/>
            </w:tcBorders>
            <w:shd w:val="clear" w:color="auto" w:fill="auto"/>
            <w:tcMar>
              <w:left w:w="28" w:type="dxa"/>
              <w:right w:w="28" w:type="dxa"/>
            </w:tcMar>
            <w:vAlign w:val="center"/>
          </w:tcPr>
          <w:p w14:paraId="08C2D3F0">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lang w:val="en-US" w:eastAsia="zh-CN"/>
              </w:rPr>
              <w:t xml:space="preserve">    </w:t>
            </w:r>
            <w:r>
              <w:rPr>
                <w:rFonts w:hint="default" w:ascii="Times New Roman" w:hAnsi="Times New Roman" w:eastAsia="黑体" w:cs="Times New Roman"/>
                <w:i w:val="0"/>
                <w:iCs w:val="0"/>
                <w:snapToGrid w:val="0"/>
                <w:color w:val="auto"/>
                <w:spacing w:val="0"/>
                <w:w w:val="100"/>
                <w:kern w:val="21"/>
                <w:sz w:val="24"/>
                <w:szCs w:val="24"/>
              </w:rPr>
              <w:t>项目</w:t>
            </w:r>
          </w:p>
          <w:p w14:paraId="343C1619">
            <w:pPr>
              <w:pStyle w:val="31"/>
              <w:widowControl/>
              <w:spacing w:beforeLines="10" w:beforeAutospacing="0" w:after="0" w:afterAutospacing="0" w:line="240" w:lineRule="auto"/>
              <w:ind w:right="0"/>
              <w:jc w:val="both"/>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分类</w:t>
            </w:r>
          </w:p>
        </w:tc>
        <w:tc>
          <w:tcPr>
            <w:tcW w:w="1850"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67648CF5">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污染物名称</w:t>
            </w:r>
          </w:p>
        </w:tc>
        <w:tc>
          <w:tcPr>
            <w:tcW w:w="1642"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249A030C">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现有工程</w:t>
            </w:r>
          </w:p>
          <w:p w14:paraId="20D848DC">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snapToGrid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排放量（固体废物产生量）</w:t>
            </w:r>
            <w:r>
              <w:rPr>
                <w:rFonts w:hint="default" w:ascii="Times New Roman" w:hAnsi="Times New Roman" w:eastAsia="黑体" w:cs="Times New Roman"/>
                <w:i w:val="0"/>
                <w:iCs w:val="0"/>
                <w:color w:val="auto"/>
                <w:spacing w:val="0"/>
                <w:w w:val="100"/>
                <w:kern w:val="21"/>
                <w:sz w:val="24"/>
                <w:szCs w:val="24"/>
                <w:lang w:val="en-US"/>
              </w:rPr>
              <w:fldChar w:fldCharType="begin"/>
            </w:r>
            <w:r>
              <w:rPr>
                <w:rFonts w:hint="default" w:ascii="Times New Roman" w:hAnsi="Times New Roman" w:eastAsia="黑体" w:cs="Times New Roman"/>
                <w:i w:val="0"/>
                <w:iCs w:val="0"/>
                <w:snapToGrid w:val="0"/>
                <w:color w:val="auto"/>
                <w:spacing w:val="0"/>
                <w:w w:val="100"/>
                <w:kern w:val="21"/>
                <w:sz w:val="24"/>
                <w:szCs w:val="24"/>
                <w:lang w:val="en-US"/>
              </w:rPr>
              <w:instrText xml:space="preserve"> = 1 \* GB3 \* MERGEFORMAT </w:instrText>
            </w:r>
            <w:r>
              <w:rPr>
                <w:rFonts w:hint="default" w:ascii="Times New Roman" w:hAnsi="Times New Roman" w:eastAsia="黑体" w:cs="Times New Roman"/>
                <w:i w:val="0"/>
                <w:iCs w:val="0"/>
                <w:color w:val="auto"/>
                <w:spacing w:val="0"/>
                <w:w w:val="100"/>
                <w:kern w:val="21"/>
                <w:sz w:val="24"/>
                <w:szCs w:val="24"/>
                <w:lang w:val="en-US"/>
              </w:rPr>
              <w:fldChar w:fldCharType="separate"/>
            </w:r>
            <w:r>
              <w:rPr>
                <w:rFonts w:hint="default" w:ascii="Times New Roman" w:hAnsi="Times New Roman" w:eastAsia="黑体" w:cs="Times New Roman"/>
                <w:i w:val="0"/>
                <w:iCs w:val="0"/>
                <w:color w:val="auto"/>
                <w:spacing w:val="0"/>
                <w:w w:val="100"/>
                <w:kern w:val="2"/>
                <w:sz w:val="24"/>
                <w:szCs w:val="24"/>
              </w:rPr>
              <w:t>①</w:t>
            </w:r>
            <w:r>
              <w:rPr>
                <w:rFonts w:hint="default" w:ascii="Times New Roman" w:hAnsi="Times New Roman" w:eastAsia="黑体" w:cs="Times New Roman"/>
                <w:i w:val="0"/>
                <w:iCs w:val="0"/>
                <w:color w:val="auto"/>
                <w:spacing w:val="0"/>
                <w:w w:val="100"/>
                <w:kern w:val="21"/>
                <w:sz w:val="24"/>
                <w:szCs w:val="24"/>
                <w:lang w:val="en-US"/>
              </w:rPr>
              <w:fldChar w:fldCharType="end"/>
            </w:r>
          </w:p>
        </w:tc>
        <w:tc>
          <w:tcPr>
            <w:tcW w:w="1423"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18BC357E">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现有工程</w:t>
            </w:r>
          </w:p>
          <w:p w14:paraId="18A7B7D9">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许可排放量</w:t>
            </w:r>
          </w:p>
          <w:p w14:paraId="521D3F3D">
            <w:pPr>
              <w:pStyle w:val="31"/>
              <w:widowControl/>
              <w:spacing w:beforeLines="10" w:beforeAutospacing="0" w:after="0" w:afterAutospacing="0"/>
              <w:ind w:left="0" w:right="0"/>
              <w:jc w:val="center"/>
              <w:rPr>
                <w:rFonts w:hint="default" w:ascii="Times New Roman" w:hAnsi="Times New Roman" w:eastAsia="黑体" w:cs="Times New Roman"/>
                <w:i w:val="0"/>
                <w:iCs w:val="0"/>
                <w:snapToGrid w:val="0"/>
                <w:color w:val="auto"/>
                <w:spacing w:val="0"/>
                <w:w w:val="100"/>
                <w:kern w:val="21"/>
                <w:sz w:val="24"/>
                <w:szCs w:val="24"/>
                <w:lang w:val="en-US"/>
              </w:rPr>
            </w:pPr>
            <w:r>
              <w:rPr>
                <w:rFonts w:hint="default" w:ascii="Times New Roman" w:hAnsi="Times New Roman" w:eastAsia="黑体" w:cs="Times New Roman"/>
                <w:i w:val="0"/>
                <w:iCs w:val="0"/>
                <w:color w:val="auto"/>
                <w:spacing w:val="0"/>
                <w:w w:val="100"/>
                <w:kern w:val="21"/>
                <w:sz w:val="24"/>
                <w:szCs w:val="24"/>
                <w:lang w:val="en-US"/>
              </w:rPr>
              <w:fldChar w:fldCharType="begin"/>
            </w:r>
            <w:r>
              <w:rPr>
                <w:rFonts w:hint="default" w:ascii="Times New Roman" w:hAnsi="Times New Roman" w:eastAsia="黑体" w:cs="Times New Roman"/>
                <w:i w:val="0"/>
                <w:iCs w:val="0"/>
                <w:color w:val="auto"/>
                <w:spacing w:val="0"/>
                <w:w w:val="100"/>
                <w:kern w:val="21"/>
                <w:sz w:val="24"/>
                <w:szCs w:val="24"/>
                <w:lang w:val="en-US"/>
              </w:rPr>
              <w:instrText xml:space="preserve"> </w:instrText>
            </w:r>
            <w:r>
              <w:rPr>
                <w:rFonts w:hint="default" w:ascii="Times New Roman" w:hAnsi="Times New Roman" w:eastAsia="黑体" w:cs="Times New Roman"/>
                <w:i w:val="0"/>
                <w:iCs w:val="0"/>
                <w:snapToGrid w:val="0"/>
                <w:color w:val="auto"/>
                <w:spacing w:val="0"/>
                <w:w w:val="100"/>
                <w:kern w:val="21"/>
                <w:sz w:val="24"/>
                <w:szCs w:val="24"/>
                <w:lang w:val="en-US"/>
              </w:rPr>
              <w:instrText xml:space="preserve">= 2 \* GB3 \* MERGEFORMAT </w:instrText>
            </w:r>
            <w:r>
              <w:rPr>
                <w:rFonts w:hint="default" w:ascii="Times New Roman" w:hAnsi="Times New Roman" w:eastAsia="黑体" w:cs="Times New Roman"/>
                <w:i w:val="0"/>
                <w:iCs w:val="0"/>
                <w:color w:val="auto"/>
                <w:spacing w:val="0"/>
                <w:w w:val="100"/>
                <w:kern w:val="21"/>
                <w:sz w:val="24"/>
                <w:szCs w:val="24"/>
                <w:lang w:val="en-US"/>
              </w:rPr>
              <w:fldChar w:fldCharType="separate"/>
            </w:r>
            <w:r>
              <w:rPr>
                <w:rFonts w:hint="default" w:ascii="Times New Roman" w:hAnsi="Times New Roman" w:eastAsia="黑体" w:cs="Times New Roman"/>
                <w:i w:val="0"/>
                <w:iCs w:val="0"/>
                <w:snapToGrid w:val="0"/>
                <w:color w:val="auto"/>
                <w:spacing w:val="0"/>
                <w:w w:val="100"/>
                <w:kern w:val="21"/>
                <w:sz w:val="24"/>
                <w:szCs w:val="24"/>
              </w:rPr>
              <w:t>②</w:t>
            </w:r>
            <w:r>
              <w:rPr>
                <w:rFonts w:hint="default" w:ascii="Times New Roman" w:hAnsi="Times New Roman" w:eastAsia="黑体" w:cs="Times New Roman"/>
                <w:i w:val="0"/>
                <w:iCs w:val="0"/>
                <w:color w:val="auto"/>
                <w:spacing w:val="0"/>
                <w:w w:val="100"/>
                <w:kern w:val="21"/>
                <w:sz w:val="24"/>
                <w:szCs w:val="24"/>
                <w:lang w:val="en-US"/>
              </w:rPr>
              <w:fldChar w:fldCharType="end"/>
            </w:r>
          </w:p>
        </w:tc>
        <w:tc>
          <w:tcPr>
            <w:tcW w:w="1762"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0D5EABEE">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在建工程</w:t>
            </w:r>
          </w:p>
          <w:p w14:paraId="751B2E77">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snapToGrid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排放量（固体废物产生量）</w:t>
            </w:r>
            <w:r>
              <w:rPr>
                <w:rFonts w:hint="default" w:ascii="Times New Roman" w:hAnsi="Times New Roman" w:eastAsia="黑体" w:cs="Times New Roman"/>
                <w:i w:val="0"/>
                <w:iCs w:val="0"/>
                <w:color w:val="auto"/>
                <w:spacing w:val="0"/>
                <w:w w:val="100"/>
                <w:kern w:val="21"/>
                <w:sz w:val="24"/>
                <w:szCs w:val="24"/>
                <w:lang w:val="en-US"/>
              </w:rPr>
              <w:fldChar w:fldCharType="begin"/>
            </w:r>
            <w:r>
              <w:rPr>
                <w:rFonts w:hint="default" w:ascii="Times New Roman" w:hAnsi="Times New Roman" w:eastAsia="黑体" w:cs="Times New Roman"/>
                <w:i w:val="0"/>
                <w:iCs w:val="0"/>
                <w:snapToGrid w:val="0"/>
                <w:color w:val="auto"/>
                <w:spacing w:val="0"/>
                <w:w w:val="100"/>
                <w:kern w:val="21"/>
                <w:sz w:val="24"/>
                <w:szCs w:val="24"/>
                <w:lang w:val="en-US"/>
              </w:rPr>
              <w:instrText xml:space="preserve"> = 3 \* GB3 \* MERGEFORMAT </w:instrText>
            </w:r>
            <w:r>
              <w:rPr>
                <w:rFonts w:hint="default" w:ascii="Times New Roman" w:hAnsi="Times New Roman" w:eastAsia="黑体" w:cs="Times New Roman"/>
                <w:i w:val="0"/>
                <w:iCs w:val="0"/>
                <w:color w:val="auto"/>
                <w:spacing w:val="0"/>
                <w:w w:val="100"/>
                <w:kern w:val="21"/>
                <w:sz w:val="24"/>
                <w:szCs w:val="24"/>
                <w:lang w:val="en-US"/>
              </w:rPr>
              <w:fldChar w:fldCharType="separate"/>
            </w:r>
            <w:r>
              <w:rPr>
                <w:rFonts w:hint="default" w:ascii="Times New Roman" w:hAnsi="Times New Roman" w:eastAsia="黑体" w:cs="Times New Roman"/>
                <w:i w:val="0"/>
                <w:iCs w:val="0"/>
                <w:color w:val="auto"/>
                <w:spacing w:val="0"/>
                <w:w w:val="100"/>
                <w:kern w:val="2"/>
                <w:sz w:val="24"/>
                <w:szCs w:val="24"/>
              </w:rPr>
              <w:t>③</w:t>
            </w:r>
            <w:r>
              <w:rPr>
                <w:rFonts w:hint="default" w:ascii="Times New Roman" w:hAnsi="Times New Roman" w:eastAsia="黑体" w:cs="Times New Roman"/>
                <w:i w:val="0"/>
                <w:iCs w:val="0"/>
                <w:color w:val="auto"/>
                <w:spacing w:val="0"/>
                <w:w w:val="100"/>
                <w:kern w:val="21"/>
                <w:sz w:val="24"/>
                <w:szCs w:val="24"/>
                <w:lang w:val="en-US"/>
              </w:rPr>
              <w:fldChar w:fldCharType="end"/>
            </w:r>
          </w:p>
        </w:tc>
        <w:tc>
          <w:tcPr>
            <w:tcW w:w="1711"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7D8B2E0D">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本项目</w:t>
            </w:r>
          </w:p>
          <w:p w14:paraId="55620C22">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snapToGrid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排放量（固体废物产生量）</w:t>
            </w:r>
            <w:r>
              <w:rPr>
                <w:rFonts w:hint="default" w:ascii="Times New Roman" w:hAnsi="Times New Roman" w:eastAsia="黑体" w:cs="Times New Roman"/>
                <w:i w:val="0"/>
                <w:iCs w:val="0"/>
                <w:color w:val="auto"/>
                <w:spacing w:val="0"/>
                <w:w w:val="100"/>
                <w:kern w:val="21"/>
                <w:sz w:val="24"/>
                <w:szCs w:val="24"/>
                <w:lang w:val="en-US"/>
              </w:rPr>
              <w:fldChar w:fldCharType="begin"/>
            </w:r>
            <w:r>
              <w:rPr>
                <w:rFonts w:hint="default" w:ascii="Times New Roman" w:hAnsi="Times New Roman" w:eastAsia="黑体" w:cs="Times New Roman"/>
                <w:i w:val="0"/>
                <w:iCs w:val="0"/>
                <w:snapToGrid w:val="0"/>
                <w:color w:val="auto"/>
                <w:spacing w:val="0"/>
                <w:w w:val="100"/>
                <w:kern w:val="21"/>
                <w:sz w:val="24"/>
                <w:szCs w:val="24"/>
                <w:lang w:val="en-US"/>
              </w:rPr>
              <w:instrText xml:space="preserve"> = 4 \* GB3 \* MERGEFORMAT </w:instrText>
            </w:r>
            <w:r>
              <w:rPr>
                <w:rFonts w:hint="default" w:ascii="Times New Roman" w:hAnsi="Times New Roman" w:eastAsia="黑体" w:cs="Times New Roman"/>
                <w:i w:val="0"/>
                <w:iCs w:val="0"/>
                <w:color w:val="auto"/>
                <w:spacing w:val="0"/>
                <w:w w:val="100"/>
                <w:kern w:val="21"/>
                <w:sz w:val="24"/>
                <w:szCs w:val="24"/>
                <w:lang w:val="en-US"/>
              </w:rPr>
              <w:fldChar w:fldCharType="separate"/>
            </w:r>
            <w:r>
              <w:rPr>
                <w:rFonts w:hint="default" w:ascii="Times New Roman" w:hAnsi="Times New Roman" w:eastAsia="黑体" w:cs="Times New Roman"/>
                <w:i w:val="0"/>
                <w:iCs w:val="0"/>
                <w:color w:val="auto"/>
                <w:spacing w:val="0"/>
                <w:w w:val="100"/>
                <w:kern w:val="2"/>
                <w:sz w:val="24"/>
                <w:szCs w:val="24"/>
              </w:rPr>
              <w:t>④</w:t>
            </w:r>
            <w:r>
              <w:rPr>
                <w:rFonts w:hint="default" w:ascii="Times New Roman" w:hAnsi="Times New Roman" w:eastAsia="黑体" w:cs="Times New Roman"/>
                <w:i w:val="0"/>
                <w:iCs w:val="0"/>
                <w:color w:val="auto"/>
                <w:spacing w:val="0"/>
                <w:w w:val="100"/>
                <w:kern w:val="21"/>
                <w:sz w:val="24"/>
                <w:szCs w:val="24"/>
                <w:lang w:val="en-US"/>
              </w:rPr>
              <w:fldChar w:fldCharType="end"/>
            </w:r>
          </w:p>
        </w:tc>
        <w:tc>
          <w:tcPr>
            <w:tcW w:w="1797"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4D1AB41B">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以新带老削减量</w:t>
            </w:r>
          </w:p>
          <w:p w14:paraId="5EE24671">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snapToGrid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（新建项目不填）</w:t>
            </w:r>
            <w:r>
              <w:rPr>
                <w:rFonts w:hint="default" w:ascii="Times New Roman" w:hAnsi="Times New Roman" w:eastAsia="黑体" w:cs="Times New Roman"/>
                <w:i w:val="0"/>
                <w:iCs w:val="0"/>
                <w:color w:val="auto"/>
                <w:spacing w:val="0"/>
                <w:w w:val="100"/>
                <w:kern w:val="21"/>
                <w:sz w:val="24"/>
                <w:szCs w:val="24"/>
                <w:lang w:val="en-US"/>
              </w:rPr>
              <w:fldChar w:fldCharType="begin"/>
            </w:r>
            <w:r>
              <w:rPr>
                <w:rFonts w:hint="default" w:ascii="Times New Roman" w:hAnsi="Times New Roman" w:eastAsia="黑体" w:cs="Times New Roman"/>
                <w:i w:val="0"/>
                <w:iCs w:val="0"/>
                <w:snapToGrid w:val="0"/>
                <w:color w:val="auto"/>
                <w:spacing w:val="0"/>
                <w:w w:val="100"/>
                <w:kern w:val="21"/>
                <w:sz w:val="24"/>
                <w:szCs w:val="24"/>
                <w:lang w:val="en-US"/>
              </w:rPr>
              <w:instrText xml:space="preserve"> = 5 \* GB3 \* MERGEFORMAT </w:instrText>
            </w:r>
            <w:r>
              <w:rPr>
                <w:rFonts w:hint="default" w:ascii="Times New Roman" w:hAnsi="Times New Roman" w:eastAsia="黑体" w:cs="Times New Roman"/>
                <w:i w:val="0"/>
                <w:iCs w:val="0"/>
                <w:color w:val="auto"/>
                <w:spacing w:val="0"/>
                <w:w w:val="100"/>
                <w:kern w:val="21"/>
                <w:sz w:val="24"/>
                <w:szCs w:val="24"/>
                <w:lang w:val="en-US"/>
              </w:rPr>
              <w:fldChar w:fldCharType="separate"/>
            </w:r>
            <w:r>
              <w:rPr>
                <w:rFonts w:hint="default" w:ascii="Times New Roman" w:hAnsi="Times New Roman" w:eastAsia="黑体" w:cs="Times New Roman"/>
                <w:i w:val="0"/>
                <w:iCs w:val="0"/>
                <w:color w:val="auto"/>
                <w:spacing w:val="0"/>
                <w:w w:val="100"/>
                <w:kern w:val="2"/>
                <w:sz w:val="24"/>
                <w:szCs w:val="24"/>
              </w:rPr>
              <w:t>⑤</w:t>
            </w:r>
            <w:r>
              <w:rPr>
                <w:rFonts w:hint="default" w:ascii="Times New Roman" w:hAnsi="Times New Roman" w:eastAsia="黑体" w:cs="Times New Roman"/>
                <w:i w:val="0"/>
                <w:iCs w:val="0"/>
                <w:color w:val="auto"/>
                <w:spacing w:val="0"/>
                <w:w w:val="100"/>
                <w:kern w:val="21"/>
                <w:sz w:val="24"/>
                <w:szCs w:val="24"/>
                <w:lang w:val="en-US"/>
              </w:rPr>
              <w:fldChar w:fldCharType="end"/>
            </w:r>
          </w:p>
        </w:tc>
        <w:tc>
          <w:tcPr>
            <w:tcW w:w="2050"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7A9F7E08">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本项目建成后</w:t>
            </w:r>
          </w:p>
          <w:p w14:paraId="012907A7">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snapToGrid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全厂排放量（固体废物产生量）</w:t>
            </w:r>
            <w:r>
              <w:rPr>
                <w:rFonts w:hint="default" w:ascii="Times New Roman" w:hAnsi="Times New Roman" w:eastAsia="黑体" w:cs="Times New Roman"/>
                <w:i w:val="0"/>
                <w:iCs w:val="0"/>
                <w:color w:val="auto"/>
                <w:spacing w:val="0"/>
                <w:w w:val="100"/>
                <w:kern w:val="21"/>
                <w:sz w:val="24"/>
                <w:szCs w:val="24"/>
                <w:lang w:val="en-US"/>
              </w:rPr>
              <w:fldChar w:fldCharType="begin"/>
            </w:r>
            <w:r>
              <w:rPr>
                <w:rFonts w:hint="default" w:ascii="Times New Roman" w:hAnsi="Times New Roman" w:eastAsia="黑体" w:cs="Times New Roman"/>
                <w:i w:val="0"/>
                <w:iCs w:val="0"/>
                <w:snapToGrid w:val="0"/>
                <w:color w:val="auto"/>
                <w:spacing w:val="0"/>
                <w:w w:val="100"/>
                <w:kern w:val="21"/>
                <w:sz w:val="24"/>
                <w:szCs w:val="24"/>
                <w:lang w:val="en-US"/>
              </w:rPr>
              <w:instrText xml:space="preserve"> = 6 \* GB3 \* MERGEFORMAT </w:instrText>
            </w:r>
            <w:r>
              <w:rPr>
                <w:rFonts w:hint="default" w:ascii="Times New Roman" w:hAnsi="Times New Roman" w:eastAsia="黑体" w:cs="Times New Roman"/>
                <w:i w:val="0"/>
                <w:iCs w:val="0"/>
                <w:color w:val="auto"/>
                <w:spacing w:val="0"/>
                <w:w w:val="100"/>
                <w:kern w:val="21"/>
                <w:sz w:val="24"/>
                <w:szCs w:val="24"/>
                <w:lang w:val="en-US"/>
              </w:rPr>
              <w:fldChar w:fldCharType="separate"/>
            </w:r>
            <w:r>
              <w:rPr>
                <w:rFonts w:hint="default" w:ascii="Times New Roman" w:hAnsi="Times New Roman" w:eastAsia="黑体" w:cs="Times New Roman"/>
                <w:i w:val="0"/>
                <w:iCs w:val="0"/>
                <w:color w:val="auto"/>
                <w:spacing w:val="0"/>
                <w:w w:val="100"/>
                <w:kern w:val="2"/>
                <w:sz w:val="24"/>
                <w:szCs w:val="24"/>
              </w:rPr>
              <w:t>⑥</w:t>
            </w:r>
            <w:r>
              <w:rPr>
                <w:rFonts w:hint="default" w:ascii="Times New Roman" w:hAnsi="Times New Roman" w:eastAsia="黑体" w:cs="Times New Roman"/>
                <w:i w:val="0"/>
                <w:iCs w:val="0"/>
                <w:color w:val="auto"/>
                <w:spacing w:val="0"/>
                <w:w w:val="100"/>
                <w:kern w:val="21"/>
                <w:sz w:val="24"/>
                <w:szCs w:val="24"/>
                <w:lang w:val="en-US"/>
              </w:rPr>
              <w:fldChar w:fldCharType="end"/>
            </w:r>
          </w:p>
        </w:tc>
        <w:tc>
          <w:tcPr>
            <w:tcW w:w="1414" w:type="dxa"/>
            <w:tcBorders>
              <w:top w:val="single" w:color="auto" w:sz="8" w:space="0"/>
              <w:left w:val="single" w:color="auto" w:sz="4" w:space="0"/>
              <w:bottom w:val="single" w:color="auto" w:sz="4" w:space="0"/>
              <w:right w:val="single" w:color="auto" w:sz="8" w:space="0"/>
            </w:tcBorders>
            <w:shd w:val="clear" w:color="auto" w:fill="auto"/>
            <w:tcMar>
              <w:left w:w="28" w:type="dxa"/>
              <w:right w:w="28" w:type="dxa"/>
            </w:tcMar>
            <w:vAlign w:val="center"/>
          </w:tcPr>
          <w:p w14:paraId="7397C6D5">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color w:val="auto"/>
                <w:spacing w:val="0"/>
                <w:w w:val="100"/>
                <w:kern w:val="21"/>
                <w:sz w:val="24"/>
                <w:szCs w:val="24"/>
                <w:lang w:val="en-US"/>
              </w:rPr>
            </w:pPr>
            <w:r>
              <w:rPr>
                <w:rFonts w:hint="default" w:ascii="Times New Roman" w:hAnsi="Times New Roman" w:eastAsia="黑体" w:cs="Times New Roman"/>
                <w:i w:val="0"/>
                <w:iCs w:val="0"/>
                <w:snapToGrid w:val="0"/>
                <w:color w:val="auto"/>
                <w:spacing w:val="0"/>
                <w:w w:val="100"/>
                <w:kern w:val="21"/>
                <w:sz w:val="24"/>
                <w:szCs w:val="24"/>
              </w:rPr>
              <w:t>变化量</w:t>
            </w:r>
          </w:p>
          <w:p w14:paraId="27D4FB66">
            <w:pPr>
              <w:pStyle w:val="31"/>
              <w:widowControl/>
              <w:spacing w:beforeLines="10" w:beforeAutospacing="0" w:after="0" w:afterAutospacing="0" w:line="240" w:lineRule="auto"/>
              <w:ind w:left="0" w:right="0"/>
              <w:jc w:val="center"/>
              <w:rPr>
                <w:rFonts w:hint="default" w:ascii="Times New Roman" w:hAnsi="Times New Roman" w:eastAsia="黑体" w:cs="Times New Roman"/>
                <w:i w:val="0"/>
                <w:iCs w:val="0"/>
                <w:snapToGrid w:val="0"/>
                <w:color w:val="auto"/>
                <w:spacing w:val="0"/>
                <w:w w:val="100"/>
                <w:kern w:val="21"/>
                <w:sz w:val="24"/>
                <w:szCs w:val="24"/>
                <w:lang w:val="en-US"/>
              </w:rPr>
            </w:pPr>
            <w:r>
              <w:rPr>
                <w:rFonts w:hint="default" w:ascii="Times New Roman" w:hAnsi="Times New Roman" w:eastAsia="黑体" w:cs="Times New Roman"/>
                <w:i w:val="0"/>
                <w:iCs w:val="0"/>
                <w:color w:val="auto"/>
                <w:spacing w:val="0"/>
                <w:w w:val="100"/>
                <w:kern w:val="21"/>
                <w:sz w:val="24"/>
                <w:szCs w:val="24"/>
                <w:lang w:val="en-US"/>
              </w:rPr>
              <w:fldChar w:fldCharType="begin"/>
            </w:r>
            <w:r>
              <w:rPr>
                <w:rFonts w:hint="default" w:ascii="Times New Roman" w:hAnsi="Times New Roman" w:eastAsia="黑体" w:cs="Times New Roman"/>
                <w:i w:val="0"/>
                <w:iCs w:val="0"/>
                <w:color w:val="auto"/>
                <w:spacing w:val="0"/>
                <w:w w:val="100"/>
                <w:kern w:val="21"/>
                <w:sz w:val="24"/>
                <w:szCs w:val="24"/>
                <w:lang w:val="en-US"/>
              </w:rPr>
              <w:instrText xml:space="preserve"> </w:instrText>
            </w:r>
            <w:r>
              <w:rPr>
                <w:rFonts w:hint="default" w:ascii="Times New Roman" w:hAnsi="Times New Roman" w:eastAsia="黑体" w:cs="Times New Roman"/>
                <w:i w:val="0"/>
                <w:iCs w:val="0"/>
                <w:snapToGrid w:val="0"/>
                <w:color w:val="auto"/>
                <w:spacing w:val="0"/>
                <w:w w:val="100"/>
                <w:kern w:val="21"/>
                <w:sz w:val="24"/>
                <w:szCs w:val="24"/>
                <w:lang w:val="en-US"/>
              </w:rPr>
              <w:instrText xml:space="preserve">= 7 \* GB3 \* MERGEFORMAT </w:instrText>
            </w:r>
            <w:r>
              <w:rPr>
                <w:rFonts w:hint="default" w:ascii="Times New Roman" w:hAnsi="Times New Roman" w:eastAsia="黑体" w:cs="Times New Roman"/>
                <w:i w:val="0"/>
                <w:iCs w:val="0"/>
                <w:color w:val="auto"/>
                <w:spacing w:val="0"/>
                <w:w w:val="100"/>
                <w:kern w:val="21"/>
                <w:sz w:val="24"/>
                <w:szCs w:val="24"/>
                <w:lang w:val="en-US"/>
              </w:rPr>
              <w:fldChar w:fldCharType="separate"/>
            </w:r>
            <w:r>
              <w:rPr>
                <w:rFonts w:hint="default" w:ascii="Times New Roman" w:hAnsi="Times New Roman" w:eastAsia="黑体" w:cs="Times New Roman"/>
                <w:i w:val="0"/>
                <w:iCs w:val="0"/>
                <w:color w:val="auto"/>
                <w:spacing w:val="0"/>
                <w:w w:val="100"/>
                <w:kern w:val="2"/>
                <w:sz w:val="24"/>
                <w:szCs w:val="24"/>
              </w:rPr>
              <w:t>⑦</w:t>
            </w:r>
            <w:r>
              <w:rPr>
                <w:rFonts w:hint="default" w:ascii="Times New Roman" w:hAnsi="Times New Roman" w:eastAsia="黑体" w:cs="Times New Roman"/>
                <w:i w:val="0"/>
                <w:iCs w:val="0"/>
                <w:color w:val="auto"/>
                <w:spacing w:val="0"/>
                <w:w w:val="100"/>
                <w:kern w:val="21"/>
                <w:sz w:val="24"/>
                <w:szCs w:val="24"/>
                <w:lang w:val="en-US"/>
              </w:rPr>
              <w:fldChar w:fldCharType="end"/>
            </w:r>
          </w:p>
        </w:tc>
      </w:tr>
      <w:tr w14:paraId="27B470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3" w:hRule="atLeast"/>
        </w:trPr>
        <w:tc>
          <w:tcPr>
            <w:tcW w:w="1647" w:type="dxa"/>
            <w:vMerge w:val="restart"/>
            <w:tcBorders>
              <w:top w:val="single" w:color="auto" w:sz="4" w:space="0"/>
              <w:left w:val="single" w:color="auto" w:sz="8" w:space="0"/>
              <w:right w:val="single" w:color="auto" w:sz="4" w:space="0"/>
            </w:tcBorders>
            <w:shd w:val="clear" w:color="auto" w:fill="auto"/>
            <w:vAlign w:val="center"/>
          </w:tcPr>
          <w:p w14:paraId="154EF35B">
            <w:pPr>
              <w:pStyle w:val="31"/>
              <w:widowControl/>
              <w:spacing w:beforeLines="10" w:beforeAutospacing="0" w:after="0" w:afterAutospacing="0" w:line="240" w:lineRule="auto"/>
              <w:ind w:left="0" w:right="0"/>
              <w:jc w:val="center"/>
              <w:rPr>
                <w:rFonts w:hint="default" w:ascii="Times New Roman" w:hAnsi="Times New Roman" w:cs="Times New Roman"/>
                <w:i w:val="0"/>
                <w:iCs w:val="0"/>
                <w:color w:val="auto"/>
                <w:spacing w:val="0"/>
                <w:w w:val="100"/>
                <w:kern w:val="21"/>
                <w:sz w:val="24"/>
                <w:szCs w:val="24"/>
                <w:lang w:val="en-US"/>
              </w:rPr>
            </w:pPr>
            <w:r>
              <w:rPr>
                <w:rFonts w:hint="default" w:ascii="Times New Roman" w:hAnsi="Times New Roman" w:cs="Times New Roman"/>
                <w:i w:val="0"/>
                <w:iCs w:val="0"/>
                <w:snapToGrid w:val="0"/>
                <w:color w:val="auto"/>
                <w:spacing w:val="0"/>
                <w:w w:val="100"/>
                <w:kern w:val="21"/>
                <w:sz w:val="24"/>
                <w:szCs w:val="24"/>
              </w:rPr>
              <w:t>废气</w:t>
            </w: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58E3D083">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4"/>
                <w:szCs w:val="24"/>
                <w:lang w:val="en-US" w:eastAsia="zh-CN" w:bidi="ar-SA"/>
              </w:rPr>
            </w:pPr>
            <w:r>
              <w:rPr>
                <w:rFonts w:hint="default" w:ascii="Times New Roman" w:hAnsi="Times New Roman" w:cs="Times New Roman"/>
                <w:b w:val="0"/>
                <w:bCs w:val="0"/>
                <w:color w:val="auto"/>
                <w:sz w:val="24"/>
                <w:szCs w:val="24"/>
              </w:rPr>
              <w:t>H</w:t>
            </w:r>
            <w:r>
              <w:rPr>
                <w:rFonts w:hint="default" w:ascii="Times New Roman" w:hAnsi="Times New Roman" w:cs="Times New Roman"/>
                <w:b w:val="0"/>
                <w:bCs w:val="0"/>
                <w:color w:val="auto"/>
                <w:sz w:val="24"/>
                <w:szCs w:val="24"/>
                <w:vertAlign w:val="subscript"/>
              </w:rPr>
              <w:t>2</w:t>
            </w:r>
            <w:r>
              <w:rPr>
                <w:rFonts w:hint="default" w:ascii="Times New Roman" w:hAnsi="Times New Roman" w:cs="Times New Roman"/>
                <w:b w:val="0"/>
                <w:bCs w:val="0"/>
                <w:color w:val="auto"/>
                <w:sz w:val="24"/>
                <w:szCs w:val="24"/>
              </w:rPr>
              <w:t>S</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78C77179">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eastAsia="宋体" w:cs="Times New Roman"/>
                <w:i w:val="0"/>
                <w:iCs w:val="0"/>
                <w:snapToGrid w:val="0"/>
                <w:color w:val="auto"/>
                <w:spacing w:val="0"/>
                <w:w w:val="100"/>
                <w:kern w:val="21"/>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6C797DD9">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eastAsia="宋体" w:cs="Times New Roman"/>
                <w:i w:val="0"/>
                <w:iCs w:val="0"/>
                <w:snapToGrid w:val="0"/>
                <w:color w:val="auto"/>
                <w:spacing w:val="0"/>
                <w:w w:val="100"/>
                <w:kern w:val="21"/>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3ACB393C">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eastAsia="宋体" w:cs="Times New Roman"/>
                <w:i w:val="0"/>
                <w:iCs w:val="0"/>
                <w:snapToGrid w:val="0"/>
                <w:color w:val="auto"/>
                <w:spacing w:val="0"/>
                <w:w w:val="100"/>
                <w:kern w:val="21"/>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24EBAC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0.123</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010E0A8E">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eastAsia="宋体" w:cs="Times New Roman"/>
                <w:i w:val="0"/>
                <w:iCs w:val="0"/>
                <w:snapToGrid w:val="0"/>
                <w:color w:val="auto"/>
                <w:spacing w:val="0"/>
                <w:w w:val="100"/>
                <w:kern w:val="21"/>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00EE55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auto"/>
                <w:spacing w:val="0"/>
                <w:w w:val="100"/>
                <w:kern w:val="21"/>
                <w:sz w:val="24"/>
                <w:szCs w:val="24"/>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0.123</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3D0FAA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auto"/>
                <w:spacing w:val="0"/>
                <w:w w:val="100"/>
                <w:kern w:val="21"/>
                <w:sz w:val="24"/>
                <w:szCs w:val="24"/>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+0.123</w:t>
            </w:r>
          </w:p>
        </w:tc>
      </w:tr>
      <w:tr w14:paraId="36FF56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3" w:hRule="atLeast"/>
        </w:trPr>
        <w:tc>
          <w:tcPr>
            <w:tcW w:w="1647" w:type="dxa"/>
            <w:vMerge w:val="continue"/>
            <w:tcBorders>
              <w:left w:val="single" w:color="auto" w:sz="8" w:space="0"/>
              <w:right w:val="single" w:color="auto" w:sz="4" w:space="0"/>
            </w:tcBorders>
            <w:shd w:val="clear" w:color="auto" w:fill="auto"/>
            <w:vAlign w:val="center"/>
          </w:tcPr>
          <w:p w14:paraId="537ED408">
            <w:pPr>
              <w:pStyle w:val="31"/>
              <w:widowControl/>
              <w:spacing w:beforeLines="10" w:beforeAutospacing="0" w:after="0" w:afterAutospacing="0" w:line="240" w:lineRule="auto"/>
              <w:ind w:left="0" w:right="0"/>
              <w:jc w:val="center"/>
              <w:rPr>
                <w:rFonts w:hint="default" w:ascii="Times New Roman" w:hAnsi="Times New Roman" w:cs="Times New Roman"/>
                <w:i w:val="0"/>
                <w:iCs w:val="0"/>
                <w:snapToGrid w:val="0"/>
                <w:color w:val="auto"/>
                <w:spacing w:val="0"/>
                <w:w w:val="100"/>
                <w:kern w:val="21"/>
                <w:sz w:val="24"/>
                <w:szCs w:val="24"/>
              </w:rPr>
            </w:pP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726BF7EE">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4"/>
                <w:szCs w:val="24"/>
                <w:lang w:val="en-US" w:eastAsia="zh-CN" w:bidi="ar-SA"/>
              </w:rPr>
            </w:pPr>
            <w:r>
              <w:rPr>
                <w:rFonts w:hint="default" w:ascii="Times New Roman" w:hAnsi="Times New Roman" w:cs="Times New Roman"/>
                <w:b w:val="0"/>
                <w:bCs w:val="0"/>
                <w:color w:val="auto"/>
                <w:sz w:val="24"/>
                <w:szCs w:val="24"/>
              </w:rPr>
              <w:t>NH</w:t>
            </w:r>
            <w:r>
              <w:rPr>
                <w:rFonts w:hint="default" w:ascii="Times New Roman" w:hAnsi="Times New Roman" w:cs="Times New Roman"/>
                <w:b w:val="0"/>
                <w:bCs w:val="0"/>
                <w:color w:val="auto"/>
                <w:sz w:val="24"/>
                <w:szCs w:val="24"/>
                <w:vertAlign w:val="subscript"/>
              </w:rPr>
              <w:t>3</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0F7E825B">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eastAsiaTheme="minorEastAsia"/>
                <w:i w:val="0"/>
                <w:iCs w:val="0"/>
                <w:color w:val="auto"/>
                <w:spacing w:val="0"/>
                <w:w w:val="100"/>
                <w:kern w:val="21"/>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1BE604D2">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eastAsiaTheme="minorEastAsia"/>
                <w:i w:val="0"/>
                <w:iCs w:val="0"/>
                <w:color w:val="auto"/>
                <w:spacing w:val="0"/>
                <w:w w:val="100"/>
                <w:kern w:val="21"/>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2D55FE2A">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eastAsiaTheme="minorEastAsia"/>
                <w:i w:val="0"/>
                <w:iCs w:val="0"/>
                <w:color w:val="auto"/>
                <w:spacing w:val="0"/>
                <w:w w:val="100"/>
                <w:kern w:val="21"/>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top"/>
          </w:tcPr>
          <w:p w14:paraId="24B2033C">
            <w:pPr>
              <w:keepNext w:val="0"/>
              <w:keepLines w:val="0"/>
              <w:widowControl/>
              <w:suppressLineNumbers w:val="0"/>
              <w:spacing w:before="0" w:beforeAutospacing="0" w:after="0" w:afterAutospacing="0"/>
              <w:ind w:left="0" w:leftChars="0" w:right="0" w:rightChars="0"/>
              <w:jc w:val="center"/>
              <w:textAlignment w:val="top"/>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0.054</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366A4E78">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eastAsiaTheme="minorEastAsia"/>
                <w:i w:val="0"/>
                <w:iCs w:val="0"/>
                <w:color w:val="auto"/>
                <w:spacing w:val="0"/>
                <w:w w:val="100"/>
                <w:kern w:val="21"/>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top"/>
          </w:tcPr>
          <w:p w14:paraId="3234E274">
            <w:pPr>
              <w:keepNext w:val="0"/>
              <w:keepLines w:val="0"/>
              <w:widowControl/>
              <w:suppressLineNumbers w:val="0"/>
              <w:spacing w:before="0" w:beforeAutospacing="0" w:after="0" w:afterAutospacing="0"/>
              <w:ind w:left="0" w:leftChars="0" w:right="0" w:rightChars="0"/>
              <w:jc w:val="center"/>
              <w:textAlignment w:val="top"/>
              <w:rPr>
                <w:rFonts w:hint="default" w:ascii="Times New Roman" w:hAnsi="Times New Roman" w:eastAsia="宋体" w:cs="Times New Roman"/>
                <w:bCs/>
                <w:color w:val="auto"/>
                <w:spacing w:val="0"/>
                <w:w w:val="100"/>
                <w:kern w:val="0"/>
                <w:sz w:val="24"/>
                <w:szCs w:val="24"/>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0.054</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top"/>
          </w:tcPr>
          <w:p w14:paraId="6880983D">
            <w:pPr>
              <w:keepNext w:val="0"/>
              <w:keepLines w:val="0"/>
              <w:widowControl/>
              <w:suppressLineNumbers w:val="0"/>
              <w:spacing w:before="0" w:beforeAutospacing="0" w:after="0" w:afterAutospacing="0"/>
              <w:ind w:left="0" w:leftChars="0" w:right="0" w:rightChars="0"/>
              <w:jc w:val="center"/>
              <w:textAlignment w:val="top"/>
              <w:rPr>
                <w:rFonts w:hint="default" w:ascii="Times New Roman" w:hAnsi="Times New Roman" w:eastAsia="宋体" w:cs="Times New Roman"/>
                <w:bCs/>
                <w:color w:val="auto"/>
                <w:spacing w:val="0"/>
                <w:w w:val="100"/>
                <w:kern w:val="0"/>
                <w:sz w:val="24"/>
                <w:szCs w:val="24"/>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+0.054</w:t>
            </w:r>
          </w:p>
        </w:tc>
      </w:tr>
      <w:tr w14:paraId="55B34B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3" w:hRule="atLeast"/>
        </w:trPr>
        <w:tc>
          <w:tcPr>
            <w:tcW w:w="1647" w:type="dxa"/>
            <w:vMerge w:val="restart"/>
            <w:tcBorders>
              <w:top w:val="single" w:color="auto" w:sz="4" w:space="0"/>
              <w:left w:val="single" w:color="auto" w:sz="8" w:space="0"/>
              <w:right w:val="single" w:color="auto" w:sz="4" w:space="0"/>
            </w:tcBorders>
            <w:shd w:val="clear" w:color="auto" w:fill="auto"/>
            <w:vAlign w:val="center"/>
          </w:tcPr>
          <w:p w14:paraId="33251111">
            <w:pPr>
              <w:pStyle w:val="31"/>
              <w:widowControl/>
              <w:spacing w:beforeLines="10" w:beforeAutospacing="0" w:after="0" w:afterAutospacing="0" w:line="240" w:lineRule="auto"/>
              <w:ind w:left="0" w:right="0"/>
              <w:jc w:val="center"/>
              <w:rPr>
                <w:rFonts w:hint="default" w:ascii="Times New Roman" w:hAnsi="Times New Roman" w:cs="Times New Roman"/>
                <w:i w:val="0"/>
                <w:iCs w:val="0"/>
                <w:color w:val="auto"/>
                <w:spacing w:val="0"/>
                <w:w w:val="100"/>
                <w:kern w:val="21"/>
                <w:sz w:val="24"/>
                <w:szCs w:val="24"/>
                <w:lang w:val="en-US"/>
              </w:rPr>
            </w:pPr>
            <w:r>
              <w:rPr>
                <w:rFonts w:hint="default" w:ascii="Times New Roman" w:hAnsi="Times New Roman" w:cs="Times New Roman"/>
                <w:i w:val="0"/>
                <w:iCs w:val="0"/>
                <w:snapToGrid w:val="0"/>
                <w:color w:val="auto"/>
                <w:spacing w:val="0"/>
                <w:w w:val="100"/>
                <w:kern w:val="21"/>
                <w:sz w:val="24"/>
                <w:szCs w:val="24"/>
              </w:rPr>
              <w:t>废水</w:t>
            </w: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7A84BE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sz w:val="24"/>
                <w:szCs w:val="24"/>
              </w:rPr>
              <w:t>COD</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57A2642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0A534407">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eastAsia="宋体" w:cs="Times New Roman"/>
                <w:i w:val="0"/>
                <w:iCs w:val="0"/>
                <w:snapToGrid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5F4A3958">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eastAsia="宋体" w:cs="Times New Roman"/>
                <w:i w:val="0"/>
                <w:iCs w:val="0"/>
                <w:snapToGrid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7F0197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i w:val="0"/>
                <w:iCs w:val="0"/>
                <w:color w:val="auto"/>
                <w:kern w:val="0"/>
                <w:sz w:val="24"/>
                <w:szCs w:val="24"/>
                <w:u w:val="none"/>
                <w:lang w:val="en-US" w:eastAsia="zh-CN" w:bidi="ar"/>
              </w:rPr>
              <w:t>17.52</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3D4DF96B">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eastAsia="宋体" w:cs="Times New Roman"/>
                <w:i w:val="0"/>
                <w:iCs w:val="0"/>
                <w:snapToGrid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250690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i w:val="0"/>
                <w:iCs w:val="0"/>
                <w:color w:val="auto"/>
                <w:kern w:val="0"/>
                <w:sz w:val="24"/>
                <w:szCs w:val="24"/>
                <w:u w:val="none"/>
                <w:lang w:val="en-US" w:eastAsia="zh-CN" w:bidi="ar"/>
              </w:rPr>
              <w:t>17.52</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60C161A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i w:val="0"/>
                <w:iCs w:val="0"/>
                <w:color w:val="auto"/>
                <w:kern w:val="0"/>
                <w:sz w:val="24"/>
                <w:szCs w:val="24"/>
                <w:u w:val="none"/>
                <w:lang w:val="en-US" w:eastAsia="zh-CN" w:bidi="ar"/>
              </w:rPr>
              <w:t>+17.52</w:t>
            </w:r>
          </w:p>
        </w:tc>
      </w:tr>
      <w:tr w14:paraId="45311E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3" w:hRule="atLeast"/>
        </w:trPr>
        <w:tc>
          <w:tcPr>
            <w:tcW w:w="1647" w:type="dxa"/>
            <w:vMerge w:val="continue"/>
            <w:tcBorders>
              <w:left w:val="single" w:color="auto" w:sz="8" w:space="0"/>
              <w:right w:val="single" w:color="auto" w:sz="4" w:space="0"/>
            </w:tcBorders>
            <w:shd w:val="clear" w:color="auto" w:fill="auto"/>
            <w:vAlign w:val="center"/>
          </w:tcPr>
          <w:p w14:paraId="51B1F935">
            <w:pPr>
              <w:pStyle w:val="31"/>
              <w:widowControl/>
              <w:spacing w:beforeLines="10" w:beforeAutospacing="0" w:after="0" w:afterAutospacing="0" w:line="240" w:lineRule="auto"/>
              <w:ind w:left="0" w:right="0"/>
              <w:jc w:val="center"/>
              <w:rPr>
                <w:rFonts w:hint="default" w:ascii="Times New Roman" w:hAnsi="Times New Roman" w:cs="Times New Roman"/>
                <w:i w:val="0"/>
                <w:iCs w:val="0"/>
                <w:snapToGrid w:val="0"/>
                <w:color w:val="auto"/>
                <w:spacing w:val="0"/>
                <w:w w:val="100"/>
                <w:kern w:val="21"/>
                <w:sz w:val="24"/>
                <w:szCs w:val="24"/>
              </w:rPr>
            </w:pP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58FC90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sz w:val="24"/>
                <w:szCs w:val="24"/>
              </w:rPr>
              <w:t>BOD</w:t>
            </w:r>
            <w:r>
              <w:rPr>
                <w:rFonts w:hint="default" w:ascii="Times New Roman" w:hAnsi="Times New Roman" w:eastAsia="宋体" w:cs="Times New Roman"/>
                <w:b w:val="0"/>
                <w:bCs/>
                <w:color w:val="auto"/>
                <w:spacing w:val="0"/>
                <w:w w:val="100"/>
                <w:sz w:val="24"/>
                <w:szCs w:val="24"/>
                <w:vertAlign w:val="subscript"/>
                <w:lang w:val="en-US" w:eastAsia="zh-CN"/>
              </w:rPr>
              <w:t>5</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402DF96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4992962E">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21DEB0A1">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277B54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bidi="ar"/>
              </w:rPr>
              <w:t>5.475</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1803407E">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537E0B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bidi="ar"/>
              </w:rPr>
              <w:t>5.475</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6318D0C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5.475</w:t>
            </w:r>
          </w:p>
        </w:tc>
      </w:tr>
      <w:tr w14:paraId="492207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647" w:type="dxa"/>
            <w:vMerge w:val="continue"/>
            <w:tcBorders>
              <w:left w:val="single" w:color="auto" w:sz="8" w:space="0"/>
              <w:right w:val="single" w:color="auto" w:sz="4" w:space="0"/>
            </w:tcBorders>
            <w:shd w:val="clear" w:color="auto" w:fill="auto"/>
            <w:vAlign w:val="center"/>
          </w:tcPr>
          <w:p w14:paraId="3CE82CB9">
            <w:pPr>
              <w:pStyle w:val="31"/>
              <w:widowControl/>
              <w:spacing w:beforeLines="10" w:beforeAutospacing="0" w:after="0" w:afterAutospacing="0" w:line="240" w:lineRule="auto"/>
              <w:ind w:left="0" w:right="0"/>
              <w:jc w:val="center"/>
              <w:rPr>
                <w:rFonts w:hint="default" w:ascii="Times New Roman" w:hAnsi="Times New Roman" w:cs="Times New Roman"/>
                <w:i w:val="0"/>
                <w:iCs w:val="0"/>
                <w:snapToGrid w:val="0"/>
                <w:color w:val="auto"/>
                <w:spacing w:val="0"/>
                <w:w w:val="100"/>
                <w:kern w:val="21"/>
                <w:sz w:val="24"/>
                <w:szCs w:val="24"/>
              </w:rPr>
            </w:pP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365B00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sz w:val="24"/>
                <w:szCs w:val="24"/>
              </w:rPr>
              <w:t>NH</w:t>
            </w:r>
            <w:r>
              <w:rPr>
                <w:rFonts w:hint="default" w:ascii="Times New Roman" w:hAnsi="Times New Roman" w:eastAsia="宋体" w:cs="Times New Roman"/>
                <w:b w:val="0"/>
                <w:bCs/>
                <w:color w:val="auto"/>
                <w:spacing w:val="0"/>
                <w:w w:val="100"/>
                <w:sz w:val="24"/>
                <w:szCs w:val="24"/>
                <w:vertAlign w:val="subscript"/>
              </w:rPr>
              <w:t>3</w:t>
            </w:r>
            <w:r>
              <w:rPr>
                <w:rFonts w:hint="default" w:ascii="Times New Roman" w:hAnsi="Times New Roman" w:eastAsia="宋体" w:cs="Times New Roman"/>
                <w:b w:val="0"/>
                <w:bCs/>
                <w:color w:val="auto"/>
                <w:spacing w:val="0"/>
                <w:w w:val="100"/>
                <w:sz w:val="24"/>
                <w:szCs w:val="24"/>
              </w:rPr>
              <w:t>-N</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2E76425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6289751C">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045482FD">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6BB584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i w:val="0"/>
                <w:iCs w:val="0"/>
                <w:color w:val="auto"/>
                <w:kern w:val="0"/>
                <w:sz w:val="24"/>
                <w:szCs w:val="24"/>
                <w:u w:val="none"/>
                <w:lang w:val="en-US" w:eastAsia="zh-CN" w:bidi="ar"/>
              </w:rPr>
              <w:t>1.164</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221C94A3">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44178A2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i w:val="0"/>
                <w:iCs w:val="0"/>
                <w:color w:val="auto"/>
                <w:kern w:val="0"/>
                <w:sz w:val="24"/>
                <w:szCs w:val="24"/>
                <w:u w:val="none"/>
                <w:lang w:val="en-US" w:eastAsia="zh-CN" w:bidi="ar"/>
              </w:rPr>
              <w:t>1.164</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5BA076B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i w:val="0"/>
                <w:iCs w:val="0"/>
                <w:color w:val="auto"/>
                <w:kern w:val="0"/>
                <w:sz w:val="24"/>
                <w:szCs w:val="24"/>
                <w:u w:val="none"/>
                <w:lang w:val="en-US" w:eastAsia="zh-CN" w:bidi="ar"/>
              </w:rPr>
              <w:t>+1.164</w:t>
            </w:r>
          </w:p>
        </w:tc>
      </w:tr>
      <w:tr w14:paraId="709DE1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3" w:hRule="atLeast"/>
        </w:trPr>
        <w:tc>
          <w:tcPr>
            <w:tcW w:w="1647" w:type="dxa"/>
            <w:vMerge w:val="continue"/>
            <w:tcBorders>
              <w:left w:val="single" w:color="auto" w:sz="8" w:space="0"/>
              <w:right w:val="single" w:color="auto" w:sz="4" w:space="0"/>
            </w:tcBorders>
            <w:shd w:val="clear" w:color="auto" w:fill="auto"/>
            <w:vAlign w:val="center"/>
          </w:tcPr>
          <w:p w14:paraId="6C21A84F">
            <w:pPr>
              <w:pStyle w:val="31"/>
              <w:widowControl/>
              <w:spacing w:beforeLines="10" w:beforeAutospacing="0" w:after="0" w:afterAutospacing="0" w:line="240" w:lineRule="auto"/>
              <w:ind w:left="0" w:right="0"/>
              <w:jc w:val="center"/>
              <w:rPr>
                <w:rFonts w:hint="default" w:ascii="Times New Roman" w:hAnsi="Times New Roman" w:cs="Times New Roman"/>
                <w:i w:val="0"/>
                <w:iCs w:val="0"/>
                <w:snapToGrid w:val="0"/>
                <w:color w:val="auto"/>
                <w:spacing w:val="0"/>
                <w:w w:val="100"/>
                <w:kern w:val="21"/>
                <w:sz w:val="24"/>
                <w:szCs w:val="24"/>
              </w:rPr>
            </w:pP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4B7828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sz w:val="24"/>
                <w:szCs w:val="24"/>
                <w:lang w:val="en-US" w:eastAsia="zh-CN"/>
              </w:rPr>
              <w:t>SS</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4BF550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18AD2C0C">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7C715730">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2041F5F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bidi="ar"/>
              </w:rPr>
              <w:t>9.125</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7CF6EF98">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7F1CD3A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bidi="ar"/>
              </w:rPr>
              <w:t>9.125</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0CA2E32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9.125</w:t>
            </w:r>
          </w:p>
        </w:tc>
      </w:tr>
      <w:tr w14:paraId="0ABD69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3" w:hRule="atLeast"/>
        </w:trPr>
        <w:tc>
          <w:tcPr>
            <w:tcW w:w="1647" w:type="dxa"/>
            <w:vMerge w:val="continue"/>
            <w:tcBorders>
              <w:left w:val="single" w:color="auto" w:sz="8" w:space="0"/>
              <w:right w:val="single" w:color="auto" w:sz="4" w:space="0"/>
            </w:tcBorders>
            <w:shd w:val="clear" w:color="auto" w:fill="auto"/>
            <w:vAlign w:val="center"/>
          </w:tcPr>
          <w:p w14:paraId="4F3D297F">
            <w:pPr>
              <w:pStyle w:val="31"/>
              <w:widowControl/>
              <w:spacing w:beforeLines="10" w:beforeAutospacing="0" w:after="0" w:afterAutospacing="0" w:line="240" w:lineRule="auto"/>
              <w:ind w:left="0" w:right="0"/>
              <w:jc w:val="center"/>
              <w:rPr>
                <w:rFonts w:hint="default" w:ascii="Times New Roman" w:hAnsi="Times New Roman" w:cs="Times New Roman"/>
                <w:i w:val="0"/>
                <w:iCs w:val="0"/>
                <w:snapToGrid w:val="0"/>
                <w:color w:val="auto"/>
                <w:spacing w:val="0"/>
                <w:w w:val="100"/>
                <w:kern w:val="21"/>
                <w:sz w:val="24"/>
                <w:szCs w:val="24"/>
              </w:rPr>
            </w:pP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72E66E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sz w:val="24"/>
                <w:szCs w:val="24"/>
                <w:lang w:val="en-US" w:eastAsia="zh-CN"/>
              </w:rPr>
              <w:t>TP</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46162A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4C541F3B">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5C3CD0D9">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3538D8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bidi="ar"/>
              </w:rPr>
              <w:t>0.274</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4172E29C">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02D2A5C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bidi="ar"/>
              </w:rPr>
              <w:t>0.274</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31D65A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0.274</w:t>
            </w:r>
          </w:p>
        </w:tc>
      </w:tr>
      <w:tr w14:paraId="66187B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3" w:hRule="atLeast"/>
        </w:trPr>
        <w:tc>
          <w:tcPr>
            <w:tcW w:w="1647" w:type="dxa"/>
            <w:vMerge w:val="continue"/>
            <w:tcBorders>
              <w:left w:val="single" w:color="auto" w:sz="8" w:space="0"/>
              <w:bottom w:val="single" w:color="auto" w:sz="4" w:space="0"/>
              <w:right w:val="single" w:color="auto" w:sz="4" w:space="0"/>
            </w:tcBorders>
            <w:shd w:val="clear" w:color="auto" w:fill="auto"/>
            <w:vAlign w:val="center"/>
          </w:tcPr>
          <w:p w14:paraId="03CEA0C2">
            <w:pPr>
              <w:pStyle w:val="31"/>
              <w:widowControl/>
              <w:spacing w:beforeLines="10" w:beforeAutospacing="0" w:after="0" w:afterAutospacing="0" w:line="240" w:lineRule="auto"/>
              <w:ind w:left="0" w:right="0"/>
              <w:jc w:val="center"/>
              <w:rPr>
                <w:rFonts w:hint="default" w:ascii="Times New Roman" w:hAnsi="Times New Roman" w:cs="Times New Roman"/>
                <w:i w:val="0"/>
                <w:iCs w:val="0"/>
                <w:snapToGrid w:val="0"/>
                <w:color w:val="auto"/>
                <w:spacing w:val="0"/>
                <w:w w:val="100"/>
                <w:kern w:val="21"/>
                <w:sz w:val="24"/>
                <w:szCs w:val="24"/>
              </w:rPr>
            </w:pP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14514F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sz w:val="24"/>
                <w:szCs w:val="24"/>
                <w:lang w:val="en-US" w:eastAsia="zh-CN"/>
              </w:rPr>
            </w:pPr>
            <w:r>
              <w:rPr>
                <w:rFonts w:hint="default" w:ascii="Times New Roman" w:hAnsi="Times New Roman" w:eastAsia="宋体" w:cs="Times New Roman"/>
                <w:b w:val="0"/>
                <w:bCs/>
                <w:color w:val="auto"/>
                <w:spacing w:val="0"/>
                <w:w w:val="100"/>
                <w:sz w:val="24"/>
                <w:szCs w:val="24"/>
                <w:lang w:val="en-US" w:eastAsia="zh-CN"/>
              </w:rPr>
              <w:t>TN</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7A0B2D3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2F2305E1">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335FD580">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7B751B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bidi="ar"/>
              </w:rPr>
              <w:t>10.95</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39F4F49E">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0D4F55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bidi="ar"/>
              </w:rPr>
              <w:t>10.95</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3EDA68F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10.95</w:t>
            </w:r>
          </w:p>
        </w:tc>
      </w:tr>
      <w:tr w14:paraId="60BBF2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3" w:hRule="atLeast"/>
        </w:trPr>
        <w:tc>
          <w:tcPr>
            <w:tcW w:w="1647" w:type="dxa"/>
            <w:vMerge w:val="restart"/>
            <w:tcBorders>
              <w:top w:val="single" w:color="auto" w:sz="4" w:space="0"/>
              <w:left w:val="single" w:color="auto" w:sz="8" w:space="0"/>
              <w:right w:val="single" w:color="auto" w:sz="4" w:space="0"/>
            </w:tcBorders>
            <w:shd w:val="clear" w:color="auto" w:fill="auto"/>
            <w:vAlign w:val="center"/>
          </w:tcPr>
          <w:p w14:paraId="23818DA9">
            <w:pPr>
              <w:pStyle w:val="31"/>
              <w:widowControl/>
              <w:spacing w:beforeLines="10" w:beforeAutospacing="0" w:after="0" w:afterAutospacing="0" w:line="240" w:lineRule="auto"/>
              <w:ind w:left="0" w:right="0"/>
              <w:jc w:val="center"/>
              <w:rPr>
                <w:rFonts w:hint="default" w:ascii="Times New Roman" w:hAnsi="Times New Roman" w:cs="Times New Roman"/>
                <w:i w:val="0"/>
                <w:iCs w:val="0"/>
                <w:color w:val="auto"/>
                <w:spacing w:val="0"/>
                <w:w w:val="100"/>
                <w:kern w:val="21"/>
                <w:sz w:val="24"/>
                <w:szCs w:val="24"/>
                <w:lang w:val="en-US"/>
              </w:rPr>
            </w:pPr>
            <w:r>
              <w:rPr>
                <w:rFonts w:hint="default" w:ascii="Times New Roman" w:hAnsi="Times New Roman" w:cs="Times New Roman"/>
                <w:i w:val="0"/>
                <w:iCs w:val="0"/>
                <w:snapToGrid w:val="0"/>
                <w:color w:val="auto"/>
                <w:spacing w:val="0"/>
                <w:w w:val="100"/>
                <w:kern w:val="21"/>
                <w:sz w:val="24"/>
                <w:szCs w:val="24"/>
              </w:rPr>
              <w:t>一般工业</w:t>
            </w:r>
          </w:p>
          <w:p w14:paraId="12C2C89E">
            <w:pPr>
              <w:pStyle w:val="31"/>
              <w:widowControl/>
              <w:spacing w:beforeLines="10" w:beforeAutospacing="0" w:after="0" w:afterAutospacing="0" w:line="240" w:lineRule="auto"/>
              <w:ind w:left="0" w:right="0"/>
              <w:jc w:val="center"/>
              <w:rPr>
                <w:rFonts w:hint="default" w:ascii="Times New Roman" w:hAnsi="Times New Roman" w:cs="Times New Roman"/>
                <w:i w:val="0"/>
                <w:iCs w:val="0"/>
                <w:color w:val="auto"/>
                <w:spacing w:val="0"/>
                <w:w w:val="100"/>
                <w:kern w:val="21"/>
                <w:sz w:val="24"/>
                <w:szCs w:val="24"/>
                <w:lang w:val="en-US"/>
              </w:rPr>
            </w:pPr>
            <w:r>
              <w:rPr>
                <w:rFonts w:hint="default" w:ascii="Times New Roman" w:hAnsi="Times New Roman" w:cs="Times New Roman"/>
                <w:i w:val="0"/>
                <w:iCs w:val="0"/>
                <w:snapToGrid w:val="0"/>
                <w:color w:val="auto"/>
                <w:spacing w:val="0"/>
                <w:w w:val="100"/>
                <w:kern w:val="21"/>
                <w:sz w:val="24"/>
                <w:szCs w:val="24"/>
              </w:rPr>
              <w:t>固体废物</w:t>
            </w: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6F0F7A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kern w:val="2"/>
                <w:sz w:val="24"/>
                <w:szCs w:val="24"/>
                <w:lang w:val="en-US" w:eastAsia="zh-CN" w:bidi="ar-SA"/>
              </w:rPr>
              <w:t>格栅渣及沉砂</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774571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671309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1DBC60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3154044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cs="Times New Roman"/>
                <w:b w:val="0"/>
                <w:bCs w:val="0"/>
                <w:color w:val="auto"/>
                <w:spacing w:val="0"/>
                <w:w w:val="100"/>
                <w:kern w:val="2"/>
                <w:sz w:val="24"/>
                <w:szCs w:val="24"/>
                <w:lang w:val="en-US" w:eastAsia="zh-CN" w:bidi="ar-SA"/>
              </w:rPr>
              <w:t>98.55</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00CD405D">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eastAsia="宋体" w:cs="Times New Roman"/>
                <w:i w:val="0"/>
                <w:iCs w:val="0"/>
                <w:snapToGrid w:val="0"/>
                <w:color w:val="auto"/>
                <w:spacing w:val="0"/>
                <w:w w:val="100"/>
                <w:kern w:val="21"/>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7C6DFF0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cs="Times New Roman"/>
                <w:b w:val="0"/>
                <w:bCs w:val="0"/>
                <w:color w:val="auto"/>
                <w:spacing w:val="0"/>
                <w:w w:val="100"/>
                <w:kern w:val="2"/>
                <w:sz w:val="24"/>
                <w:szCs w:val="24"/>
                <w:lang w:val="en-US" w:eastAsia="zh-CN" w:bidi="ar-SA"/>
              </w:rPr>
              <w:t>98.55</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254EDF4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cs="Times New Roman"/>
                <w:b w:val="0"/>
                <w:bCs w:val="0"/>
                <w:color w:val="auto"/>
                <w:spacing w:val="0"/>
                <w:w w:val="100"/>
                <w:kern w:val="2"/>
                <w:sz w:val="24"/>
                <w:szCs w:val="24"/>
                <w:lang w:val="en-US" w:eastAsia="zh-CN" w:bidi="ar-SA"/>
              </w:rPr>
              <w:t>+</w:t>
            </w:r>
            <w:r>
              <w:rPr>
                <w:rFonts w:hint="eastAsia" w:ascii="Times New Roman" w:hAnsi="Times New Roman" w:cs="Times New Roman"/>
                <w:b w:val="0"/>
                <w:bCs w:val="0"/>
                <w:color w:val="auto"/>
                <w:spacing w:val="0"/>
                <w:w w:val="100"/>
                <w:kern w:val="2"/>
                <w:sz w:val="24"/>
                <w:szCs w:val="24"/>
                <w:lang w:val="en-US" w:eastAsia="zh-CN" w:bidi="ar-SA"/>
              </w:rPr>
              <w:t>98.55</w:t>
            </w:r>
          </w:p>
        </w:tc>
      </w:tr>
      <w:tr w14:paraId="565DD6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3" w:hRule="atLeast"/>
        </w:trPr>
        <w:tc>
          <w:tcPr>
            <w:tcW w:w="1647" w:type="dxa"/>
            <w:vMerge w:val="continue"/>
            <w:tcBorders>
              <w:left w:val="single" w:color="auto" w:sz="8" w:space="0"/>
              <w:right w:val="single" w:color="auto" w:sz="4" w:space="0"/>
            </w:tcBorders>
            <w:shd w:val="clear" w:color="auto" w:fill="auto"/>
            <w:vAlign w:val="center"/>
          </w:tcPr>
          <w:p w14:paraId="60CEAA79">
            <w:pPr>
              <w:pStyle w:val="31"/>
              <w:widowControl/>
              <w:spacing w:beforeLines="10" w:beforeAutospacing="0" w:after="0" w:afterAutospacing="0" w:line="240" w:lineRule="auto"/>
              <w:ind w:left="0" w:right="0"/>
              <w:jc w:val="center"/>
              <w:rPr>
                <w:rFonts w:hint="default" w:ascii="Times New Roman" w:hAnsi="Times New Roman" w:cs="Times New Roman"/>
                <w:i w:val="0"/>
                <w:iCs w:val="0"/>
                <w:snapToGrid w:val="0"/>
                <w:color w:val="auto"/>
                <w:spacing w:val="0"/>
                <w:w w:val="100"/>
                <w:kern w:val="21"/>
                <w:sz w:val="24"/>
                <w:szCs w:val="24"/>
              </w:rPr>
            </w:pP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02BDF4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kern w:val="2"/>
                <w:sz w:val="24"/>
                <w:szCs w:val="24"/>
                <w:lang w:val="en-US" w:eastAsia="zh-CN" w:bidi="ar-SA"/>
              </w:rPr>
              <w:t>污泥</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00CE15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5AFFD0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4F67F7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1E0F849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cs="Times New Roman"/>
                <w:b w:val="0"/>
                <w:bCs w:val="0"/>
                <w:color w:val="auto"/>
                <w:spacing w:val="0"/>
                <w:w w:val="100"/>
                <w:kern w:val="2"/>
                <w:sz w:val="24"/>
                <w:szCs w:val="24"/>
                <w:lang w:val="en-US" w:eastAsia="zh-CN" w:bidi="ar-SA"/>
              </w:rPr>
              <w:t>620.5</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61172847">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36B1CA6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cs="Times New Roman"/>
                <w:b w:val="0"/>
                <w:bCs w:val="0"/>
                <w:color w:val="auto"/>
                <w:spacing w:val="0"/>
                <w:w w:val="100"/>
                <w:kern w:val="2"/>
                <w:sz w:val="24"/>
                <w:szCs w:val="24"/>
                <w:lang w:val="en-US" w:eastAsia="zh-CN" w:bidi="ar-SA"/>
              </w:rPr>
              <w:t>620.5</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66EF213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cs="Times New Roman"/>
                <w:b w:val="0"/>
                <w:bCs w:val="0"/>
                <w:color w:val="auto"/>
                <w:spacing w:val="0"/>
                <w:w w:val="100"/>
                <w:kern w:val="2"/>
                <w:sz w:val="24"/>
                <w:szCs w:val="24"/>
                <w:lang w:val="en-US" w:eastAsia="zh-CN" w:bidi="ar-SA"/>
              </w:rPr>
              <w:t>+620.5</w:t>
            </w:r>
          </w:p>
        </w:tc>
      </w:tr>
      <w:tr w14:paraId="0A1355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3" w:hRule="atLeast"/>
        </w:trPr>
        <w:tc>
          <w:tcPr>
            <w:tcW w:w="1647" w:type="dxa"/>
            <w:vMerge w:val="restart"/>
            <w:tcBorders>
              <w:top w:val="single" w:color="auto" w:sz="4" w:space="0"/>
              <w:left w:val="single" w:color="auto" w:sz="8" w:space="0"/>
              <w:right w:val="single" w:color="auto" w:sz="4" w:space="0"/>
            </w:tcBorders>
            <w:shd w:val="clear" w:color="auto" w:fill="auto"/>
            <w:vAlign w:val="center"/>
          </w:tcPr>
          <w:p w14:paraId="7864CF39">
            <w:pPr>
              <w:pStyle w:val="31"/>
              <w:widowControl/>
              <w:spacing w:beforeLines="10" w:beforeAutospacing="0" w:after="0" w:afterAutospacing="0" w:line="240" w:lineRule="auto"/>
              <w:ind w:left="0" w:right="0"/>
              <w:jc w:val="center"/>
              <w:rPr>
                <w:rFonts w:hint="default" w:ascii="Times New Roman" w:hAnsi="Times New Roman" w:cs="Times New Roman"/>
                <w:i w:val="0"/>
                <w:iCs w:val="0"/>
                <w:color w:val="auto"/>
                <w:spacing w:val="0"/>
                <w:w w:val="100"/>
                <w:kern w:val="21"/>
                <w:sz w:val="24"/>
                <w:szCs w:val="24"/>
                <w:lang w:val="en-US"/>
              </w:rPr>
            </w:pPr>
            <w:r>
              <w:rPr>
                <w:rFonts w:hint="default" w:ascii="Times New Roman" w:hAnsi="Times New Roman" w:cs="Times New Roman"/>
                <w:i w:val="0"/>
                <w:iCs w:val="0"/>
                <w:snapToGrid w:val="0"/>
                <w:color w:val="auto"/>
                <w:spacing w:val="0"/>
                <w:w w:val="100"/>
                <w:kern w:val="21"/>
                <w:sz w:val="24"/>
                <w:szCs w:val="24"/>
              </w:rPr>
              <w:t>危险废物</w:t>
            </w: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777A83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kern w:val="2"/>
                <w:sz w:val="24"/>
                <w:szCs w:val="24"/>
                <w:lang w:val="en-US" w:eastAsia="zh-CN" w:bidi="ar-SA"/>
              </w:rPr>
              <w:t>COD检测废液</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41B6BF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02BA7E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589250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6CC822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b w:val="0"/>
                <w:bCs/>
                <w:color w:val="auto"/>
                <w:spacing w:val="0"/>
                <w:w w:val="100"/>
                <w:kern w:val="2"/>
                <w:sz w:val="24"/>
                <w:szCs w:val="24"/>
                <w:lang w:val="en-US" w:eastAsia="zh-CN" w:bidi="ar-SA"/>
              </w:rPr>
              <w:t>0.016</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2DF64646">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eastAsia="宋体" w:cs="Times New Roman"/>
                <w:i w:val="0"/>
                <w:iCs w:val="0"/>
                <w:snapToGrid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040733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b w:val="0"/>
                <w:bCs/>
                <w:color w:val="auto"/>
                <w:spacing w:val="0"/>
                <w:w w:val="100"/>
                <w:kern w:val="2"/>
                <w:sz w:val="24"/>
                <w:szCs w:val="24"/>
                <w:lang w:val="en-US" w:eastAsia="zh-CN" w:bidi="ar-SA"/>
              </w:rPr>
              <w:t>0.016</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2E840D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kern w:val="2"/>
                <w:sz w:val="24"/>
                <w:szCs w:val="24"/>
                <w:lang w:val="en-US" w:eastAsia="zh-CN" w:bidi="ar-SA"/>
              </w:rPr>
              <w:t>+</w:t>
            </w:r>
            <w:r>
              <w:rPr>
                <w:rFonts w:hint="eastAsia" w:ascii="Times New Roman" w:hAnsi="Times New Roman" w:eastAsia="宋体" w:cs="Times New Roman"/>
                <w:b w:val="0"/>
                <w:bCs/>
                <w:color w:val="auto"/>
                <w:spacing w:val="0"/>
                <w:w w:val="100"/>
                <w:kern w:val="2"/>
                <w:sz w:val="24"/>
                <w:szCs w:val="24"/>
                <w:lang w:val="en-US" w:eastAsia="zh-CN" w:bidi="ar-SA"/>
              </w:rPr>
              <w:t>0.016</w:t>
            </w:r>
          </w:p>
        </w:tc>
      </w:tr>
      <w:tr w14:paraId="576EA9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8" w:hRule="atLeast"/>
        </w:trPr>
        <w:tc>
          <w:tcPr>
            <w:tcW w:w="1647" w:type="dxa"/>
            <w:vMerge w:val="continue"/>
            <w:tcBorders>
              <w:left w:val="single" w:color="auto" w:sz="8" w:space="0"/>
              <w:right w:val="single" w:color="auto" w:sz="4" w:space="0"/>
            </w:tcBorders>
            <w:shd w:val="clear" w:color="auto" w:fill="auto"/>
            <w:vAlign w:val="center"/>
          </w:tcPr>
          <w:p w14:paraId="566F12FF">
            <w:pPr>
              <w:pStyle w:val="31"/>
              <w:widowControl/>
              <w:spacing w:beforeLines="10" w:beforeAutospacing="0" w:after="0" w:afterAutospacing="0" w:line="240" w:lineRule="auto"/>
              <w:ind w:left="0" w:right="0"/>
              <w:jc w:val="center"/>
              <w:rPr>
                <w:rFonts w:hint="default" w:ascii="Times New Roman" w:hAnsi="Times New Roman" w:cs="Times New Roman"/>
                <w:i w:val="0"/>
                <w:iCs w:val="0"/>
                <w:snapToGrid w:val="0"/>
                <w:color w:val="auto"/>
                <w:spacing w:val="0"/>
                <w:w w:val="100"/>
                <w:kern w:val="21"/>
                <w:sz w:val="24"/>
                <w:szCs w:val="24"/>
              </w:rPr>
            </w:pPr>
          </w:p>
        </w:tc>
        <w:tc>
          <w:tcPr>
            <w:tcW w:w="1850" w:type="dxa"/>
            <w:tcBorders>
              <w:top w:val="single" w:color="auto" w:sz="4" w:space="0"/>
              <w:left w:val="single" w:color="auto" w:sz="4" w:space="0"/>
              <w:bottom w:val="single" w:color="auto" w:sz="4" w:space="0"/>
              <w:right w:val="single" w:color="auto" w:sz="4" w:space="0"/>
            </w:tcBorders>
            <w:shd w:val="clear" w:color="auto" w:fill="auto"/>
            <w:vAlign w:val="center"/>
          </w:tcPr>
          <w:p w14:paraId="417B0E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kern w:val="2"/>
                <w:sz w:val="24"/>
                <w:szCs w:val="24"/>
                <w:lang w:val="en-US" w:eastAsia="zh-CN" w:bidi="ar-SA"/>
              </w:rPr>
              <w:t>氨氮检测废液</w:t>
            </w:r>
          </w:p>
        </w:tc>
        <w:tc>
          <w:tcPr>
            <w:tcW w:w="1642" w:type="dxa"/>
            <w:tcBorders>
              <w:top w:val="single" w:color="auto" w:sz="4" w:space="0"/>
              <w:left w:val="single" w:color="auto" w:sz="4" w:space="0"/>
              <w:bottom w:val="single" w:color="auto" w:sz="4" w:space="0"/>
              <w:right w:val="single" w:color="auto" w:sz="4" w:space="0"/>
            </w:tcBorders>
            <w:shd w:val="clear" w:color="auto" w:fill="auto"/>
            <w:vAlign w:val="center"/>
          </w:tcPr>
          <w:p w14:paraId="0A7D13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65BCDF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tcBorders>
              <w:top w:val="single" w:color="auto" w:sz="4" w:space="0"/>
              <w:left w:val="single" w:color="auto" w:sz="4" w:space="0"/>
              <w:bottom w:val="single" w:color="auto" w:sz="4" w:space="0"/>
              <w:right w:val="single" w:color="auto" w:sz="4" w:space="0"/>
            </w:tcBorders>
            <w:shd w:val="clear" w:color="auto" w:fill="auto"/>
            <w:vAlign w:val="center"/>
          </w:tcPr>
          <w:p w14:paraId="1D6116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tcBorders>
              <w:top w:val="single" w:color="auto" w:sz="4" w:space="0"/>
              <w:left w:val="single" w:color="auto" w:sz="4" w:space="0"/>
              <w:bottom w:val="single" w:color="auto" w:sz="4" w:space="0"/>
              <w:right w:val="single" w:color="auto" w:sz="4" w:space="0"/>
            </w:tcBorders>
            <w:shd w:val="clear" w:color="auto" w:fill="auto"/>
            <w:vAlign w:val="center"/>
          </w:tcPr>
          <w:p w14:paraId="61F2DB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b w:val="0"/>
                <w:bCs/>
                <w:color w:val="auto"/>
                <w:spacing w:val="0"/>
                <w:w w:val="100"/>
                <w:kern w:val="2"/>
                <w:sz w:val="24"/>
                <w:szCs w:val="24"/>
                <w:lang w:val="en-US" w:eastAsia="zh-CN" w:bidi="ar-SA"/>
              </w:rPr>
              <w:t>0.016</w:t>
            </w:r>
          </w:p>
        </w:tc>
        <w:tc>
          <w:tcPr>
            <w:tcW w:w="1797" w:type="dxa"/>
            <w:tcBorders>
              <w:top w:val="single" w:color="auto" w:sz="4" w:space="0"/>
              <w:left w:val="single" w:color="auto" w:sz="4" w:space="0"/>
              <w:bottom w:val="single" w:color="auto" w:sz="4" w:space="0"/>
              <w:right w:val="single" w:color="auto" w:sz="4" w:space="0"/>
            </w:tcBorders>
            <w:shd w:val="clear" w:color="auto" w:fill="auto"/>
            <w:vAlign w:val="center"/>
          </w:tcPr>
          <w:p w14:paraId="197966B5">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tcBorders>
              <w:top w:val="single" w:color="auto" w:sz="4" w:space="0"/>
              <w:left w:val="single" w:color="auto" w:sz="4" w:space="0"/>
              <w:bottom w:val="single" w:color="auto" w:sz="4" w:space="0"/>
              <w:right w:val="single" w:color="auto" w:sz="4" w:space="0"/>
            </w:tcBorders>
            <w:shd w:val="clear" w:color="auto" w:fill="auto"/>
            <w:vAlign w:val="center"/>
          </w:tcPr>
          <w:p w14:paraId="0ED37B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b w:val="0"/>
                <w:bCs/>
                <w:color w:val="auto"/>
                <w:spacing w:val="0"/>
                <w:w w:val="100"/>
                <w:kern w:val="2"/>
                <w:sz w:val="24"/>
                <w:szCs w:val="24"/>
                <w:lang w:val="en-US" w:eastAsia="zh-CN" w:bidi="ar-SA"/>
              </w:rPr>
              <w:t>0.016</w:t>
            </w:r>
          </w:p>
        </w:tc>
        <w:tc>
          <w:tcPr>
            <w:tcW w:w="1414" w:type="dxa"/>
            <w:tcBorders>
              <w:top w:val="single" w:color="auto" w:sz="4" w:space="0"/>
              <w:left w:val="single" w:color="auto" w:sz="4" w:space="0"/>
              <w:bottom w:val="single" w:color="auto" w:sz="4" w:space="0"/>
              <w:right w:val="single" w:color="auto" w:sz="8" w:space="0"/>
            </w:tcBorders>
            <w:shd w:val="clear" w:color="auto" w:fill="auto"/>
            <w:vAlign w:val="center"/>
          </w:tcPr>
          <w:p w14:paraId="2494CC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kern w:val="2"/>
                <w:sz w:val="24"/>
                <w:szCs w:val="24"/>
                <w:lang w:val="en-US" w:eastAsia="zh-CN" w:bidi="ar-SA"/>
              </w:rPr>
              <w:t>+</w:t>
            </w:r>
            <w:r>
              <w:rPr>
                <w:rFonts w:hint="eastAsia" w:ascii="Times New Roman" w:hAnsi="Times New Roman" w:eastAsia="宋体" w:cs="Times New Roman"/>
                <w:b w:val="0"/>
                <w:bCs/>
                <w:color w:val="auto"/>
                <w:spacing w:val="0"/>
                <w:w w:val="100"/>
                <w:kern w:val="2"/>
                <w:sz w:val="24"/>
                <w:szCs w:val="24"/>
                <w:lang w:val="en-US" w:eastAsia="zh-CN" w:bidi="ar-SA"/>
              </w:rPr>
              <w:t>0.016</w:t>
            </w:r>
          </w:p>
        </w:tc>
      </w:tr>
      <w:tr w14:paraId="2005F2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3" w:hRule="atLeast"/>
        </w:trPr>
        <w:tc>
          <w:tcPr>
            <w:tcW w:w="1647" w:type="dxa"/>
            <w:vMerge w:val="continue"/>
            <w:tcBorders>
              <w:left w:val="single" w:color="auto" w:sz="8" w:space="0"/>
              <w:right w:val="single" w:color="auto" w:sz="4" w:space="0"/>
            </w:tcBorders>
            <w:shd w:val="clear" w:color="auto" w:fill="auto"/>
            <w:vAlign w:val="center"/>
          </w:tcPr>
          <w:p w14:paraId="0B748F47">
            <w:pPr>
              <w:pStyle w:val="31"/>
              <w:widowControl/>
              <w:spacing w:beforeLines="10" w:beforeAutospacing="0" w:after="0" w:afterAutospacing="0" w:line="240" w:lineRule="auto"/>
              <w:ind w:left="0" w:right="0"/>
              <w:jc w:val="center"/>
              <w:rPr>
                <w:rFonts w:hint="default" w:ascii="Times New Roman" w:hAnsi="Times New Roman" w:cs="Times New Roman"/>
                <w:i w:val="0"/>
                <w:iCs w:val="0"/>
                <w:snapToGrid w:val="0"/>
                <w:color w:val="auto"/>
                <w:spacing w:val="0"/>
                <w:w w:val="100"/>
                <w:kern w:val="21"/>
                <w:sz w:val="24"/>
                <w:szCs w:val="24"/>
              </w:rPr>
            </w:pPr>
          </w:p>
        </w:tc>
        <w:tc>
          <w:tcPr>
            <w:tcW w:w="1850" w:type="dxa"/>
            <w:shd w:val="clear" w:color="auto" w:fill="auto"/>
            <w:vAlign w:val="center"/>
          </w:tcPr>
          <w:p w14:paraId="11DC63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kern w:val="2"/>
                <w:sz w:val="24"/>
                <w:szCs w:val="24"/>
                <w:lang w:val="en-US" w:eastAsia="zh-CN" w:bidi="ar-SA"/>
              </w:rPr>
              <w:t>总氮检测废液</w:t>
            </w:r>
          </w:p>
        </w:tc>
        <w:tc>
          <w:tcPr>
            <w:tcW w:w="1642" w:type="dxa"/>
            <w:shd w:val="clear" w:color="auto" w:fill="auto"/>
            <w:vAlign w:val="center"/>
          </w:tcPr>
          <w:p w14:paraId="6FCE20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shd w:val="clear" w:color="auto" w:fill="auto"/>
            <w:vAlign w:val="center"/>
          </w:tcPr>
          <w:p w14:paraId="2B54DB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shd w:val="clear" w:color="auto" w:fill="auto"/>
            <w:vAlign w:val="center"/>
          </w:tcPr>
          <w:p w14:paraId="247EDC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shd w:val="clear" w:color="auto" w:fill="auto"/>
            <w:vAlign w:val="center"/>
          </w:tcPr>
          <w:p w14:paraId="30DD6E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b w:val="0"/>
                <w:bCs/>
                <w:color w:val="auto"/>
                <w:spacing w:val="0"/>
                <w:w w:val="100"/>
                <w:kern w:val="2"/>
                <w:sz w:val="24"/>
                <w:szCs w:val="24"/>
                <w:lang w:val="en-US" w:eastAsia="zh-CN" w:bidi="ar-SA"/>
              </w:rPr>
              <w:t>0.016</w:t>
            </w:r>
          </w:p>
        </w:tc>
        <w:tc>
          <w:tcPr>
            <w:tcW w:w="1797" w:type="dxa"/>
            <w:shd w:val="clear" w:color="auto" w:fill="auto"/>
            <w:vAlign w:val="center"/>
          </w:tcPr>
          <w:p w14:paraId="2B27536F">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shd w:val="clear" w:color="auto" w:fill="auto"/>
            <w:vAlign w:val="center"/>
          </w:tcPr>
          <w:p w14:paraId="269DC2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b w:val="0"/>
                <w:bCs/>
                <w:color w:val="auto"/>
                <w:spacing w:val="0"/>
                <w:w w:val="100"/>
                <w:kern w:val="2"/>
                <w:sz w:val="24"/>
                <w:szCs w:val="24"/>
                <w:lang w:val="en-US" w:eastAsia="zh-CN" w:bidi="ar-SA"/>
              </w:rPr>
              <w:t>0.016</w:t>
            </w:r>
          </w:p>
        </w:tc>
        <w:tc>
          <w:tcPr>
            <w:tcW w:w="1414" w:type="dxa"/>
            <w:shd w:val="clear" w:color="auto" w:fill="auto"/>
            <w:vAlign w:val="center"/>
          </w:tcPr>
          <w:p w14:paraId="67E01E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kern w:val="2"/>
                <w:sz w:val="24"/>
                <w:szCs w:val="24"/>
                <w:lang w:val="en-US" w:eastAsia="zh-CN" w:bidi="ar-SA"/>
              </w:rPr>
              <w:t>+</w:t>
            </w:r>
            <w:r>
              <w:rPr>
                <w:rFonts w:hint="eastAsia" w:ascii="Times New Roman" w:hAnsi="Times New Roman" w:eastAsia="宋体" w:cs="Times New Roman"/>
                <w:b w:val="0"/>
                <w:bCs/>
                <w:color w:val="auto"/>
                <w:spacing w:val="0"/>
                <w:w w:val="100"/>
                <w:kern w:val="2"/>
                <w:sz w:val="24"/>
                <w:szCs w:val="24"/>
                <w:lang w:val="en-US" w:eastAsia="zh-CN" w:bidi="ar-SA"/>
              </w:rPr>
              <w:t>0.016</w:t>
            </w:r>
          </w:p>
        </w:tc>
      </w:tr>
      <w:tr w14:paraId="0F7945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34" w:hRule="atLeast"/>
        </w:trPr>
        <w:tc>
          <w:tcPr>
            <w:tcW w:w="1647" w:type="dxa"/>
            <w:vMerge w:val="continue"/>
            <w:tcBorders>
              <w:left w:val="single" w:color="auto" w:sz="8" w:space="0"/>
              <w:right w:val="single" w:color="auto" w:sz="4" w:space="0"/>
            </w:tcBorders>
            <w:shd w:val="clear" w:color="auto" w:fill="auto"/>
            <w:vAlign w:val="center"/>
          </w:tcPr>
          <w:p w14:paraId="497D89D4">
            <w:pPr>
              <w:pStyle w:val="31"/>
              <w:widowControl/>
              <w:spacing w:beforeLines="10" w:beforeAutospacing="0" w:after="0" w:afterAutospacing="0" w:line="240" w:lineRule="auto"/>
              <w:ind w:left="0" w:right="0"/>
              <w:jc w:val="center"/>
              <w:rPr>
                <w:rFonts w:hint="default" w:ascii="Times New Roman" w:hAnsi="Times New Roman" w:cs="Times New Roman"/>
                <w:i w:val="0"/>
                <w:iCs w:val="0"/>
                <w:snapToGrid w:val="0"/>
                <w:color w:val="auto"/>
                <w:spacing w:val="0"/>
                <w:w w:val="100"/>
                <w:kern w:val="21"/>
                <w:sz w:val="24"/>
                <w:szCs w:val="24"/>
              </w:rPr>
            </w:pPr>
          </w:p>
        </w:tc>
        <w:tc>
          <w:tcPr>
            <w:tcW w:w="1850" w:type="dxa"/>
            <w:shd w:val="clear" w:color="auto" w:fill="auto"/>
            <w:vAlign w:val="center"/>
          </w:tcPr>
          <w:p w14:paraId="6AD822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kern w:val="2"/>
                <w:sz w:val="24"/>
                <w:szCs w:val="24"/>
                <w:lang w:val="en-US" w:eastAsia="zh-CN" w:bidi="ar-SA"/>
              </w:rPr>
              <w:t>总磷检测废液</w:t>
            </w:r>
          </w:p>
        </w:tc>
        <w:tc>
          <w:tcPr>
            <w:tcW w:w="1642" w:type="dxa"/>
            <w:shd w:val="clear" w:color="auto" w:fill="auto"/>
            <w:vAlign w:val="center"/>
          </w:tcPr>
          <w:p w14:paraId="64F66D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423" w:type="dxa"/>
            <w:shd w:val="clear" w:color="auto" w:fill="auto"/>
            <w:vAlign w:val="center"/>
          </w:tcPr>
          <w:p w14:paraId="3E3294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62" w:type="dxa"/>
            <w:shd w:val="clear" w:color="auto" w:fill="auto"/>
            <w:vAlign w:val="center"/>
          </w:tcPr>
          <w:p w14:paraId="389FFA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1711" w:type="dxa"/>
            <w:shd w:val="clear" w:color="auto" w:fill="auto"/>
            <w:vAlign w:val="center"/>
          </w:tcPr>
          <w:p w14:paraId="435508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b w:val="0"/>
                <w:bCs/>
                <w:color w:val="auto"/>
                <w:spacing w:val="0"/>
                <w:w w:val="100"/>
                <w:kern w:val="2"/>
                <w:sz w:val="24"/>
                <w:szCs w:val="24"/>
                <w:lang w:val="en-US" w:eastAsia="zh-CN" w:bidi="ar-SA"/>
              </w:rPr>
              <w:t>0.016</w:t>
            </w:r>
          </w:p>
        </w:tc>
        <w:tc>
          <w:tcPr>
            <w:tcW w:w="1797" w:type="dxa"/>
            <w:shd w:val="clear" w:color="auto" w:fill="auto"/>
            <w:vAlign w:val="center"/>
          </w:tcPr>
          <w:p w14:paraId="22CFB1EE">
            <w:pPr>
              <w:keepNext w:val="0"/>
              <w:keepLines w:val="0"/>
              <w:widowControl/>
              <w:suppressLineNumbers w:val="0"/>
              <w:spacing w:before="0" w:beforeLines="10" w:beforeAutospacing="0" w:after="0" w:afterAutospacing="0" w:line="240" w:lineRule="auto"/>
              <w:ind w:left="0" w:leftChars="0" w:right="0" w:rightChars="0"/>
              <w:jc w:val="center"/>
              <w:rPr>
                <w:rFonts w:hint="default" w:ascii="Times New Roman" w:hAnsi="Times New Roman" w:cs="Times New Roman"/>
                <w:i w:val="0"/>
                <w:iCs w:val="0"/>
                <w:color w:val="auto"/>
                <w:spacing w:val="0"/>
                <w:w w:val="100"/>
                <w:kern w:val="21"/>
                <w:sz w:val="24"/>
                <w:szCs w:val="24"/>
                <w:lang w:val="en-US" w:eastAsia="zh-CN"/>
              </w:rPr>
            </w:pPr>
            <w:r>
              <w:rPr>
                <w:rFonts w:hint="default" w:ascii="Times New Roman" w:hAnsi="Times New Roman" w:eastAsia="宋体" w:cs="Times New Roman"/>
                <w:i w:val="0"/>
                <w:iCs w:val="0"/>
                <w:snapToGrid w:val="0"/>
                <w:color w:val="auto"/>
                <w:spacing w:val="0"/>
                <w:w w:val="100"/>
                <w:kern w:val="21"/>
                <w:sz w:val="24"/>
                <w:szCs w:val="24"/>
                <w:lang w:val="en-US" w:eastAsia="zh-CN"/>
              </w:rPr>
              <w:t>/</w:t>
            </w:r>
          </w:p>
        </w:tc>
        <w:tc>
          <w:tcPr>
            <w:tcW w:w="2050" w:type="dxa"/>
            <w:shd w:val="clear" w:color="auto" w:fill="auto"/>
            <w:vAlign w:val="center"/>
          </w:tcPr>
          <w:p w14:paraId="072636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eastAsia" w:ascii="Times New Roman" w:hAnsi="Times New Roman" w:eastAsia="宋体" w:cs="Times New Roman"/>
                <w:b w:val="0"/>
                <w:bCs/>
                <w:color w:val="auto"/>
                <w:spacing w:val="0"/>
                <w:w w:val="100"/>
                <w:kern w:val="2"/>
                <w:sz w:val="24"/>
                <w:szCs w:val="24"/>
                <w:lang w:val="en-US" w:eastAsia="zh-CN" w:bidi="ar-SA"/>
              </w:rPr>
              <w:t>0.016</w:t>
            </w:r>
          </w:p>
        </w:tc>
        <w:tc>
          <w:tcPr>
            <w:tcW w:w="1414" w:type="dxa"/>
            <w:shd w:val="clear" w:color="auto" w:fill="auto"/>
            <w:vAlign w:val="center"/>
          </w:tcPr>
          <w:p w14:paraId="5C8B81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pacing w:val="0"/>
                <w:w w:val="100"/>
                <w:kern w:val="2"/>
                <w:sz w:val="24"/>
                <w:szCs w:val="24"/>
                <w:lang w:val="en-US" w:eastAsia="zh-CN" w:bidi="ar-SA"/>
              </w:rPr>
            </w:pPr>
            <w:r>
              <w:rPr>
                <w:rFonts w:hint="default" w:ascii="Times New Roman" w:hAnsi="Times New Roman" w:eastAsia="宋体" w:cs="Times New Roman"/>
                <w:b w:val="0"/>
                <w:bCs/>
                <w:color w:val="auto"/>
                <w:spacing w:val="0"/>
                <w:w w:val="100"/>
                <w:kern w:val="2"/>
                <w:sz w:val="24"/>
                <w:szCs w:val="24"/>
                <w:lang w:val="en-US" w:eastAsia="zh-CN" w:bidi="ar-SA"/>
              </w:rPr>
              <w:t>+</w:t>
            </w:r>
            <w:r>
              <w:rPr>
                <w:rFonts w:hint="eastAsia" w:ascii="Times New Roman" w:hAnsi="Times New Roman" w:eastAsia="宋体" w:cs="Times New Roman"/>
                <w:b w:val="0"/>
                <w:bCs/>
                <w:color w:val="auto"/>
                <w:spacing w:val="0"/>
                <w:w w:val="100"/>
                <w:kern w:val="2"/>
                <w:sz w:val="24"/>
                <w:szCs w:val="24"/>
                <w:lang w:val="en-US" w:eastAsia="zh-CN" w:bidi="ar-SA"/>
              </w:rPr>
              <w:t>0.016</w:t>
            </w:r>
          </w:p>
        </w:tc>
      </w:tr>
    </w:tbl>
    <w:p w14:paraId="35267C31">
      <w:pPr>
        <w:pStyle w:val="31"/>
        <w:widowControl/>
        <w:spacing w:before="192" w:beforeLines="80" w:beforeAutospacing="0" w:after="24" w:afterAutospacing="0"/>
        <w:ind w:left="0" w:right="0"/>
        <w:jc w:val="left"/>
        <w:rPr>
          <w:rFonts w:hint="default" w:ascii="Times New Roman" w:hAnsi="Times New Roman" w:cs="Times New Roman"/>
          <w:color w:val="auto"/>
          <w:spacing w:val="0"/>
          <w:w w:val="100"/>
          <w:lang w:val="en-US"/>
        </w:rPr>
      </w:pPr>
      <w:r>
        <w:rPr>
          <w:rFonts w:hint="default" w:ascii="Times New Roman" w:hAnsi="Times New Roman" w:cs="Times New Roman"/>
          <w:i w:val="0"/>
          <w:iCs w:val="0"/>
          <w:snapToGrid w:val="0"/>
          <w:color w:val="auto"/>
          <w:spacing w:val="0"/>
          <w:w w:val="100"/>
          <w:kern w:val="21"/>
          <w:szCs w:val="21"/>
          <w:lang w:eastAsia="zh-CN"/>
        </w:rPr>
        <w:t>注：</w:t>
      </w:r>
      <w:r>
        <w:rPr>
          <w:rFonts w:hint="default" w:ascii="Times New Roman" w:hAnsi="Times New Roman" w:cs="Times New Roman"/>
          <w:i w:val="0"/>
          <w:iCs w:val="0"/>
          <w:color w:val="auto"/>
          <w:spacing w:val="0"/>
          <w:w w:val="100"/>
          <w:kern w:val="21"/>
          <w:szCs w:val="21"/>
          <w:lang w:val="en-US"/>
        </w:rPr>
        <w:fldChar w:fldCharType="begin"/>
      </w:r>
      <w:r>
        <w:rPr>
          <w:rFonts w:hint="default" w:ascii="Times New Roman" w:hAnsi="Times New Roman" w:cs="Times New Roman"/>
          <w:i w:val="0"/>
          <w:iCs w:val="0"/>
          <w:snapToGrid w:val="0"/>
          <w:color w:val="auto"/>
          <w:spacing w:val="0"/>
          <w:w w:val="100"/>
          <w:kern w:val="21"/>
          <w:szCs w:val="21"/>
          <w:lang w:val="en-US"/>
        </w:rPr>
        <w:instrText xml:space="preserve"> = 6 \* GB3 \* MERGEFORMAT </w:instrText>
      </w:r>
      <w:r>
        <w:rPr>
          <w:rFonts w:hint="default" w:ascii="Times New Roman" w:hAnsi="Times New Roman" w:cs="Times New Roman"/>
          <w:i w:val="0"/>
          <w:iCs w:val="0"/>
          <w:color w:val="auto"/>
          <w:spacing w:val="0"/>
          <w:w w:val="100"/>
          <w:kern w:val="21"/>
          <w:szCs w:val="21"/>
          <w:lang w:val="en-US"/>
        </w:rPr>
        <w:fldChar w:fldCharType="separate"/>
      </w:r>
      <w:r>
        <w:rPr>
          <w:rFonts w:hint="default" w:ascii="Times New Roman" w:hAnsi="Times New Roman" w:cs="Times New Roman"/>
          <w:i w:val="0"/>
          <w:iCs w:val="0"/>
          <w:color w:val="auto"/>
          <w:spacing w:val="0"/>
          <w:w w:val="100"/>
          <w:szCs w:val="21"/>
          <w:lang w:eastAsia="zh-CN"/>
        </w:rPr>
        <w:t>⑥</w:t>
      </w:r>
      <w:r>
        <w:rPr>
          <w:rFonts w:hint="default" w:ascii="Times New Roman" w:hAnsi="Times New Roman" w:cs="Times New Roman"/>
          <w:i w:val="0"/>
          <w:iCs w:val="0"/>
          <w:color w:val="auto"/>
          <w:spacing w:val="0"/>
          <w:w w:val="100"/>
          <w:kern w:val="21"/>
          <w:szCs w:val="21"/>
          <w:lang w:val="en-US"/>
        </w:rPr>
        <w:fldChar w:fldCharType="end"/>
      </w:r>
      <w:r>
        <w:rPr>
          <w:rFonts w:hint="default" w:ascii="Times New Roman" w:hAnsi="Times New Roman" w:cs="Times New Roman"/>
          <w:i w:val="0"/>
          <w:iCs w:val="0"/>
          <w:snapToGrid w:val="0"/>
          <w:color w:val="auto"/>
          <w:spacing w:val="0"/>
          <w:w w:val="100"/>
          <w:kern w:val="21"/>
          <w:szCs w:val="21"/>
          <w:lang w:val="en-US"/>
        </w:rPr>
        <w:t>=</w:t>
      </w:r>
      <w:r>
        <w:rPr>
          <w:rFonts w:hint="default" w:ascii="Times New Roman" w:hAnsi="Times New Roman" w:cs="Times New Roman"/>
          <w:i w:val="0"/>
          <w:iCs w:val="0"/>
          <w:color w:val="auto"/>
          <w:spacing w:val="0"/>
          <w:w w:val="100"/>
          <w:kern w:val="21"/>
          <w:szCs w:val="21"/>
          <w:lang w:val="en-US"/>
        </w:rPr>
        <w:fldChar w:fldCharType="begin"/>
      </w:r>
      <w:r>
        <w:rPr>
          <w:rFonts w:hint="default" w:ascii="Times New Roman" w:hAnsi="Times New Roman" w:cs="Times New Roman"/>
          <w:i w:val="0"/>
          <w:iCs w:val="0"/>
          <w:snapToGrid w:val="0"/>
          <w:color w:val="auto"/>
          <w:spacing w:val="0"/>
          <w:w w:val="100"/>
          <w:kern w:val="21"/>
          <w:szCs w:val="21"/>
          <w:lang w:val="en-US"/>
        </w:rPr>
        <w:instrText xml:space="preserve"> = 1 \* GB3 \* MERGEFORMAT </w:instrText>
      </w:r>
      <w:r>
        <w:rPr>
          <w:rFonts w:hint="default" w:ascii="Times New Roman" w:hAnsi="Times New Roman" w:cs="Times New Roman"/>
          <w:i w:val="0"/>
          <w:iCs w:val="0"/>
          <w:color w:val="auto"/>
          <w:spacing w:val="0"/>
          <w:w w:val="100"/>
          <w:kern w:val="21"/>
          <w:szCs w:val="21"/>
          <w:lang w:val="en-US"/>
        </w:rPr>
        <w:fldChar w:fldCharType="separate"/>
      </w:r>
      <w:r>
        <w:rPr>
          <w:rFonts w:hint="default" w:ascii="Times New Roman" w:hAnsi="Times New Roman" w:cs="Times New Roman"/>
          <w:i w:val="0"/>
          <w:iCs w:val="0"/>
          <w:color w:val="auto"/>
          <w:spacing w:val="0"/>
          <w:w w:val="100"/>
          <w:szCs w:val="21"/>
          <w:lang w:eastAsia="zh-CN"/>
        </w:rPr>
        <w:t>①</w:t>
      </w:r>
      <w:r>
        <w:rPr>
          <w:rFonts w:hint="default" w:ascii="Times New Roman" w:hAnsi="Times New Roman" w:cs="Times New Roman"/>
          <w:i w:val="0"/>
          <w:iCs w:val="0"/>
          <w:color w:val="auto"/>
          <w:spacing w:val="0"/>
          <w:w w:val="100"/>
          <w:kern w:val="21"/>
          <w:szCs w:val="21"/>
          <w:lang w:val="en-US"/>
        </w:rPr>
        <w:fldChar w:fldCharType="end"/>
      </w:r>
      <w:r>
        <w:rPr>
          <w:rFonts w:hint="default" w:ascii="Times New Roman" w:hAnsi="Times New Roman" w:cs="Times New Roman"/>
          <w:i w:val="0"/>
          <w:iCs w:val="0"/>
          <w:snapToGrid w:val="0"/>
          <w:color w:val="auto"/>
          <w:spacing w:val="0"/>
          <w:w w:val="100"/>
          <w:kern w:val="21"/>
          <w:szCs w:val="21"/>
          <w:lang w:val="en-US"/>
        </w:rPr>
        <w:t>+</w:t>
      </w:r>
      <w:r>
        <w:rPr>
          <w:rFonts w:hint="default" w:ascii="Times New Roman" w:hAnsi="Times New Roman" w:cs="Times New Roman"/>
          <w:i w:val="0"/>
          <w:iCs w:val="0"/>
          <w:color w:val="auto"/>
          <w:spacing w:val="0"/>
          <w:w w:val="100"/>
          <w:kern w:val="21"/>
          <w:szCs w:val="21"/>
          <w:lang w:val="en-US"/>
        </w:rPr>
        <w:fldChar w:fldCharType="begin"/>
      </w:r>
      <w:r>
        <w:rPr>
          <w:rFonts w:hint="default" w:ascii="Times New Roman" w:hAnsi="Times New Roman" w:cs="Times New Roman"/>
          <w:i w:val="0"/>
          <w:iCs w:val="0"/>
          <w:snapToGrid w:val="0"/>
          <w:color w:val="auto"/>
          <w:spacing w:val="0"/>
          <w:w w:val="100"/>
          <w:kern w:val="21"/>
          <w:szCs w:val="21"/>
          <w:lang w:val="en-US"/>
        </w:rPr>
        <w:instrText xml:space="preserve"> = 3 \* GB3 \* MERGEFORMAT </w:instrText>
      </w:r>
      <w:r>
        <w:rPr>
          <w:rFonts w:hint="default" w:ascii="Times New Roman" w:hAnsi="Times New Roman" w:cs="Times New Roman"/>
          <w:i w:val="0"/>
          <w:iCs w:val="0"/>
          <w:color w:val="auto"/>
          <w:spacing w:val="0"/>
          <w:w w:val="100"/>
          <w:kern w:val="21"/>
          <w:szCs w:val="21"/>
          <w:lang w:val="en-US"/>
        </w:rPr>
        <w:fldChar w:fldCharType="separate"/>
      </w:r>
      <w:r>
        <w:rPr>
          <w:rFonts w:hint="default" w:ascii="Times New Roman" w:hAnsi="Times New Roman" w:cs="Times New Roman"/>
          <w:i w:val="0"/>
          <w:iCs w:val="0"/>
          <w:color w:val="auto"/>
          <w:spacing w:val="0"/>
          <w:w w:val="100"/>
          <w:szCs w:val="21"/>
          <w:lang w:eastAsia="zh-CN"/>
        </w:rPr>
        <w:t>③</w:t>
      </w:r>
      <w:r>
        <w:rPr>
          <w:rFonts w:hint="default" w:ascii="Times New Roman" w:hAnsi="Times New Roman" w:cs="Times New Roman"/>
          <w:i w:val="0"/>
          <w:iCs w:val="0"/>
          <w:color w:val="auto"/>
          <w:spacing w:val="0"/>
          <w:w w:val="100"/>
          <w:kern w:val="21"/>
          <w:szCs w:val="21"/>
          <w:lang w:val="en-US"/>
        </w:rPr>
        <w:fldChar w:fldCharType="end"/>
      </w:r>
      <w:r>
        <w:rPr>
          <w:rFonts w:hint="default" w:ascii="Times New Roman" w:hAnsi="Times New Roman" w:cs="Times New Roman"/>
          <w:i w:val="0"/>
          <w:iCs w:val="0"/>
          <w:snapToGrid w:val="0"/>
          <w:color w:val="auto"/>
          <w:spacing w:val="0"/>
          <w:w w:val="100"/>
          <w:kern w:val="21"/>
          <w:szCs w:val="21"/>
          <w:lang w:val="en-US"/>
        </w:rPr>
        <w:t>+</w:t>
      </w:r>
      <w:r>
        <w:rPr>
          <w:rFonts w:hint="default" w:ascii="Times New Roman" w:hAnsi="Times New Roman" w:cs="Times New Roman"/>
          <w:i w:val="0"/>
          <w:iCs w:val="0"/>
          <w:color w:val="auto"/>
          <w:spacing w:val="0"/>
          <w:w w:val="100"/>
          <w:kern w:val="21"/>
          <w:szCs w:val="21"/>
          <w:lang w:val="en-US"/>
        </w:rPr>
        <w:fldChar w:fldCharType="begin"/>
      </w:r>
      <w:r>
        <w:rPr>
          <w:rFonts w:hint="default" w:ascii="Times New Roman" w:hAnsi="Times New Roman" w:cs="Times New Roman"/>
          <w:i w:val="0"/>
          <w:iCs w:val="0"/>
          <w:snapToGrid w:val="0"/>
          <w:color w:val="auto"/>
          <w:spacing w:val="0"/>
          <w:w w:val="100"/>
          <w:kern w:val="21"/>
          <w:szCs w:val="21"/>
          <w:lang w:val="en-US"/>
        </w:rPr>
        <w:instrText xml:space="preserve"> = 4 \* GB3 \* MERGEFORMAT </w:instrText>
      </w:r>
      <w:r>
        <w:rPr>
          <w:rFonts w:hint="default" w:ascii="Times New Roman" w:hAnsi="Times New Roman" w:cs="Times New Roman"/>
          <w:i w:val="0"/>
          <w:iCs w:val="0"/>
          <w:color w:val="auto"/>
          <w:spacing w:val="0"/>
          <w:w w:val="100"/>
          <w:kern w:val="21"/>
          <w:szCs w:val="21"/>
          <w:lang w:val="en-US"/>
        </w:rPr>
        <w:fldChar w:fldCharType="separate"/>
      </w:r>
      <w:r>
        <w:rPr>
          <w:rFonts w:hint="default" w:ascii="Times New Roman" w:hAnsi="Times New Roman" w:cs="Times New Roman"/>
          <w:i w:val="0"/>
          <w:iCs w:val="0"/>
          <w:color w:val="auto"/>
          <w:spacing w:val="0"/>
          <w:w w:val="100"/>
          <w:szCs w:val="21"/>
          <w:lang w:eastAsia="zh-CN"/>
        </w:rPr>
        <w:t>④</w:t>
      </w:r>
      <w:r>
        <w:rPr>
          <w:rFonts w:hint="default" w:ascii="Times New Roman" w:hAnsi="Times New Roman" w:cs="Times New Roman"/>
          <w:i w:val="0"/>
          <w:iCs w:val="0"/>
          <w:color w:val="auto"/>
          <w:spacing w:val="0"/>
          <w:w w:val="100"/>
          <w:kern w:val="21"/>
          <w:szCs w:val="21"/>
          <w:lang w:val="en-US"/>
        </w:rPr>
        <w:fldChar w:fldCharType="end"/>
      </w:r>
      <w:r>
        <w:rPr>
          <w:rFonts w:hint="default" w:ascii="Times New Roman" w:hAnsi="Times New Roman" w:cs="Times New Roman"/>
          <w:i w:val="0"/>
          <w:iCs w:val="0"/>
          <w:snapToGrid w:val="0"/>
          <w:color w:val="auto"/>
          <w:spacing w:val="0"/>
          <w:w w:val="100"/>
          <w:kern w:val="21"/>
          <w:szCs w:val="21"/>
          <w:lang w:val="en-US"/>
        </w:rPr>
        <w:t>-</w:t>
      </w:r>
      <w:r>
        <w:rPr>
          <w:rFonts w:hint="default" w:ascii="Times New Roman" w:hAnsi="Times New Roman" w:cs="Times New Roman"/>
          <w:i w:val="0"/>
          <w:iCs w:val="0"/>
          <w:color w:val="auto"/>
          <w:spacing w:val="0"/>
          <w:w w:val="100"/>
          <w:kern w:val="21"/>
          <w:szCs w:val="21"/>
          <w:lang w:val="en-US"/>
        </w:rPr>
        <w:fldChar w:fldCharType="begin"/>
      </w:r>
      <w:r>
        <w:rPr>
          <w:rFonts w:hint="default" w:ascii="Times New Roman" w:hAnsi="Times New Roman" w:cs="Times New Roman"/>
          <w:i w:val="0"/>
          <w:iCs w:val="0"/>
          <w:snapToGrid w:val="0"/>
          <w:color w:val="auto"/>
          <w:spacing w:val="0"/>
          <w:w w:val="100"/>
          <w:kern w:val="21"/>
          <w:szCs w:val="21"/>
          <w:lang w:val="en-US"/>
        </w:rPr>
        <w:instrText xml:space="preserve"> = 5 \* GB3 \* MERGEFORMAT </w:instrText>
      </w:r>
      <w:r>
        <w:rPr>
          <w:rFonts w:hint="default" w:ascii="Times New Roman" w:hAnsi="Times New Roman" w:cs="Times New Roman"/>
          <w:i w:val="0"/>
          <w:iCs w:val="0"/>
          <w:color w:val="auto"/>
          <w:spacing w:val="0"/>
          <w:w w:val="100"/>
          <w:kern w:val="21"/>
          <w:szCs w:val="21"/>
          <w:lang w:val="en-US"/>
        </w:rPr>
        <w:fldChar w:fldCharType="separate"/>
      </w:r>
      <w:r>
        <w:rPr>
          <w:rFonts w:hint="default" w:ascii="Times New Roman" w:hAnsi="Times New Roman" w:cs="Times New Roman"/>
          <w:i w:val="0"/>
          <w:iCs w:val="0"/>
          <w:color w:val="auto"/>
          <w:spacing w:val="0"/>
          <w:w w:val="100"/>
          <w:szCs w:val="21"/>
          <w:lang w:eastAsia="zh-CN"/>
        </w:rPr>
        <w:t>⑤</w:t>
      </w:r>
      <w:r>
        <w:rPr>
          <w:rFonts w:hint="default" w:ascii="Times New Roman" w:hAnsi="Times New Roman" w:cs="Times New Roman"/>
          <w:i w:val="0"/>
          <w:iCs w:val="0"/>
          <w:color w:val="auto"/>
          <w:spacing w:val="0"/>
          <w:w w:val="100"/>
          <w:kern w:val="21"/>
          <w:szCs w:val="21"/>
          <w:lang w:val="en-US"/>
        </w:rPr>
        <w:fldChar w:fldCharType="end"/>
      </w:r>
      <w:r>
        <w:rPr>
          <w:rFonts w:hint="default" w:ascii="Times New Roman" w:hAnsi="Times New Roman" w:cs="Times New Roman"/>
          <w:i w:val="0"/>
          <w:iCs w:val="0"/>
          <w:snapToGrid w:val="0"/>
          <w:color w:val="auto"/>
          <w:spacing w:val="0"/>
          <w:w w:val="100"/>
          <w:kern w:val="21"/>
          <w:szCs w:val="21"/>
          <w:lang w:eastAsia="zh-CN"/>
        </w:rPr>
        <w:t>；</w:t>
      </w:r>
      <w:r>
        <w:rPr>
          <w:rFonts w:hint="default" w:ascii="Times New Roman" w:hAnsi="Times New Roman" w:cs="Times New Roman"/>
          <w:i w:val="0"/>
          <w:iCs w:val="0"/>
          <w:color w:val="auto"/>
          <w:spacing w:val="0"/>
          <w:w w:val="100"/>
          <w:kern w:val="21"/>
          <w:szCs w:val="21"/>
          <w:lang w:val="en-US"/>
        </w:rPr>
        <w:fldChar w:fldCharType="begin"/>
      </w:r>
      <w:r>
        <w:rPr>
          <w:rFonts w:hint="default" w:ascii="Times New Roman" w:hAnsi="Times New Roman" w:cs="Times New Roman"/>
          <w:i w:val="0"/>
          <w:iCs w:val="0"/>
          <w:snapToGrid w:val="0"/>
          <w:color w:val="auto"/>
          <w:spacing w:val="0"/>
          <w:w w:val="100"/>
          <w:kern w:val="21"/>
          <w:szCs w:val="21"/>
          <w:lang w:val="en-US"/>
        </w:rPr>
        <w:instrText xml:space="preserve"> = 7 \* GB3 \* MERGEFORMAT </w:instrText>
      </w:r>
      <w:r>
        <w:rPr>
          <w:rFonts w:hint="default" w:ascii="Times New Roman" w:hAnsi="Times New Roman" w:cs="Times New Roman"/>
          <w:i w:val="0"/>
          <w:iCs w:val="0"/>
          <w:color w:val="auto"/>
          <w:spacing w:val="0"/>
          <w:w w:val="100"/>
          <w:kern w:val="21"/>
          <w:szCs w:val="21"/>
          <w:lang w:val="en-US"/>
        </w:rPr>
        <w:fldChar w:fldCharType="separate"/>
      </w:r>
      <w:r>
        <w:rPr>
          <w:rFonts w:hint="default" w:ascii="Times New Roman" w:hAnsi="Times New Roman" w:cs="Times New Roman"/>
          <w:i w:val="0"/>
          <w:iCs w:val="0"/>
          <w:color w:val="auto"/>
          <w:spacing w:val="0"/>
          <w:w w:val="100"/>
          <w:szCs w:val="21"/>
          <w:lang w:eastAsia="zh-CN"/>
        </w:rPr>
        <w:t>⑦</w:t>
      </w:r>
      <w:r>
        <w:rPr>
          <w:rFonts w:hint="default" w:ascii="Times New Roman" w:hAnsi="Times New Roman" w:cs="Times New Roman"/>
          <w:i w:val="0"/>
          <w:iCs w:val="0"/>
          <w:color w:val="auto"/>
          <w:spacing w:val="0"/>
          <w:w w:val="100"/>
          <w:kern w:val="21"/>
          <w:szCs w:val="21"/>
          <w:lang w:val="en-US"/>
        </w:rPr>
        <w:fldChar w:fldCharType="end"/>
      </w:r>
      <w:r>
        <w:rPr>
          <w:rFonts w:hint="default" w:ascii="Times New Roman" w:hAnsi="Times New Roman" w:cs="Times New Roman"/>
          <w:i w:val="0"/>
          <w:iCs w:val="0"/>
          <w:snapToGrid w:val="0"/>
          <w:color w:val="auto"/>
          <w:spacing w:val="0"/>
          <w:w w:val="100"/>
          <w:kern w:val="21"/>
          <w:szCs w:val="21"/>
          <w:lang w:val="en-US"/>
        </w:rPr>
        <w:t>=</w:t>
      </w:r>
      <w:r>
        <w:rPr>
          <w:rFonts w:hint="default" w:ascii="Times New Roman" w:hAnsi="Times New Roman" w:cs="Times New Roman"/>
          <w:i w:val="0"/>
          <w:iCs w:val="0"/>
          <w:color w:val="auto"/>
          <w:spacing w:val="0"/>
          <w:w w:val="100"/>
          <w:kern w:val="21"/>
          <w:szCs w:val="21"/>
          <w:lang w:val="en-US"/>
        </w:rPr>
        <w:fldChar w:fldCharType="begin"/>
      </w:r>
      <w:r>
        <w:rPr>
          <w:rFonts w:hint="default" w:ascii="Times New Roman" w:hAnsi="Times New Roman" w:cs="Times New Roman"/>
          <w:i w:val="0"/>
          <w:iCs w:val="0"/>
          <w:snapToGrid w:val="0"/>
          <w:color w:val="auto"/>
          <w:spacing w:val="0"/>
          <w:w w:val="100"/>
          <w:kern w:val="21"/>
          <w:szCs w:val="21"/>
          <w:lang w:val="en-US"/>
        </w:rPr>
        <w:instrText xml:space="preserve"> = 6 \* GB3 \* MERGEFORMAT </w:instrText>
      </w:r>
      <w:r>
        <w:rPr>
          <w:rFonts w:hint="default" w:ascii="Times New Roman" w:hAnsi="Times New Roman" w:cs="Times New Roman"/>
          <w:i w:val="0"/>
          <w:iCs w:val="0"/>
          <w:color w:val="auto"/>
          <w:spacing w:val="0"/>
          <w:w w:val="100"/>
          <w:kern w:val="21"/>
          <w:szCs w:val="21"/>
          <w:lang w:val="en-US"/>
        </w:rPr>
        <w:fldChar w:fldCharType="separate"/>
      </w:r>
      <w:r>
        <w:rPr>
          <w:rFonts w:hint="default" w:ascii="Times New Roman" w:hAnsi="Times New Roman" w:cs="Times New Roman"/>
          <w:i w:val="0"/>
          <w:iCs w:val="0"/>
          <w:color w:val="auto"/>
          <w:spacing w:val="0"/>
          <w:w w:val="100"/>
          <w:szCs w:val="21"/>
          <w:lang w:eastAsia="zh-CN"/>
        </w:rPr>
        <w:t>⑥</w:t>
      </w:r>
      <w:r>
        <w:rPr>
          <w:rFonts w:hint="default" w:ascii="Times New Roman" w:hAnsi="Times New Roman" w:cs="Times New Roman"/>
          <w:i w:val="0"/>
          <w:iCs w:val="0"/>
          <w:color w:val="auto"/>
          <w:spacing w:val="0"/>
          <w:w w:val="100"/>
          <w:kern w:val="21"/>
          <w:szCs w:val="21"/>
          <w:lang w:val="en-US"/>
        </w:rPr>
        <w:fldChar w:fldCharType="end"/>
      </w:r>
      <w:r>
        <w:rPr>
          <w:rFonts w:hint="default" w:ascii="Times New Roman" w:hAnsi="Times New Roman" w:cs="Times New Roman"/>
          <w:i w:val="0"/>
          <w:iCs w:val="0"/>
          <w:snapToGrid w:val="0"/>
          <w:color w:val="auto"/>
          <w:spacing w:val="0"/>
          <w:w w:val="100"/>
          <w:kern w:val="21"/>
          <w:szCs w:val="21"/>
          <w:lang w:val="en-US"/>
        </w:rPr>
        <w:t>-</w:t>
      </w:r>
      <w:r>
        <w:rPr>
          <w:rFonts w:hint="default" w:ascii="Times New Roman" w:hAnsi="Times New Roman" w:cs="Times New Roman"/>
          <w:i w:val="0"/>
          <w:iCs w:val="0"/>
          <w:color w:val="auto"/>
          <w:spacing w:val="0"/>
          <w:w w:val="100"/>
          <w:kern w:val="21"/>
          <w:szCs w:val="21"/>
          <w:lang w:val="en-US"/>
        </w:rPr>
        <w:fldChar w:fldCharType="begin"/>
      </w:r>
      <w:r>
        <w:rPr>
          <w:rFonts w:hint="default" w:ascii="Times New Roman" w:hAnsi="Times New Roman" w:cs="Times New Roman"/>
          <w:i w:val="0"/>
          <w:iCs w:val="0"/>
          <w:snapToGrid w:val="0"/>
          <w:color w:val="auto"/>
          <w:spacing w:val="0"/>
          <w:w w:val="100"/>
          <w:kern w:val="21"/>
          <w:szCs w:val="21"/>
          <w:lang w:val="en-US"/>
        </w:rPr>
        <w:instrText xml:space="preserve"> = 1 \* GB3 \* MERGEFORMAT </w:instrText>
      </w:r>
      <w:r>
        <w:rPr>
          <w:rFonts w:hint="default" w:ascii="Times New Roman" w:hAnsi="Times New Roman" w:cs="Times New Roman"/>
          <w:i w:val="0"/>
          <w:iCs w:val="0"/>
          <w:color w:val="auto"/>
          <w:spacing w:val="0"/>
          <w:w w:val="100"/>
          <w:kern w:val="21"/>
          <w:szCs w:val="21"/>
          <w:lang w:val="en-US"/>
        </w:rPr>
        <w:fldChar w:fldCharType="separate"/>
      </w:r>
      <w:r>
        <w:rPr>
          <w:rFonts w:hint="default" w:ascii="Times New Roman" w:hAnsi="Times New Roman" w:cs="Times New Roman"/>
          <w:i w:val="0"/>
          <w:iCs w:val="0"/>
          <w:color w:val="auto"/>
          <w:spacing w:val="0"/>
          <w:w w:val="100"/>
          <w:szCs w:val="21"/>
          <w:lang w:eastAsia="zh-CN"/>
        </w:rPr>
        <w:t>①</w:t>
      </w:r>
      <w:r>
        <w:rPr>
          <w:rFonts w:hint="default" w:ascii="Times New Roman" w:hAnsi="Times New Roman" w:cs="Times New Roman"/>
          <w:i w:val="0"/>
          <w:iCs w:val="0"/>
          <w:color w:val="auto"/>
          <w:spacing w:val="0"/>
          <w:w w:val="100"/>
          <w:kern w:val="21"/>
          <w:szCs w:val="21"/>
          <w:lang w:val="en-US"/>
        </w:rPr>
        <w:fldChar w:fldCharType="end"/>
      </w:r>
      <w:r>
        <w:rPr>
          <w:rFonts w:hint="default" w:ascii="Times New Roman" w:hAnsi="Times New Roman" w:cs="Times New Roman"/>
          <w:i w:val="0"/>
          <w:iCs w:val="0"/>
          <w:color w:val="auto"/>
          <w:spacing w:val="0"/>
          <w:w w:val="100"/>
          <w:kern w:val="21"/>
          <w:szCs w:val="21"/>
          <w:lang w:val="en-US" w:eastAsia="zh-CN"/>
        </w:rPr>
        <w:t>，单位t</w:t>
      </w:r>
    </w:p>
    <w:p w14:paraId="66A3ABA8">
      <w:pPr>
        <w:rPr>
          <w:rFonts w:hint="default" w:ascii="Times New Roman" w:hAnsi="Times New Roman" w:eastAsia="宋体" w:cs="Times New Roman"/>
          <w:color w:val="auto"/>
          <w:spacing w:val="0"/>
          <w:w w:val="100"/>
          <w:kern w:val="2"/>
          <w:sz w:val="21"/>
          <w:szCs w:val="24"/>
          <w:lang w:val="en-US" w:eastAsia="zh-CN" w:bidi="ar"/>
        </w:rPr>
        <w:sectPr>
          <w:footerReference r:id="rId8" w:type="default"/>
          <w:pgSz w:w="16838" w:h="11906" w:orient="landscape"/>
          <w:pgMar w:top="720" w:right="720" w:bottom="720" w:left="720" w:header="851" w:footer="851" w:gutter="0"/>
          <w:pgNumType w:fmt="decimal"/>
          <w:cols w:space="425" w:num="1"/>
          <w:docGrid w:type="lines" w:linePitch="312" w:charSpace="0"/>
        </w:sectPr>
      </w:pPr>
    </w:p>
    <w:p w14:paraId="6A875723">
      <w:pPr>
        <w:spacing w:line="240" w:lineRule="auto"/>
        <w:jc w:val="center"/>
        <w:rPr>
          <w:rFonts w:hint="default" w:ascii="Times New Roman" w:hAnsi="Times New Roman" w:eastAsia="宋体" w:cs="Times New Roman"/>
          <w:b/>
          <w:bCs/>
          <w:color w:val="auto"/>
          <w:spacing w:val="0"/>
          <w:w w:val="100"/>
          <w:sz w:val="32"/>
          <w:szCs w:val="32"/>
          <w:lang w:eastAsia="zh-CN"/>
        </w:rPr>
      </w:pPr>
      <w:r>
        <w:rPr>
          <w:rFonts w:hint="default" w:ascii="Times New Roman" w:hAnsi="Times New Roman" w:eastAsia="宋体" w:cs="Times New Roman"/>
          <w:b/>
          <w:bCs/>
          <w:color w:val="auto"/>
          <w:spacing w:val="0"/>
          <w:w w:val="100"/>
          <w:sz w:val="48"/>
          <w:szCs w:val="48"/>
          <w:lang w:eastAsia="zh-CN"/>
        </w:rPr>
        <w:t>地表水专项评价</w:t>
      </w:r>
    </w:p>
    <w:p w14:paraId="671BFD54">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32"/>
          <w:szCs w:val="32"/>
          <w:lang w:val="en-US" w:eastAsia="zh-CN" w:bidi="ar-SA"/>
        </w:rPr>
      </w:pPr>
      <w:bookmarkStart w:id="6" w:name="_Toc665"/>
      <w:r>
        <w:rPr>
          <w:rFonts w:hint="default" w:ascii="Times New Roman" w:hAnsi="Times New Roman" w:eastAsia="宋体" w:cs="Times New Roman"/>
          <w:b/>
          <w:color w:val="auto"/>
          <w:spacing w:val="0"/>
          <w:w w:val="100"/>
          <w:kern w:val="2"/>
          <w:sz w:val="32"/>
          <w:szCs w:val="32"/>
          <w:lang w:val="en-US" w:eastAsia="zh-CN" w:bidi="ar-SA"/>
        </w:rPr>
        <w:t>第 1章</w:t>
      </w:r>
      <w:r>
        <w:rPr>
          <w:rFonts w:hint="default" w:ascii="Times New Roman" w:hAnsi="Times New Roman" w:eastAsia="宋体" w:cs="Times New Roman"/>
          <w:b/>
          <w:color w:val="auto"/>
          <w:spacing w:val="0"/>
          <w:w w:val="100"/>
          <w:kern w:val="2"/>
          <w:sz w:val="32"/>
          <w:szCs w:val="32"/>
          <w:lang w:val="en-US" w:eastAsia="zh-CN" w:bidi="ar-SA"/>
        </w:rPr>
        <w:tab/>
      </w:r>
      <w:r>
        <w:rPr>
          <w:rFonts w:hint="default" w:ascii="Times New Roman" w:hAnsi="Times New Roman" w:eastAsia="宋体" w:cs="Times New Roman"/>
          <w:b/>
          <w:color w:val="auto"/>
          <w:spacing w:val="0"/>
          <w:w w:val="100"/>
          <w:kern w:val="2"/>
          <w:sz w:val="32"/>
          <w:szCs w:val="32"/>
          <w:lang w:val="en-US" w:eastAsia="zh-CN" w:bidi="ar-SA"/>
        </w:rPr>
        <w:t>总 论</w:t>
      </w:r>
      <w:bookmarkEnd w:id="6"/>
    </w:p>
    <w:p w14:paraId="5C872285">
      <w:pPr>
        <w:widowControl w:val="0"/>
        <w:spacing w:before="120" w:beforeLines="50" w:after="120" w:afterLines="50" w:line="240" w:lineRule="auto"/>
        <w:ind w:firstLine="0" w:firstLineChars="0"/>
        <w:jc w:val="both"/>
        <w:outlineLvl w:val="1"/>
        <w:rPr>
          <w:rFonts w:hint="default" w:ascii="Times New Roman" w:hAnsi="Times New Roman" w:eastAsia="宋体" w:cs="Times New Roman"/>
          <w:b/>
          <w:color w:val="auto"/>
          <w:spacing w:val="0"/>
          <w:w w:val="100"/>
          <w:kern w:val="2"/>
          <w:sz w:val="28"/>
          <w:szCs w:val="28"/>
          <w:lang w:val="en-US" w:eastAsia="zh-CN" w:bidi="ar-SA"/>
        </w:rPr>
      </w:pPr>
      <w:r>
        <w:rPr>
          <w:rFonts w:hint="default" w:ascii="Times New Roman" w:hAnsi="Times New Roman" w:eastAsia="宋体" w:cs="Times New Roman"/>
          <w:b/>
          <w:color w:val="auto"/>
          <w:spacing w:val="0"/>
          <w:w w:val="100"/>
          <w:kern w:val="2"/>
          <w:sz w:val="28"/>
          <w:szCs w:val="28"/>
          <w:lang w:val="en-US" w:eastAsia="zh-CN" w:bidi="ar-SA"/>
        </w:rPr>
        <w:t>1.1项目由来</w:t>
      </w:r>
    </w:p>
    <w:p w14:paraId="5F0FA1C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陕西陇县经济技术开发区是2024年6月经陕西省人民政府批复认定的省级经济技术开发区，前身为陇县工业园区。开发区总批准面积300.07公顷，由三个地块组成，主导产业为绿色食品、新材料和新能源。目前，经开区工业企业有80家，规上企业23家。</w:t>
      </w:r>
    </w:p>
    <w:p w14:paraId="7C999FE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由于目前经开区尚未建设有工业污水处理厂及中水处理系统以及管道，现状企业污水预处理后直接排放，且企业用水多为自来水。不仅造成环境污染，而且企业的用水成本也比较高，因此项目单位提出建设陇县经济技术开发区水污染综合治理及再生水资源节约利用项目。</w:t>
      </w:r>
      <w:r>
        <w:rPr>
          <w:rFonts w:hint="eastAsia" w:ascii="Times New Roman" w:hAnsi="Times New Roman" w:eastAsia="宋体" w:cs="Times New Roman"/>
          <w:b w:val="0"/>
          <w:bCs w:val="0"/>
          <w:color w:val="auto"/>
          <w:spacing w:val="0"/>
          <w:w w:val="100"/>
          <w:sz w:val="24"/>
          <w:szCs w:val="24"/>
          <w:lang w:eastAsia="zh-CN"/>
        </w:rPr>
        <w:t>项目污水处理</w:t>
      </w:r>
      <w:r>
        <w:rPr>
          <w:rFonts w:hint="default" w:ascii="Times New Roman" w:hAnsi="Times New Roman" w:eastAsia="宋体" w:cs="Times New Roman"/>
          <w:b w:val="0"/>
          <w:bCs w:val="0"/>
          <w:color w:val="auto"/>
          <w:spacing w:val="0"/>
          <w:w w:val="100"/>
          <w:sz w:val="24"/>
          <w:szCs w:val="24"/>
          <w:lang w:eastAsia="zh-CN"/>
        </w:rPr>
        <w:t>规模</w:t>
      </w:r>
      <w:r>
        <w:rPr>
          <w:rFonts w:hint="eastAsia" w:ascii="Times New Roman" w:hAnsi="Times New Roman" w:eastAsia="宋体" w:cs="Times New Roman"/>
          <w:b w:val="0"/>
          <w:bCs w:val="0"/>
          <w:color w:val="auto"/>
          <w:spacing w:val="0"/>
          <w:w w:val="100"/>
          <w:sz w:val="24"/>
          <w:szCs w:val="24"/>
          <w:lang w:val="en-US" w:eastAsia="zh-CN"/>
        </w:rPr>
        <w:t>2000m</w:t>
      </w:r>
      <w:r>
        <w:rPr>
          <w:rFonts w:hint="default" w:ascii="Times New Roman" w:hAnsi="Times New Roman" w:eastAsia="宋体" w:cs="Times New Roman"/>
          <w:b w:val="0"/>
          <w:bCs w:val="0"/>
          <w:color w:val="auto"/>
          <w:spacing w:val="0"/>
          <w:w w:val="100"/>
          <w:sz w:val="24"/>
          <w:szCs w:val="24"/>
          <w:highlight w:val="none"/>
          <w:vertAlign w:val="superscript"/>
          <w:lang w:val="en-US" w:eastAsia="zh-CN"/>
        </w:rPr>
        <w:t>3</w:t>
      </w:r>
      <w:r>
        <w:rPr>
          <w:rFonts w:hint="default" w:ascii="Times New Roman" w:hAnsi="Times New Roman" w:eastAsia="宋体" w:cs="Times New Roman"/>
          <w:b w:val="0"/>
          <w:bCs w:val="0"/>
          <w:color w:val="auto"/>
          <w:spacing w:val="0"/>
          <w:w w:val="100"/>
          <w:sz w:val="24"/>
          <w:szCs w:val="24"/>
          <w:lang w:eastAsia="zh-CN"/>
        </w:rPr>
        <w:t>/d</w:t>
      </w:r>
      <w:r>
        <w:rPr>
          <w:rFonts w:hint="default" w:ascii="Times New Roman" w:hAnsi="Times New Roman" w:eastAsia="宋体" w:cs="Times New Roman"/>
          <w:b w:val="0"/>
          <w:bCs w:val="0"/>
          <w:color w:val="auto"/>
          <w:spacing w:val="0"/>
          <w:w w:val="100"/>
          <w:sz w:val="24"/>
          <w:szCs w:val="24"/>
          <w:lang w:val="en-US" w:eastAsia="zh-CN"/>
        </w:rPr>
        <w:t>，</w:t>
      </w:r>
      <w:r>
        <w:rPr>
          <w:rFonts w:hint="eastAsia" w:ascii="Times New Roman" w:hAnsi="Times New Roman" w:eastAsia="宋体" w:cs="Times New Roman"/>
          <w:b w:val="0"/>
          <w:bCs w:val="0"/>
          <w:color w:val="auto"/>
          <w:spacing w:val="0"/>
          <w:w w:val="100"/>
          <w:sz w:val="24"/>
          <w:szCs w:val="24"/>
          <w:lang w:val="en-US" w:eastAsia="zh-CN"/>
        </w:rPr>
        <w:t>回用水规模400m</w:t>
      </w:r>
      <w:r>
        <w:rPr>
          <w:rFonts w:hint="eastAsia" w:ascii="Times New Roman" w:hAnsi="Times New Roman" w:eastAsia="宋体" w:cs="Times New Roman"/>
          <w:b w:val="0"/>
          <w:bCs w:val="0"/>
          <w:color w:val="auto"/>
          <w:spacing w:val="0"/>
          <w:w w:val="100"/>
          <w:sz w:val="24"/>
          <w:szCs w:val="24"/>
          <w:vertAlign w:val="superscript"/>
          <w:lang w:val="en-US" w:eastAsia="zh-CN"/>
        </w:rPr>
        <w:t>3</w:t>
      </w:r>
      <w:r>
        <w:rPr>
          <w:rFonts w:hint="eastAsia" w:ascii="Times New Roman" w:hAnsi="Times New Roman" w:eastAsia="宋体" w:cs="Times New Roman"/>
          <w:b w:val="0"/>
          <w:bCs w:val="0"/>
          <w:color w:val="auto"/>
          <w:spacing w:val="0"/>
          <w:w w:val="100"/>
          <w:sz w:val="24"/>
          <w:szCs w:val="24"/>
          <w:lang w:val="en-US" w:eastAsia="zh-CN"/>
        </w:rPr>
        <w:t>/d，</w:t>
      </w:r>
      <w:r>
        <w:rPr>
          <w:rFonts w:hint="default" w:ascii="Times New Roman" w:hAnsi="Times New Roman" w:eastAsia="宋体" w:cs="Times New Roman"/>
          <w:color w:val="auto"/>
          <w:spacing w:val="0"/>
          <w:w w:val="100"/>
          <w:sz w:val="24"/>
          <w:szCs w:val="24"/>
          <w:lang w:val="en-US" w:eastAsia="zh-CN"/>
        </w:rPr>
        <w:t>出水水质可满足《陕西省黄河流域污水综合排放标准》（DB61/224-2018）中A标准。目前处于筹建规划期，暂未施工，现对该项目办理环境影响评价手续。</w:t>
      </w:r>
    </w:p>
    <w:p w14:paraId="3CA79CA7">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本项目地表水环境影响评价等级最终核定为</w:t>
      </w:r>
      <w:r>
        <w:rPr>
          <w:rFonts w:hint="eastAsia" w:ascii="Times New Roman" w:hAnsi="Times New Roman" w:eastAsia="宋体" w:cs="Times New Roman"/>
          <w:color w:val="auto"/>
          <w:spacing w:val="0"/>
          <w:w w:val="100"/>
          <w:sz w:val="24"/>
          <w:szCs w:val="24"/>
          <w:lang w:val="en-US" w:eastAsia="zh-CN"/>
        </w:rPr>
        <w:t>二</w:t>
      </w:r>
      <w:r>
        <w:rPr>
          <w:rFonts w:hint="default" w:ascii="Times New Roman" w:hAnsi="Times New Roman" w:eastAsia="宋体" w:cs="Times New Roman"/>
          <w:color w:val="auto"/>
          <w:spacing w:val="0"/>
          <w:w w:val="100"/>
          <w:sz w:val="24"/>
          <w:szCs w:val="24"/>
          <w:lang w:val="en-US" w:eastAsia="zh-CN"/>
        </w:rPr>
        <w:t>级，为了深入详细</w:t>
      </w:r>
      <w:r>
        <w:rPr>
          <w:rFonts w:hint="eastAsia" w:ascii="Times New Roman" w:hAnsi="Times New Roman" w:eastAsia="宋体" w:cs="Times New Roman"/>
          <w:color w:val="auto"/>
          <w:spacing w:val="0"/>
          <w:w w:val="100"/>
          <w:sz w:val="24"/>
          <w:szCs w:val="24"/>
          <w:lang w:val="en-US" w:eastAsia="zh-CN"/>
        </w:rPr>
        <w:t>地</w:t>
      </w:r>
      <w:r>
        <w:rPr>
          <w:rFonts w:hint="default" w:ascii="Times New Roman" w:hAnsi="Times New Roman" w:eastAsia="宋体" w:cs="Times New Roman"/>
          <w:color w:val="auto"/>
          <w:spacing w:val="0"/>
          <w:w w:val="100"/>
          <w:sz w:val="24"/>
          <w:szCs w:val="24"/>
          <w:lang w:val="en-US" w:eastAsia="zh-CN"/>
        </w:rPr>
        <w:t>说明本项目实施后对</w:t>
      </w:r>
      <w:r>
        <w:rPr>
          <w:rFonts w:hint="eastAsia" w:ascii="Times New Roman" w:hAnsi="Times New Roman" w:eastAsia="宋体" w:cs="Times New Roman"/>
          <w:color w:val="auto"/>
          <w:spacing w:val="0"/>
          <w:w w:val="100"/>
          <w:sz w:val="24"/>
          <w:szCs w:val="24"/>
          <w:lang w:val="en-US" w:eastAsia="zh-CN"/>
        </w:rPr>
        <w:t>千河</w:t>
      </w:r>
      <w:r>
        <w:rPr>
          <w:rFonts w:hint="default" w:ascii="Times New Roman" w:hAnsi="Times New Roman" w:eastAsia="宋体" w:cs="Times New Roman"/>
          <w:color w:val="auto"/>
          <w:spacing w:val="0"/>
          <w:w w:val="100"/>
          <w:sz w:val="24"/>
          <w:szCs w:val="24"/>
          <w:lang w:val="en-US" w:eastAsia="zh-CN"/>
        </w:rPr>
        <w:t>的水环境影响，特进行地表水环境要素专项评价。</w:t>
      </w:r>
    </w:p>
    <w:p w14:paraId="3B03C68E">
      <w:pPr>
        <w:widowControl w:val="0"/>
        <w:spacing w:before="120" w:beforeLines="50" w:after="120" w:afterLines="50" w:line="240" w:lineRule="auto"/>
        <w:ind w:firstLine="0" w:firstLineChars="0"/>
        <w:jc w:val="both"/>
        <w:outlineLvl w:val="1"/>
        <w:rPr>
          <w:rFonts w:hint="default" w:ascii="Times New Roman" w:hAnsi="Times New Roman" w:eastAsia="宋体" w:cs="Times New Roman"/>
          <w:b/>
          <w:color w:val="auto"/>
          <w:spacing w:val="0"/>
          <w:w w:val="100"/>
          <w:kern w:val="2"/>
          <w:sz w:val="28"/>
          <w:szCs w:val="28"/>
          <w:lang w:val="en-US" w:eastAsia="zh-CN" w:bidi="ar-SA"/>
        </w:rPr>
      </w:pPr>
      <w:bookmarkStart w:id="7" w:name="_Toc8236"/>
      <w:r>
        <w:rPr>
          <w:rFonts w:hint="default" w:ascii="Times New Roman" w:hAnsi="Times New Roman" w:eastAsia="宋体" w:cs="Times New Roman"/>
          <w:b/>
          <w:color w:val="auto"/>
          <w:spacing w:val="0"/>
          <w:w w:val="100"/>
          <w:kern w:val="2"/>
          <w:sz w:val="28"/>
          <w:szCs w:val="28"/>
          <w:lang w:val="en-US" w:eastAsia="zh-CN" w:bidi="ar-SA"/>
        </w:rPr>
        <w:t>1.2编制依据</w:t>
      </w:r>
      <w:bookmarkEnd w:id="7"/>
    </w:p>
    <w:p w14:paraId="54A5229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bookmarkStart w:id="8" w:name="_Toc9629"/>
      <w:bookmarkStart w:id="9" w:name="_Toc532412547"/>
      <w:bookmarkStart w:id="10" w:name="_Toc532739095"/>
      <w:bookmarkStart w:id="11" w:name="_Toc6571"/>
      <w:r>
        <w:rPr>
          <w:rFonts w:hint="default" w:ascii="Times New Roman" w:hAnsi="Times New Roman" w:eastAsia="宋体" w:cs="Times New Roman"/>
          <w:color w:val="auto"/>
          <w:spacing w:val="0"/>
          <w:w w:val="100"/>
          <w:sz w:val="24"/>
          <w:szCs w:val="24"/>
          <w:lang w:val="en-US" w:eastAsia="zh-CN"/>
        </w:rPr>
        <w:t>1、</w:t>
      </w:r>
      <w:r>
        <w:rPr>
          <w:rFonts w:hint="default" w:ascii="Times New Roman" w:hAnsi="Times New Roman" w:eastAsia="宋体" w:cs="Times New Roman"/>
          <w:color w:val="auto"/>
          <w:spacing w:val="0"/>
          <w:w w:val="100"/>
          <w:sz w:val="24"/>
          <w:szCs w:val="24"/>
          <w:lang w:eastAsia="zh-CN"/>
        </w:rPr>
        <w:t>国家法律法规与政策</w:t>
      </w:r>
      <w:bookmarkEnd w:id="8"/>
      <w:bookmarkEnd w:id="9"/>
      <w:bookmarkEnd w:id="10"/>
      <w:bookmarkEnd w:id="11"/>
    </w:p>
    <w:p w14:paraId="2F978B3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1</w:t>
      </w:r>
      <w:r>
        <w:rPr>
          <w:rFonts w:hint="default" w:ascii="Times New Roman" w:hAnsi="Times New Roman" w:eastAsia="宋体" w:cs="Times New Roman"/>
          <w:color w:val="auto"/>
          <w:spacing w:val="0"/>
          <w:w w:val="100"/>
          <w:sz w:val="24"/>
          <w:szCs w:val="24"/>
          <w:lang w:eastAsia="zh-CN"/>
        </w:rPr>
        <w:t>）《中华人民共和国环境保护法》，2015.1.1施行；</w:t>
      </w:r>
    </w:p>
    <w:p w14:paraId="557A9FF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（2）《中华人民共和国水法》，2016年7月2日修订并实施；</w:t>
      </w:r>
    </w:p>
    <w:p w14:paraId="55D6D47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3</w:t>
      </w:r>
      <w:r>
        <w:rPr>
          <w:rFonts w:hint="default" w:ascii="Times New Roman" w:hAnsi="Times New Roman" w:eastAsia="宋体" w:cs="Times New Roman"/>
          <w:color w:val="auto"/>
          <w:spacing w:val="0"/>
          <w:w w:val="100"/>
          <w:sz w:val="24"/>
          <w:szCs w:val="24"/>
          <w:lang w:eastAsia="zh-CN"/>
        </w:rPr>
        <w:t>）《中华人民共和国环境影响评价法》，2018年12月29日起施行。</w:t>
      </w:r>
    </w:p>
    <w:p w14:paraId="30C1CEC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bookmarkStart w:id="12" w:name="page13"/>
      <w:bookmarkEnd w:id="12"/>
      <w:r>
        <w:rPr>
          <w:rFonts w:hint="default" w:ascii="Times New Roman" w:hAnsi="Times New Roman" w:eastAsia="宋体" w:cs="Times New Roman"/>
          <w:color w:val="auto"/>
          <w:spacing w:val="0"/>
          <w:w w:val="100"/>
          <w:sz w:val="24"/>
          <w:szCs w:val="24"/>
          <w:lang w:eastAsia="zh-CN"/>
        </w:rPr>
        <w:t>（4）《国务院关于印发水污染防治行动计划的通知》国发〔2015〕17号；</w:t>
      </w:r>
    </w:p>
    <w:p w14:paraId="1412012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5</w:t>
      </w:r>
      <w:r>
        <w:rPr>
          <w:rFonts w:hint="default" w:ascii="Times New Roman" w:hAnsi="Times New Roman" w:eastAsia="宋体" w:cs="Times New Roman"/>
          <w:color w:val="auto"/>
          <w:spacing w:val="0"/>
          <w:w w:val="100"/>
          <w:sz w:val="24"/>
          <w:szCs w:val="24"/>
          <w:lang w:eastAsia="zh-CN"/>
        </w:rPr>
        <w:t>）《城镇排水与污水处理条例》国务院令第641号</w:t>
      </w:r>
      <w:r>
        <w:rPr>
          <w:rFonts w:hint="eastAsia" w:ascii="Times New Roman" w:hAnsi="Times New Roman" w:eastAsia="宋体" w:cs="Times New Roman"/>
          <w:color w:val="auto"/>
          <w:spacing w:val="0"/>
          <w:w w:val="100"/>
          <w:sz w:val="24"/>
          <w:szCs w:val="24"/>
          <w:lang w:eastAsia="zh-CN"/>
        </w:rPr>
        <w:t>2014年1月</w:t>
      </w:r>
      <w:r>
        <w:rPr>
          <w:rFonts w:hint="default" w:ascii="Times New Roman" w:hAnsi="Times New Roman" w:eastAsia="宋体" w:cs="Times New Roman"/>
          <w:color w:val="auto"/>
          <w:spacing w:val="0"/>
          <w:w w:val="100"/>
          <w:sz w:val="24"/>
          <w:szCs w:val="24"/>
          <w:lang w:eastAsia="zh-CN"/>
        </w:rPr>
        <w:t>；</w:t>
      </w:r>
    </w:p>
    <w:p w14:paraId="36AC6EA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6</w:t>
      </w:r>
      <w:r>
        <w:rPr>
          <w:rFonts w:hint="default" w:ascii="Times New Roman" w:hAnsi="Times New Roman" w:eastAsia="宋体" w:cs="Times New Roman"/>
          <w:color w:val="auto"/>
          <w:spacing w:val="0"/>
          <w:w w:val="100"/>
          <w:sz w:val="24"/>
          <w:szCs w:val="24"/>
          <w:lang w:eastAsia="zh-CN"/>
        </w:rPr>
        <w:t>）《关于加强城镇污水处理厂污泥污染防治工作的通知</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eastAsia="zh-CN"/>
        </w:rPr>
        <w:t>环办[2010]15</w:t>
      </w:r>
      <w:r>
        <w:rPr>
          <w:rFonts w:hint="eastAsia" w:ascii="Times New Roman" w:hAnsi="Times New Roman" w:eastAsia="宋体" w:cs="Times New Roman"/>
          <w:color w:val="auto"/>
          <w:spacing w:val="0"/>
          <w:w w:val="100"/>
          <w:sz w:val="24"/>
          <w:szCs w:val="24"/>
          <w:lang w:val="en-US" w:eastAsia="zh-CN"/>
        </w:rPr>
        <w:t>7</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eastAsia="zh-CN"/>
        </w:rPr>
        <w:t>2010年11月；</w:t>
      </w:r>
    </w:p>
    <w:p w14:paraId="6AD9BE1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7</w:t>
      </w:r>
      <w:r>
        <w:rPr>
          <w:rFonts w:hint="default" w:ascii="Times New Roman" w:hAnsi="Times New Roman" w:eastAsia="宋体" w:cs="Times New Roman"/>
          <w:color w:val="auto"/>
          <w:spacing w:val="0"/>
          <w:w w:val="100"/>
          <w:sz w:val="24"/>
          <w:szCs w:val="24"/>
          <w:lang w:eastAsia="zh-CN"/>
        </w:rPr>
        <w:t>）《关于印发</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eastAsia="zh-CN"/>
        </w:rPr>
        <w:t>建设项目主要污染物排放总量指标审核及管理暂行办法</w:t>
      </w:r>
      <w:r>
        <w:rPr>
          <w:rFonts w:hint="eastAsia" w:ascii="宋体" w:hAnsi="宋体" w:eastAsia="宋体" w:cs="宋体"/>
          <w:color w:val="auto"/>
          <w:spacing w:val="0"/>
          <w:w w:val="100"/>
          <w:sz w:val="24"/>
          <w:szCs w:val="24"/>
          <w:lang w:eastAsia="zh-CN"/>
        </w:rPr>
        <w:t>&gt;</w:t>
      </w:r>
      <w:r>
        <w:rPr>
          <w:rFonts w:hint="default" w:ascii="Times New Roman" w:hAnsi="Times New Roman" w:eastAsia="宋体" w:cs="Times New Roman"/>
          <w:color w:val="auto"/>
          <w:spacing w:val="0"/>
          <w:w w:val="100"/>
          <w:sz w:val="24"/>
          <w:szCs w:val="24"/>
          <w:lang w:eastAsia="zh-CN"/>
        </w:rPr>
        <w:t>的通知》，环发[2014]197。</w:t>
      </w:r>
    </w:p>
    <w:p w14:paraId="3E841A7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bookmarkStart w:id="13" w:name="_Toc532739096"/>
      <w:bookmarkStart w:id="14" w:name="_Toc21149"/>
      <w:bookmarkStart w:id="15" w:name="_Toc9687"/>
      <w:bookmarkStart w:id="16" w:name="_Toc532412548"/>
      <w:r>
        <w:rPr>
          <w:rFonts w:hint="default" w:ascii="Times New Roman" w:hAnsi="Times New Roman" w:eastAsia="宋体" w:cs="Times New Roman"/>
          <w:color w:val="auto"/>
          <w:spacing w:val="0"/>
          <w:w w:val="100"/>
          <w:sz w:val="24"/>
          <w:szCs w:val="24"/>
          <w:lang w:val="en-US" w:eastAsia="zh-CN"/>
        </w:rPr>
        <w:t>2、</w:t>
      </w:r>
      <w:r>
        <w:rPr>
          <w:rFonts w:hint="eastAsia" w:ascii="Times New Roman" w:hAnsi="Times New Roman" w:eastAsia="宋体" w:cs="Times New Roman"/>
          <w:color w:val="auto"/>
          <w:spacing w:val="0"/>
          <w:w w:val="100"/>
          <w:sz w:val="24"/>
          <w:szCs w:val="24"/>
          <w:lang w:val="en-US" w:eastAsia="zh-CN"/>
        </w:rPr>
        <w:t>地方性法规</w:t>
      </w:r>
      <w:r>
        <w:rPr>
          <w:rFonts w:hint="default" w:ascii="Times New Roman" w:hAnsi="Times New Roman" w:eastAsia="宋体" w:cs="Times New Roman"/>
          <w:color w:val="auto"/>
          <w:spacing w:val="0"/>
          <w:w w:val="100"/>
          <w:sz w:val="24"/>
          <w:szCs w:val="24"/>
          <w:lang w:eastAsia="zh-CN"/>
        </w:rPr>
        <w:t>与政策</w:t>
      </w:r>
      <w:bookmarkEnd w:id="13"/>
      <w:bookmarkEnd w:id="14"/>
      <w:bookmarkEnd w:id="15"/>
      <w:bookmarkEnd w:id="16"/>
    </w:p>
    <w:p w14:paraId="0897782C">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bookmarkStart w:id="17" w:name="_Toc532412551"/>
      <w:bookmarkStart w:id="18" w:name="_Toc532739099"/>
      <w:bookmarkStart w:id="19" w:name="_Toc31879"/>
      <w:r>
        <w:rPr>
          <w:rFonts w:hint="default" w:ascii="Times New Roman" w:hAnsi="Times New Roman" w:eastAsia="宋体" w:cs="Times New Roman"/>
          <w:color w:val="auto"/>
          <w:spacing w:val="0"/>
          <w:w w:val="100"/>
          <w:sz w:val="24"/>
          <w:szCs w:val="24"/>
          <w:lang w:eastAsia="zh-CN"/>
        </w:rPr>
        <w:t>《陕西省实施</w:t>
      </w:r>
      <w:r>
        <w:rPr>
          <w:rFonts w:hint="default" w:ascii="Times New Roman" w:hAnsi="Times New Roman" w:eastAsia="宋体" w:cs="Times New Roman"/>
          <w:color w:val="auto"/>
          <w:spacing w:val="0"/>
          <w:w w:val="100"/>
          <w:sz w:val="24"/>
          <w:szCs w:val="24"/>
          <w:lang w:val="zh-CN" w:eastAsia="zh-CN"/>
        </w:rPr>
        <w:t>〈中华</w:t>
      </w:r>
      <w:r>
        <w:rPr>
          <w:rFonts w:hint="default" w:ascii="Times New Roman" w:hAnsi="Times New Roman" w:eastAsia="宋体" w:cs="Times New Roman"/>
          <w:color w:val="auto"/>
          <w:spacing w:val="0"/>
          <w:w w:val="100"/>
          <w:sz w:val="24"/>
          <w:szCs w:val="24"/>
          <w:lang w:eastAsia="zh-CN"/>
        </w:rPr>
        <w:t>人民共和国环境影响评价法</w:t>
      </w:r>
      <w:r>
        <w:rPr>
          <w:rFonts w:hint="eastAsia" w:ascii="宋体" w:hAnsi="宋体" w:eastAsia="宋体" w:cs="宋体"/>
          <w:color w:val="auto"/>
          <w:spacing w:val="0"/>
          <w:w w:val="100"/>
          <w:sz w:val="24"/>
          <w:szCs w:val="24"/>
          <w:lang w:eastAsia="zh-CN"/>
        </w:rPr>
        <w:t>&gt;</w:t>
      </w:r>
      <w:r>
        <w:rPr>
          <w:rFonts w:hint="default" w:ascii="Times New Roman" w:hAnsi="Times New Roman" w:eastAsia="宋体" w:cs="Times New Roman"/>
          <w:color w:val="auto"/>
          <w:spacing w:val="0"/>
          <w:w w:val="100"/>
          <w:sz w:val="24"/>
          <w:szCs w:val="24"/>
          <w:lang w:eastAsia="zh-CN"/>
        </w:rPr>
        <w:t>办法》，陕西省人大常委会公告第63号，2007年4月1日；</w:t>
      </w:r>
    </w:p>
    <w:p w14:paraId="04AE2B0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bookmarkStart w:id="20" w:name="bookmark78"/>
      <w:bookmarkEnd w:id="20"/>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2</w:t>
      </w:r>
      <w:r>
        <w:rPr>
          <w:rFonts w:hint="default" w:ascii="Times New Roman" w:hAnsi="Times New Roman" w:eastAsia="宋体" w:cs="Times New Roman"/>
          <w:color w:val="auto"/>
          <w:spacing w:val="0"/>
          <w:w w:val="100"/>
          <w:sz w:val="24"/>
          <w:szCs w:val="24"/>
          <w:lang w:eastAsia="zh-CN"/>
        </w:rPr>
        <w:t>）《陕西省主体功能区规划》，陕政发</w:t>
      </w:r>
      <w:r>
        <w:rPr>
          <w:rFonts w:hint="default" w:ascii="Times New Roman" w:hAnsi="Times New Roman" w:eastAsia="宋体" w:cs="Times New Roman"/>
          <w:color w:val="auto"/>
          <w:spacing w:val="0"/>
          <w:w w:val="100"/>
          <w:sz w:val="24"/>
          <w:szCs w:val="24"/>
          <w:lang w:val="en-US" w:eastAsia="en-US"/>
        </w:rPr>
        <w:t xml:space="preserve">[2013] </w:t>
      </w:r>
      <w:r>
        <w:rPr>
          <w:rFonts w:hint="default" w:ascii="Times New Roman" w:hAnsi="Times New Roman" w:eastAsia="宋体" w:cs="Times New Roman"/>
          <w:color w:val="auto"/>
          <w:spacing w:val="0"/>
          <w:w w:val="100"/>
          <w:sz w:val="24"/>
          <w:szCs w:val="24"/>
          <w:lang w:eastAsia="zh-CN"/>
        </w:rPr>
        <w:t>15号，2013年4月；</w:t>
      </w:r>
    </w:p>
    <w:p w14:paraId="5BC2F78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bookmarkStart w:id="21" w:name="bookmark79"/>
      <w:bookmarkEnd w:id="21"/>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3</w:t>
      </w:r>
      <w:r>
        <w:rPr>
          <w:rFonts w:hint="default" w:ascii="Times New Roman" w:hAnsi="Times New Roman" w:eastAsia="宋体" w:cs="Times New Roman"/>
          <w:color w:val="auto"/>
          <w:spacing w:val="0"/>
          <w:w w:val="100"/>
          <w:sz w:val="24"/>
          <w:szCs w:val="24"/>
          <w:lang w:eastAsia="zh-CN"/>
        </w:rPr>
        <w:t>）《陕西省水功能区划》，陕政办发</w:t>
      </w:r>
      <w:r>
        <w:rPr>
          <w:rFonts w:hint="default" w:ascii="Times New Roman" w:hAnsi="Times New Roman" w:eastAsia="宋体" w:cs="Times New Roman"/>
          <w:color w:val="auto"/>
          <w:spacing w:val="0"/>
          <w:w w:val="100"/>
          <w:sz w:val="24"/>
          <w:szCs w:val="24"/>
          <w:lang w:val="en-US" w:eastAsia="en-US"/>
        </w:rPr>
        <w:t xml:space="preserve">[2004] </w:t>
      </w:r>
      <w:r>
        <w:rPr>
          <w:rFonts w:hint="default" w:ascii="Times New Roman" w:hAnsi="Times New Roman" w:eastAsia="宋体" w:cs="Times New Roman"/>
          <w:color w:val="auto"/>
          <w:spacing w:val="0"/>
          <w:w w:val="100"/>
          <w:sz w:val="24"/>
          <w:szCs w:val="24"/>
          <w:lang w:eastAsia="zh-CN"/>
        </w:rPr>
        <w:t>100号，2004年9月22日；</w:t>
      </w:r>
    </w:p>
    <w:p w14:paraId="4364DD9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bookmarkStart w:id="22" w:name="bookmark80"/>
      <w:bookmarkEnd w:id="22"/>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4</w:t>
      </w:r>
      <w:r>
        <w:rPr>
          <w:rFonts w:hint="default" w:ascii="Times New Roman" w:hAnsi="Times New Roman" w:eastAsia="宋体" w:cs="Times New Roman"/>
          <w:color w:val="auto"/>
          <w:spacing w:val="0"/>
          <w:w w:val="100"/>
          <w:sz w:val="24"/>
          <w:szCs w:val="24"/>
          <w:lang w:eastAsia="zh-CN"/>
        </w:rPr>
        <w:t>）《陕西省行业用水定额》，</w:t>
      </w:r>
      <w:r>
        <w:rPr>
          <w:rFonts w:hint="default" w:ascii="Times New Roman" w:hAnsi="Times New Roman" w:eastAsia="宋体" w:cs="Times New Roman"/>
          <w:color w:val="auto"/>
          <w:spacing w:val="0"/>
          <w:w w:val="100"/>
          <w:sz w:val="24"/>
          <w:szCs w:val="24"/>
          <w:lang w:val="en-US" w:eastAsia="en-US"/>
        </w:rPr>
        <w:t>DB61/T943-2</w:t>
      </w:r>
      <w:r>
        <w:rPr>
          <w:rFonts w:hint="eastAsia" w:ascii="Times New Roman" w:hAnsi="Times New Roman" w:eastAsia="宋体" w:cs="Times New Roman"/>
          <w:color w:val="auto"/>
          <w:spacing w:val="0"/>
          <w:w w:val="100"/>
          <w:sz w:val="24"/>
          <w:szCs w:val="24"/>
          <w:lang w:val="en-US" w:eastAsia="zh-CN"/>
        </w:rPr>
        <w:t>020</w:t>
      </w:r>
      <w:r>
        <w:rPr>
          <w:rFonts w:hint="default" w:ascii="Times New Roman" w:hAnsi="Times New Roman" w:eastAsia="宋体" w:cs="Times New Roman"/>
          <w:color w:val="auto"/>
          <w:spacing w:val="0"/>
          <w:w w:val="100"/>
          <w:sz w:val="24"/>
          <w:szCs w:val="24"/>
          <w:lang w:val="en-US" w:eastAsia="en-US"/>
        </w:rPr>
        <w:t>；</w:t>
      </w:r>
    </w:p>
    <w:p w14:paraId="0B8F71F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val="en-US" w:eastAsia="zh-CN"/>
        </w:rPr>
      </w:pPr>
      <w:bookmarkStart w:id="23" w:name="bookmark81"/>
      <w:bookmarkEnd w:id="23"/>
      <w:bookmarkStart w:id="24" w:name="bookmark83"/>
      <w:bookmarkEnd w:id="24"/>
      <w:bookmarkStart w:id="25" w:name="bookmark87"/>
      <w:bookmarkEnd w:id="25"/>
      <w:bookmarkStart w:id="26" w:name="bookmark88"/>
      <w:bookmarkEnd w:id="26"/>
      <w:r>
        <w:rPr>
          <w:rFonts w:hint="default" w:ascii="Times New Roman" w:hAnsi="Times New Roman" w:eastAsia="宋体" w:cs="Times New Roman"/>
          <w:color w:val="auto"/>
          <w:spacing w:val="0"/>
          <w:w w:val="100"/>
          <w:sz w:val="24"/>
          <w:szCs w:val="24"/>
          <w:lang w:val="en-US" w:eastAsia="zh-CN"/>
        </w:rPr>
        <w:t>3、环评技术导则及标准</w:t>
      </w:r>
      <w:bookmarkEnd w:id="17"/>
      <w:bookmarkEnd w:id="18"/>
      <w:bookmarkEnd w:id="19"/>
    </w:p>
    <w:p w14:paraId="442A612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（1）《建设项目环境影响评价技术导则 总纲》（HJ2.1-2016），环境保护部，2016年12月8日发布，2017年1月1日施行；</w:t>
      </w:r>
    </w:p>
    <w:p w14:paraId="663E31A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（2）《环境影响评价技术导则</w:t>
      </w:r>
      <w:r>
        <w:rPr>
          <w:rFonts w:hint="eastAsia" w:ascii="Times New Roman" w:hAnsi="Times New Roman" w:eastAsia="宋体" w:cs="Times New Roman"/>
          <w:color w:val="auto"/>
          <w:spacing w:val="0"/>
          <w:w w:val="100"/>
          <w:sz w:val="24"/>
          <w:szCs w:val="24"/>
          <w:lang w:val="en-US" w:eastAsia="zh-CN"/>
        </w:rPr>
        <w:t xml:space="preserve"> </w:t>
      </w:r>
      <w:r>
        <w:rPr>
          <w:rFonts w:hint="default" w:ascii="Times New Roman" w:hAnsi="Times New Roman" w:eastAsia="宋体" w:cs="Times New Roman"/>
          <w:color w:val="auto"/>
          <w:spacing w:val="0"/>
          <w:w w:val="100"/>
          <w:sz w:val="24"/>
          <w:szCs w:val="24"/>
          <w:lang w:eastAsia="zh-CN"/>
        </w:rPr>
        <w:t>地表水环境》（HJ2.3-2018），生态环境部，2018年9月30日发布，2019年3月1日施行；</w:t>
      </w:r>
    </w:p>
    <w:p w14:paraId="653FD02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val="en-US" w:eastAsia="zh-CN"/>
        </w:rPr>
        <w:t>3</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cs="Times New Roman"/>
          <w:color w:val="auto"/>
          <w:sz w:val="24"/>
          <w:szCs w:val="24"/>
          <w:lang w:val="en-US" w:eastAsia="zh-CN"/>
        </w:rPr>
        <w:t>《排污许可证申请与核发技术规范 水处理（试行）》（HJ978-2018）</w:t>
      </w:r>
      <w:r>
        <w:rPr>
          <w:rFonts w:hint="default" w:ascii="Times New Roman" w:hAnsi="Times New Roman" w:eastAsia="宋体" w:cs="Times New Roman"/>
          <w:color w:val="auto"/>
          <w:spacing w:val="0"/>
          <w:w w:val="100"/>
          <w:sz w:val="24"/>
          <w:szCs w:val="24"/>
          <w:lang w:eastAsia="zh-CN"/>
        </w:rPr>
        <w:t>2018年11月12日</w:t>
      </w:r>
      <w:r>
        <w:rPr>
          <w:rFonts w:hint="eastAsia" w:ascii="Times New Roman" w:hAnsi="Times New Roman" w:eastAsia="宋体" w:cs="Times New Roman"/>
          <w:color w:val="auto"/>
          <w:spacing w:val="0"/>
          <w:w w:val="100"/>
          <w:sz w:val="24"/>
          <w:szCs w:val="24"/>
          <w:lang w:val="en-US" w:eastAsia="zh-CN"/>
        </w:rPr>
        <w:t>发布，并发布之日起同步实施；</w:t>
      </w:r>
    </w:p>
    <w:p w14:paraId="1281CA5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eastAsia" w:ascii="Times New Roman" w:hAnsi="Times New Roman" w:eastAsia="宋体" w:cs="Times New Roman"/>
          <w:color w:val="auto"/>
          <w:spacing w:val="0"/>
          <w:w w:val="100"/>
          <w:sz w:val="24"/>
          <w:szCs w:val="24"/>
          <w:lang w:eastAsia="zh-CN"/>
        </w:rPr>
        <w:t>（</w:t>
      </w:r>
      <w:r>
        <w:rPr>
          <w:rFonts w:hint="eastAsia" w:ascii="Times New Roman" w:hAnsi="Times New Roman" w:eastAsia="宋体" w:cs="Times New Roman"/>
          <w:color w:val="auto"/>
          <w:spacing w:val="0"/>
          <w:w w:val="100"/>
          <w:sz w:val="24"/>
          <w:szCs w:val="24"/>
          <w:lang w:val="en-US" w:eastAsia="zh-CN"/>
        </w:rPr>
        <w:t>4</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eastAsia="zh-CN"/>
        </w:rPr>
        <w:t>《排污单位自行监测技术指南 水处理》（HJ</w:t>
      </w:r>
      <w:r>
        <w:rPr>
          <w:rFonts w:hint="default" w:ascii="Times New Roman" w:hAnsi="Times New Roman" w:eastAsia="宋体" w:cs="Times New Roman"/>
          <w:color w:val="auto"/>
          <w:spacing w:val="0"/>
          <w:w w:val="100"/>
          <w:sz w:val="24"/>
          <w:szCs w:val="24"/>
          <w:lang w:val="en-US" w:eastAsia="zh-CN"/>
        </w:rPr>
        <w:t>1083</w:t>
      </w:r>
      <w:r>
        <w:rPr>
          <w:rFonts w:hint="default" w:ascii="Times New Roman" w:hAnsi="Times New Roman" w:eastAsia="宋体" w:cs="Times New Roman"/>
          <w:color w:val="auto"/>
          <w:spacing w:val="0"/>
          <w:w w:val="100"/>
          <w:sz w:val="24"/>
          <w:szCs w:val="24"/>
          <w:lang w:eastAsia="zh-CN"/>
        </w:rPr>
        <w:t>-20</w:t>
      </w:r>
      <w:r>
        <w:rPr>
          <w:rFonts w:hint="default" w:ascii="Times New Roman" w:hAnsi="Times New Roman" w:eastAsia="宋体" w:cs="Times New Roman"/>
          <w:color w:val="auto"/>
          <w:spacing w:val="0"/>
          <w:w w:val="100"/>
          <w:sz w:val="24"/>
          <w:szCs w:val="24"/>
          <w:lang w:val="en-US" w:eastAsia="zh-CN"/>
        </w:rPr>
        <w:t>20</w:t>
      </w:r>
      <w:r>
        <w:rPr>
          <w:rFonts w:hint="default" w:ascii="Times New Roman" w:hAnsi="Times New Roman" w:eastAsia="宋体" w:cs="Times New Roman"/>
          <w:color w:val="auto"/>
          <w:spacing w:val="0"/>
          <w:w w:val="100"/>
          <w:sz w:val="24"/>
          <w:szCs w:val="24"/>
          <w:lang w:eastAsia="zh-CN"/>
        </w:rPr>
        <w:t>）2020年4月1日施行</w:t>
      </w:r>
      <w:r>
        <w:rPr>
          <w:rFonts w:hint="eastAsia" w:ascii="Times New Roman" w:hAnsi="Times New Roman" w:eastAsia="宋体" w:cs="Times New Roman"/>
          <w:color w:val="auto"/>
          <w:spacing w:val="0"/>
          <w:w w:val="100"/>
          <w:sz w:val="24"/>
          <w:szCs w:val="24"/>
          <w:lang w:eastAsia="zh-CN"/>
        </w:rPr>
        <w:t>；</w:t>
      </w:r>
    </w:p>
    <w:p w14:paraId="5C5DCEA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eastAsia="zh-CN"/>
        </w:rPr>
      </w:pPr>
      <w:r>
        <w:rPr>
          <w:rFonts w:hint="eastAsia" w:ascii="Times New Roman" w:hAnsi="Times New Roman" w:eastAsia="宋体" w:cs="Times New Roman"/>
          <w:color w:val="auto"/>
          <w:spacing w:val="0"/>
          <w:w w:val="100"/>
          <w:sz w:val="24"/>
          <w:szCs w:val="24"/>
          <w:lang w:eastAsia="zh-CN"/>
        </w:rPr>
        <w:t>（</w:t>
      </w:r>
      <w:r>
        <w:rPr>
          <w:rFonts w:hint="eastAsia" w:ascii="Times New Roman" w:hAnsi="Times New Roman" w:eastAsia="宋体" w:cs="Times New Roman"/>
          <w:color w:val="auto"/>
          <w:spacing w:val="0"/>
          <w:w w:val="100"/>
          <w:sz w:val="24"/>
          <w:szCs w:val="24"/>
          <w:lang w:val="en-US" w:eastAsia="zh-CN"/>
        </w:rPr>
        <w:t>5</w:t>
      </w:r>
      <w:r>
        <w:rPr>
          <w:rFonts w:hint="eastAsia" w:ascii="Times New Roman" w:hAnsi="Times New Roman" w:eastAsia="宋体" w:cs="Times New Roman"/>
          <w:color w:val="auto"/>
          <w:spacing w:val="0"/>
          <w:w w:val="100"/>
          <w:sz w:val="24"/>
          <w:szCs w:val="24"/>
          <w:lang w:eastAsia="zh-CN"/>
        </w:rPr>
        <w:t>）《城镇污水处理厂污泥处理处置技术规范》（DB61/T1571-2022），陕西省生态环境厅，</w:t>
      </w:r>
      <w:r>
        <w:rPr>
          <w:rFonts w:hint="default" w:ascii="Times New Roman" w:hAnsi="Times New Roman" w:eastAsia="宋体" w:cs="Times New Roman"/>
          <w:color w:val="auto"/>
          <w:spacing w:val="0"/>
          <w:w w:val="100"/>
          <w:sz w:val="24"/>
          <w:szCs w:val="24"/>
          <w:lang w:eastAsia="zh-CN"/>
        </w:rPr>
        <w:t>2022年6月27日发布，2022年7月27日起实施</w:t>
      </w:r>
      <w:r>
        <w:rPr>
          <w:rFonts w:hint="eastAsia" w:ascii="Times New Roman" w:hAnsi="Times New Roman" w:eastAsia="宋体" w:cs="Times New Roman"/>
          <w:color w:val="auto"/>
          <w:spacing w:val="0"/>
          <w:w w:val="100"/>
          <w:sz w:val="24"/>
          <w:szCs w:val="24"/>
          <w:lang w:eastAsia="zh-CN"/>
        </w:rPr>
        <w:t>。</w:t>
      </w:r>
    </w:p>
    <w:p w14:paraId="02D6B57B">
      <w:pPr>
        <w:widowControl w:val="0"/>
        <w:spacing w:before="120" w:beforeLines="50" w:after="120" w:afterLines="50" w:line="240" w:lineRule="auto"/>
        <w:ind w:firstLine="0" w:firstLineChars="0"/>
        <w:jc w:val="both"/>
        <w:outlineLvl w:val="1"/>
        <w:rPr>
          <w:rFonts w:hint="default" w:ascii="Times New Roman" w:hAnsi="Times New Roman" w:eastAsia="宋体" w:cs="Times New Roman"/>
          <w:b/>
          <w:color w:val="auto"/>
          <w:spacing w:val="0"/>
          <w:w w:val="100"/>
          <w:kern w:val="2"/>
          <w:sz w:val="28"/>
          <w:szCs w:val="28"/>
          <w:lang w:val="en-US" w:eastAsia="zh-CN" w:bidi="ar-SA"/>
        </w:rPr>
      </w:pPr>
      <w:bookmarkStart w:id="27" w:name="_Toc26454"/>
      <w:r>
        <w:rPr>
          <w:rFonts w:hint="default" w:ascii="Times New Roman" w:hAnsi="Times New Roman" w:eastAsia="宋体" w:cs="Times New Roman"/>
          <w:b/>
          <w:color w:val="auto"/>
          <w:spacing w:val="0"/>
          <w:w w:val="100"/>
          <w:kern w:val="2"/>
          <w:sz w:val="28"/>
          <w:szCs w:val="28"/>
          <w:lang w:val="en-US" w:eastAsia="zh-CN" w:bidi="ar-SA"/>
        </w:rPr>
        <w:t>1.3评价标准</w:t>
      </w:r>
      <w:bookmarkEnd w:id="27"/>
    </w:p>
    <w:p w14:paraId="26B4A43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1、环境质量标准</w:t>
      </w:r>
    </w:p>
    <w:p w14:paraId="54E7B80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bCs/>
          <w:color w:val="auto"/>
          <w:spacing w:val="0"/>
          <w:w w:val="100"/>
          <w:kern w:val="0"/>
          <w:sz w:val="24"/>
          <w:szCs w:val="24"/>
          <w:lang w:val="en-US" w:eastAsia="zh-CN" w:bidi="ar-SA"/>
        </w:rPr>
      </w:pPr>
      <w:r>
        <w:rPr>
          <w:rFonts w:hint="default" w:ascii="Times New Roman" w:hAnsi="Times New Roman" w:eastAsia="宋体" w:cs="Times New Roman"/>
          <w:color w:val="auto"/>
          <w:spacing w:val="0"/>
          <w:w w:val="100"/>
          <w:sz w:val="24"/>
          <w:szCs w:val="24"/>
          <w:lang w:eastAsia="zh-CN"/>
        </w:rPr>
        <w:t>项目处理后的尾水排入</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lang w:eastAsia="zh-CN"/>
        </w:rPr>
        <w:t>，</w:t>
      </w:r>
      <w:bookmarkStart w:id="28" w:name="bookmark131"/>
      <w:bookmarkStart w:id="29" w:name="bookmark130"/>
      <w:bookmarkStart w:id="30" w:name="_Toc15148"/>
      <w:bookmarkStart w:id="31" w:name="bookmark132"/>
      <w:r>
        <w:rPr>
          <w:rFonts w:hint="default" w:ascii="Times New Roman" w:hAnsi="Times New Roman" w:eastAsia="宋体" w:cs="Times New Roman"/>
          <w:bCs/>
          <w:color w:val="auto"/>
          <w:spacing w:val="0"/>
          <w:w w:val="100"/>
          <w:kern w:val="0"/>
          <w:sz w:val="24"/>
          <w:szCs w:val="24"/>
          <w:lang w:val="en-US" w:eastAsia="zh-CN" w:bidi="ar-SA"/>
        </w:rPr>
        <w:t>项目所在地区域主要地表水体水环境质量评价执行《地表水环境质量标准》（GB3838-2002）中的</w:t>
      </w:r>
      <w:r>
        <w:rPr>
          <w:rFonts w:hint="default" w:ascii="Times New Roman" w:hAnsi="Times New Roman" w:eastAsia="宋体" w:cs="Times New Roman"/>
          <w:color w:val="auto"/>
          <w:spacing w:val="0"/>
          <w:w w:val="100"/>
          <w:kern w:val="2"/>
          <w:sz w:val="24"/>
          <w:szCs w:val="24"/>
          <w:lang w:val="en-US" w:eastAsia="zh-CN" w:bidi="ar-SA"/>
        </w:rPr>
        <w:t>Ⅲ</w:t>
      </w:r>
      <w:r>
        <w:rPr>
          <w:rFonts w:hint="default" w:ascii="Times New Roman" w:hAnsi="Times New Roman" w:eastAsia="宋体" w:cs="Times New Roman"/>
          <w:bCs/>
          <w:color w:val="auto"/>
          <w:spacing w:val="0"/>
          <w:w w:val="100"/>
          <w:kern w:val="0"/>
          <w:sz w:val="24"/>
          <w:szCs w:val="24"/>
          <w:lang w:val="en-US" w:eastAsia="zh-CN" w:bidi="ar-SA"/>
        </w:rPr>
        <w:t>类标准，见下表。</w:t>
      </w:r>
    </w:p>
    <w:p w14:paraId="25FE91DB">
      <w:pPr>
        <w:spacing w:line="360" w:lineRule="auto"/>
        <w:jc w:val="center"/>
        <w:rPr>
          <w:rFonts w:hint="default" w:ascii="Times New Roman" w:hAnsi="Times New Roman" w:eastAsia="宋体" w:cs="Times New Roman"/>
          <w:b/>
          <w:color w:val="auto"/>
          <w:spacing w:val="0"/>
          <w:w w:val="100"/>
          <w:sz w:val="21"/>
          <w:szCs w:val="21"/>
          <w:lang w:val="en-US" w:eastAsia="zh-CN"/>
        </w:rPr>
      </w:pPr>
      <w:r>
        <w:rPr>
          <w:rFonts w:hint="default" w:ascii="Times New Roman" w:hAnsi="Times New Roman" w:eastAsia="宋体" w:cs="Times New Roman"/>
          <w:b/>
          <w:color w:val="auto"/>
          <w:spacing w:val="0"/>
          <w:w w:val="100"/>
          <w:sz w:val="21"/>
          <w:szCs w:val="21"/>
        </w:rPr>
        <w:t>表</w:t>
      </w:r>
      <w:r>
        <w:rPr>
          <w:rFonts w:hint="default" w:ascii="Times New Roman" w:hAnsi="Times New Roman" w:eastAsia="宋体" w:cs="Times New Roman"/>
          <w:b/>
          <w:color w:val="auto"/>
          <w:spacing w:val="0"/>
          <w:w w:val="100"/>
          <w:sz w:val="21"/>
          <w:szCs w:val="21"/>
          <w:lang w:val="en-US" w:eastAsia="zh-CN"/>
        </w:rPr>
        <w:t xml:space="preserve">1-1   </w:t>
      </w:r>
      <w:r>
        <w:rPr>
          <w:rFonts w:hint="default" w:ascii="Times New Roman" w:hAnsi="Times New Roman" w:eastAsia="宋体" w:cs="Times New Roman"/>
          <w:b/>
          <w:color w:val="auto"/>
          <w:spacing w:val="0"/>
          <w:w w:val="100"/>
          <w:sz w:val="21"/>
          <w:szCs w:val="21"/>
        </w:rPr>
        <w:t>地表水环境质量标准</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7"/>
        <w:gridCol w:w="3012"/>
        <w:gridCol w:w="2350"/>
      </w:tblGrid>
      <w:tr w14:paraId="58331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852" w:type="pct"/>
            <w:tcBorders>
              <w:tl2br w:val="nil"/>
              <w:tr2bl w:val="nil"/>
            </w:tcBorders>
            <w:noWrap w:val="0"/>
            <w:vAlign w:val="center"/>
          </w:tcPr>
          <w:p w14:paraId="20B613D3">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项目</w:t>
            </w:r>
          </w:p>
        </w:tc>
        <w:tc>
          <w:tcPr>
            <w:tcW w:w="1767" w:type="pct"/>
            <w:tcBorders>
              <w:tl2br w:val="nil"/>
              <w:tr2bl w:val="nil"/>
            </w:tcBorders>
            <w:noWrap w:val="0"/>
            <w:vAlign w:val="center"/>
          </w:tcPr>
          <w:p w14:paraId="0313EA74">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rPr>
              <w:t>标准</w:t>
            </w:r>
            <w:r>
              <w:rPr>
                <w:rFonts w:hint="default" w:ascii="Times New Roman" w:hAnsi="Times New Roman" w:eastAsia="宋体" w:cs="Times New Roman"/>
                <w:b w:val="0"/>
                <w:bCs w:val="0"/>
                <w:color w:val="auto"/>
                <w:spacing w:val="0"/>
                <w:w w:val="100"/>
                <w:sz w:val="21"/>
                <w:szCs w:val="21"/>
                <w:lang w:eastAsia="zh-CN"/>
              </w:rPr>
              <w:t>限</w:t>
            </w:r>
            <w:r>
              <w:rPr>
                <w:rFonts w:hint="default" w:ascii="Times New Roman" w:hAnsi="Times New Roman" w:eastAsia="宋体" w:cs="Times New Roman"/>
                <w:b w:val="0"/>
                <w:bCs w:val="0"/>
                <w:color w:val="auto"/>
                <w:spacing w:val="0"/>
                <w:w w:val="100"/>
                <w:sz w:val="21"/>
                <w:szCs w:val="21"/>
              </w:rPr>
              <w:t>值</w:t>
            </w:r>
            <w:r>
              <w:rPr>
                <w:rFonts w:hint="default" w:ascii="Times New Roman" w:hAnsi="Times New Roman" w:eastAsia="宋体" w:cs="Times New Roman"/>
                <w:b w:val="0"/>
                <w:bCs w:val="0"/>
                <w:color w:val="auto"/>
                <w:spacing w:val="0"/>
                <w:w w:val="100"/>
                <w:sz w:val="21"/>
                <w:szCs w:val="21"/>
                <w:lang w:eastAsia="zh-CN"/>
              </w:rPr>
              <w:t>（</w:t>
            </w:r>
            <w:r>
              <w:rPr>
                <w:rFonts w:hint="default" w:ascii="Times New Roman" w:hAnsi="Times New Roman" w:cs="Times New Roman"/>
                <w:color w:val="auto"/>
              </w:rPr>
              <w:t>mg/L</w:t>
            </w:r>
            <w:r>
              <w:rPr>
                <w:rFonts w:hint="default" w:ascii="Times New Roman" w:hAnsi="Times New Roman" w:eastAsia="宋体" w:cs="Times New Roman"/>
                <w:b w:val="0"/>
                <w:bCs w:val="0"/>
                <w:color w:val="auto"/>
                <w:spacing w:val="0"/>
                <w:w w:val="100"/>
                <w:sz w:val="21"/>
                <w:szCs w:val="21"/>
                <w:lang w:eastAsia="zh-CN"/>
              </w:rPr>
              <w:t>）</w:t>
            </w:r>
          </w:p>
        </w:tc>
        <w:tc>
          <w:tcPr>
            <w:tcW w:w="1379" w:type="pct"/>
            <w:tcBorders>
              <w:tl2br w:val="nil"/>
              <w:tr2bl w:val="nil"/>
            </w:tcBorders>
            <w:noWrap w:val="0"/>
            <w:vAlign w:val="center"/>
          </w:tcPr>
          <w:p w14:paraId="1D7A9321">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执行标准</w:t>
            </w:r>
          </w:p>
        </w:tc>
      </w:tr>
      <w:tr w14:paraId="61A6B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852" w:type="pct"/>
            <w:tcBorders>
              <w:tl2br w:val="nil"/>
              <w:tr2bl w:val="nil"/>
            </w:tcBorders>
            <w:noWrap w:val="0"/>
            <w:vAlign w:val="center"/>
          </w:tcPr>
          <w:p w14:paraId="31A2E6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12" w:leftChars="0" w:right="0" w:hanging="80" w:firstLineChars="0"/>
              <w:jc w:val="center"/>
              <w:textAlignment w:val="auto"/>
              <w:rPr>
                <w:rFonts w:hint="default" w:ascii="Times New Roman" w:hAnsi="Times New Roman" w:eastAsia="宋体" w:cs="Times New Roman"/>
                <w:b w:val="0"/>
                <w:bCs w:val="0"/>
                <w:i w:val="0"/>
                <w:color w:val="auto"/>
                <w:spacing w:val="0"/>
                <w:w w:val="100"/>
                <w:kern w:val="0"/>
                <w:sz w:val="21"/>
                <w:szCs w:val="21"/>
                <w:u w:val="none"/>
                <w:vertAlign w:val="superscript"/>
                <w:lang w:val="en-US" w:eastAsia="zh-CN" w:bidi="ar"/>
              </w:rPr>
            </w:pPr>
            <w:r>
              <w:rPr>
                <w:rFonts w:hint="default" w:ascii="Times New Roman" w:hAnsi="Times New Roman" w:eastAsia="宋体" w:cs="Times New Roman"/>
                <w:b w:val="0"/>
                <w:bCs w:val="0"/>
                <w:color w:val="auto"/>
                <w:spacing w:val="0"/>
                <w:w w:val="100"/>
                <w:sz w:val="21"/>
                <w:szCs w:val="21"/>
              </w:rPr>
              <w:t>pH值</w:t>
            </w:r>
          </w:p>
        </w:tc>
        <w:tc>
          <w:tcPr>
            <w:tcW w:w="1767" w:type="pct"/>
            <w:tcBorders>
              <w:tl2br w:val="nil"/>
              <w:tr2bl w:val="nil"/>
            </w:tcBorders>
            <w:noWrap w:val="0"/>
            <w:vAlign w:val="center"/>
          </w:tcPr>
          <w:p w14:paraId="65516358">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rPr>
              <w:t>6～9</w:t>
            </w:r>
            <w:r>
              <w:rPr>
                <w:rFonts w:hint="default" w:ascii="Times New Roman" w:hAnsi="Times New Roman" w:eastAsia="宋体" w:cs="Times New Roman"/>
                <w:b w:val="0"/>
                <w:bCs w:val="0"/>
                <w:color w:val="auto"/>
                <w:spacing w:val="0"/>
                <w:w w:val="100"/>
                <w:sz w:val="21"/>
                <w:szCs w:val="21"/>
                <w:lang w:eastAsia="zh-CN"/>
              </w:rPr>
              <w:t>（无量纲）</w:t>
            </w:r>
          </w:p>
        </w:tc>
        <w:tc>
          <w:tcPr>
            <w:tcW w:w="1379" w:type="pct"/>
            <w:vMerge w:val="restart"/>
            <w:tcBorders>
              <w:tl2br w:val="nil"/>
              <w:tr2bl w:val="nil"/>
            </w:tcBorders>
            <w:noWrap w:val="0"/>
            <w:vAlign w:val="center"/>
          </w:tcPr>
          <w:p w14:paraId="323A59FA">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《地表水环境质量标准》GB3838-2002中的Ⅲ类标准</w:t>
            </w:r>
          </w:p>
        </w:tc>
      </w:tr>
      <w:tr w14:paraId="41F4A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852" w:type="pct"/>
            <w:tcBorders>
              <w:tl2br w:val="nil"/>
              <w:tr2bl w:val="nil"/>
            </w:tcBorders>
            <w:noWrap w:val="0"/>
            <w:vAlign w:val="center"/>
          </w:tcPr>
          <w:p w14:paraId="1DF19A30">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subscript"/>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化学需氧量</w:t>
            </w:r>
          </w:p>
        </w:tc>
        <w:tc>
          <w:tcPr>
            <w:tcW w:w="1767" w:type="pct"/>
            <w:tcBorders>
              <w:tl2br w:val="nil"/>
              <w:tr2bl w:val="nil"/>
            </w:tcBorders>
            <w:noWrap w:val="0"/>
            <w:vAlign w:val="center"/>
          </w:tcPr>
          <w:p w14:paraId="06445AAC">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rPr>
              <w:t>≤</w:t>
            </w:r>
            <w:r>
              <w:rPr>
                <w:rFonts w:hint="default" w:ascii="Times New Roman" w:hAnsi="Times New Roman" w:eastAsia="宋体" w:cs="Times New Roman"/>
                <w:b w:val="0"/>
                <w:bCs w:val="0"/>
                <w:color w:val="auto"/>
                <w:spacing w:val="0"/>
                <w:w w:val="100"/>
                <w:sz w:val="21"/>
                <w:szCs w:val="21"/>
                <w:lang w:val="en-US" w:eastAsia="zh-CN"/>
              </w:rPr>
              <w:t>20</w:t>
            </w:r>
          </w:p>
        </w:tc>
        <w:tc>
          <w:tcPr>
            <w:tcW w:w="1379" w:type="pct"/>
            <w:vMerge w:val="continue"/>
            <w:tcBorders>
              <w:tl2br w:val="nil"/>
              <w:tr2bl w:val="nil"/>
            </w:tcBorders>
            <w:noWrap w:val="0"/>
            <w:vAlign w:val="center"/>
          </w:tcPr>
          <w:p w14:paraId="463D6156">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39F11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852" w:type="pct"/>
            <w:tcBorders>
              <w:tl2br w:val="nil"/>
              <w:tr2bl w:val="nil"/>
            </w:tcBorders>
            <w:noWrap w:val="0"/>
            <w:vAlign w:val="center"/>
          </w:tcPr>
          <w:p w14:paraId="53881C12">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五日生化需氧量</w:t>
            </w:r>
          </w:p>
        </w:tc>
        <w:tc>
          <w:tcPr>
            <w:tcW w:w="1767" w:type="pct"/>
            <w:tcBorders>
              <w:tl2br w:val="nil"/>
              <w:tr2bl w:val="nil"/>
            </w:tcBorders>
            <w:noWrap w:val="0"/>
            <w:vAlign w:val="center"/>
          </w:tcPr>
          <w:p w14:paraId="6D301F8F">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rPr>
              <w:t>≤</w:t>
            </w:r>
            <w:r>
              <w:rPr>
                <w:rFonts w:hint="default" w:ascii="Times New Roman" w:hAnsi="Times New Roman" w:eastAsia="宋体" w:cs="Times New Roman"/>
                <w:b w:val="0"/>
                <w:bCs w:val="0"/>
                <w:color w:val="auto"/>
                <w:spacing w:val="0"/>
                <w:w w:val="100"/>
                <w:sz w:val="21"/>
                <w:szCs w:val="21"/>
                <w:lang w:val="en-US" w:eastAsia="zh-CN"/>
              </w:rPr>
              <w:t>4</w:t>
            </w:r>
          </w:p>
        </w:tc>
        <w:tc>
          <w:tcPr>
            <w:tcW w:w="1379" w:type="pct"/>
            <w:vMerge w:val="continue"/>
            <w:tcBorders>
              <w:tl2br w:val="nil"/>
              <w:tr2bl w:val="nil"/>
            </w:tcBorders>
            <w:noWrap w:val="0"/>
            <w:vAlign w:val="center"/>
          </w:tcPr>
          <w:p w14:paraId="60859B3E">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58C6C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852" w:type="pct"/>
            <w:tcBorders>
              <w:tl2br w:val="nil"/>
              <w:tr2bl w:val="nil"/>
            </w:tcBorders>
            <w:noWrap w:val="0"/>
            <w:vAlign w:val="center"/>
          </w:tcPr>
          <w:p w14:paraId="03AEBCA5">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总磷</w:t>
            </w:r>
            <w:r>
              <w:rPr>
                <w:rFonts w:hint="eastAsia" w:ascii="Times New Roman" w:hAnsi="Times New Roman" w:eastAsia="宋体" w:cs="Times New Roman"/>
                <w:b w:val="0"/>
                <w:bCs w:val="0"/>
                <w:color w:val="auto"/>
                <w:spacing w:val="0"/>
                <w:w w:val="100"/>
                <w:sz w:val="21"/>
                <w:szCs w:val="21"/>
                <w:lang w:eastAsia="zh-CN"/>
              </w:rPr>
              <w:t>（</w:t>
            </w:r>
            <w:r>
              <w:rPr>
                <w:rFonts w:hint="default" w:ascii="Times New Roman" w:hAnsi="Times New Roman" w:eastAsia="宋体" w:cs="Times New Roman"/>
                <w:b w:val="0"/>
                <w:bCs w:val="0"/>
                <w:color w:val="auto"/>
                <w:spacing w:val="0"/>
                <w:w w:val="100"/>
                <w:sz w:val="21"/>
                <w:szCs w:val="21"/>
              </w:rPr>
              <w:t>以P计</w:t>
            </w:r>
            <w:r>
              <w:rPr>
                <w:rFonts w:hint="eastAsia" w:ascii="Times New Roman" w:hAnsi="Times New Roman" w:eastAsia="宋体" w:cs="Times New Roman"/>
                <w:b w:val="0"/>
                <w:bCs w:val="0"/>
                <w:color w:val="auto"/>
                <w:spacing w:val="0"/>
                <w:w w:val="100"/>
                <w:sz w:val="21"/>
                <w:szCs w:val="21"/>
                <w:lang w:eastAsia="zh-CN"/>
              </w:rPr>
              <w:t>）</w:t>
            </w:r>
          </w:p>
        </w:tc>
        <w:tc>
          <w:tcPr>
            <w:tcW w:w="1767" w:type="pct"/>
            <w:tcBorders>
              <w:tl2br w:val="nil"/>
              <w:tr2bl w:val="nil"/>
            </w:tcBorders>
            <w:noWrap w:val="0"/>
            <w:vAlign w:val="center"/>
          </w:tcPr>
          <w:p w14:paraId="0792036A">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≤0.</w:t>
            </w:r>
            <w:r>
              <w:rPr>
                <w:rFonts w:hint="default" w:ascii="Times New Roman" w:hAnsi="Times New Roman" w:eastAsia="宋体" w:cs="Times New Roman"/>
                <w:b w:val="0"/>
                <w:bCs w:val="0"/>
                <w:color w:val="auto"/>
                <w:spacing w:val="0"/>
                <w:w w:val="100"/>
                <w:sz w:val="21"/>
                <w:szCs w:val="21"/>
                <w:lang w:val="en-US" w:eastAsia="zh-CN"/>
              </w:rPr>
              <w:t>2</w:t>
            </w:r>
            <w:r>
              <w:rPr>
                <w:rFonts w:hint="default" w:ascii="Times New Roman" w:hAnsi="Times New Roman" w:eastAsia="宋体" w:cs="Times New Roman"/>
                <w:b w:val="0"/>
                <w:bCs w:val="0"/>
                <w:color w:val="auto"/>
                <w:spacing w:val="0"/>
                <w:w w:val="100"/>
                <w:sz w:val="21"/>
                <w:szCs w:val="21"/>
              </w:rPr>
              <w:t>（湖、库取0.</w:t>
            </w:r>
            <w:r>
              <w:rPr>
                <w:rFonts w:hint="default" w:ascii="Times New Roman" w:hAnsi="Times New Roman" w:eastAsia="宋体" w:cs="Times New Roman"/>
                <w:b w:val="0"/>
                <w:bCs w:val="0"/>
                <w:color w:val="auto"/>
                <w:spacing w:val="0"/>
                <w:w w:val="100"/>
                <w:sz w:val="21"/>
                <w:szCs w:val="21"/>
                <w:lang w:val="en-US" w:eastAsia="zh-CN"/>
              </w:rPr>
              <w:t>05</w:t>
            </w:r>
            <w:r>
              <w:rPr>
                <w:rFonts w:hint="default" w:ascii="Times New Roman" w:hAnsi="Times New Roman" w:eastAsia="宋体" w:cs="Times New Roman"/>
                <w:b w:val="0"/>
                <w:bCs w:val="0"/>
                <w:color w:val="auto"/>
                <w:spacing w:val="0"/>
                <w:w w:val="100"/>
                <w:sz w:val="21"/>
                <w:szCs w:val="21"/>
              </w:rPr>
              <w:t>）</w:t>
            </w:r>
          </w:p>
        </w:tc>
        <w:tc>
          <w:tcPr>
            <w:tcW w:w="1379" w:type="pct"/>
            <w:vMerge w:val="continue"/>
            <w:tcBorders>
              <w:tl2br w:val="nil"/>
              <w:tr2bl w:val="nil"/>
            </w:tcBorders>
            <w:noWrap w:val="0"/>
            <w:vAlign w:val="center"/>
          </w:tcPr>
          <w:p w14:paraId="0A1097D2">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6ADAA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852" w:type="pct"/>
            <w:tcBorders>
              <w:tl2br w:val="nil"/>
              <w:tr2bl w:val="nil"/>
            </w:tcBorders>
            <w:noWrap w:val="0"/>
            <w:vAlign w:val="center"/>
          </w:tcPr>
          <w:p w14:paraId="3E01CD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12" w:leftChars="0" w:right="0" w:hanging="80" w:firstLine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eastAsia="zh-CN"/>
              </w:rPr>
              <w:t>氨氮</w:t>
            </w:r>
          </w:p>
        </w:tc>
        <w:tc>
          <w:tcPr>
            <w:tcW w:w="1767" w:type="pct"/>
            <w:tcBorders>
              <w:tl2br w:val="nil"/>
              <w:tr2bl w:val="nil"/>
            </w:tcBorders>
            <w:noWrap w:val="0"/>
            <w:vAlign w:val="center"/>
          </w:tcPr>
          <w:p w14:paraId="37D57117">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rPr>
              <w:t>≤</w:t>
            </w:r>
            <w:r>
              <w:rPr>
                <w:rFonts w:hint="default" w:ascii="Times New Roman" w:hAnsi="Times New Roman" w:eastAsia="宋体" w:cs="Times New Roman"/>
                <w:b w:val="0"/>
                <w:bCs w:val="0"/>
                <w:color w:val="auto"/>
                <w:spacing w:val="0"/>
                <w:w w:val="100"/>
                <w:sz w:val="21"/>
                <w:szCs w:val="21"/>
                <w:lang w:val="en-US" w:eastAsia="zh-CN"/>
              </w:rPr>
              <w:t>1.0</w:t>
            </w:r>
          </w:p>
        </w:tc>
        <w:tc>
          <w:tcPr>
            <w:tcW w:w="1379" w:type="pct"/>
            <w:vMerge w:val="continue"/>
            <w:tcBorders>
              <w:tl2br w:val="nil"/>
              <w:tr2bl w:val="nil"/>
            </w:tcBorders>
            <w:noWrap w:val="0"/>
            <w:vAlign w:val="center"/>
          </w:tcPr>
          <w:p w14:paraId="117A452D">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r>
      <w:tr w14:paraId="7B6EB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852" w:type="pct"/>
            <w:tcBorders>
              <w:tl2br w:val="nil"/>
              <w:tr2bl w:val="nil"/>
            </w:tcBorders>
            <w:noWrap w:val="0"/>
            <w:vAlign w:val="center"/>
          </w:tcPr>
          <w:p w14:paraId="1B1FF6FE">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高锰酸盐指数</w:t>
            </w:r>
          </w:p>
        </w:tc>
        <w:tc>
          <w:tcPr>
            <w:tcW w:w="1767" w:type="pct"/>
            <w:tcBorders>
              <w:tl2br w:val="nil"/>
              <w:tr2bl w:val="nil"/>
            </w:tcBorders>
            <w:noWrap w:val="0"/>
            <w:vAlign w:val="center"/>
          </w:tcPr>
          <w:p w14:paraId="19EF0F76">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rPr>
              <w:t>≤</w:t>
            </w:r>
            <w:r>
              <w:rPr>
                <w:rFonts w:hint="default" w:ascii="Times New Roman" w:hAnsi="Times New Roman" w:eastAsia="宋体" w:cs="Times New Roman"/>
                <w:b w:val="0"/>
                <w:bCs w:val="0"/>
                <w:color w:val="auto"/>
                <w:spacing w:val="0"/>
                <w:w w:val="100"/>
                <w:sz w:val="21"/>
                <w:szCs w:val="21"/>
                <w:lang w:val="en-US" w:eastAsia="zh-CN"/>
              </w:rPr>
              <w:t>6</w:t>
            </w:r>
          </w:p>
        </w:tc>
        <w:tc>
          <w:tcPr>
            <w:tcW w:w="1379" w:type="pct"/>
            <w:vMerge w:val="continue"/>
            <w:tcBorders>
              <w:tl2br w:val="nil"/>
              <w:tr2bl w:val="nil"/>
            </w:tcBorders>
            <w:noWrap w:val="0"/>
            <w:vAlign w:val="center"/>
          </w:tcPr>
          <w:p w14:paraId="14117684">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2680B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852" w:type="pct"/>
            <w:noWrap w:val="0"/>
            <w:vAlign w:val="center"/>
          </w:tcPr>
          <w:p w14:paraId="00667B0B">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eastAsia="zh-CN"/>
              </w:rPr>
              <w:t>氟化物</w:t>
            </w:r>
          </w:p>
        </w:tc>
        <w:tc>
          <w:tcPr>
            <w:tcW w:w="1767" w:type="pct"/>
            <w:noWrap w:val="0"/>
            <w:vAlign w:val="top"/>
          </w:tcPr>
          <w:p w14:paraId="11204ECC">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rPr>
            </w:pPr>
            <w:r>
              <w:rPr>
                <w:rFonts w:hint="default" w:ascii="Times New Roman" w:hAnsi="Times New Roman" w:eastAsia="宋体" w:cs="Times New Roman"/>
                <w:b w:val="0"/>
                <w:bCs w:val="0"/>
                <w:color w:val="auto"/>
                <w:spacing w:val="0"/>
                <w:w w:val="100"/>
                <w:sz w:val="21"/>
                <w:szCs w:val="21"/>
              </w:rPr>
              <w:t>≤</w:t>
            </w:r>
            <w:r>
              <w:rPr>
                <w:rFonts w:hint="default" w:ascii="Times New Roman" w:hAnsi="Times New Roman" w:eastAsia="宋体" w:cs="Times New Roman"/>
                <w:b w:val="0"/>
                <w:bCs w:val="0"/>
                <w:color w:val="auto"/>
                <w:spacing w:val="0"/>
                <w:w w:val="100"/>
                <w:sz w:val="21"/>
                <w:szCs w:val="21"/>
                <w:lang w:val="en-US" w:eastAsia="zh-CN"/>
              </w:rPr>
              <w:t>1.0</w:t>
            </w:r>
          </w:p>
        </w:tc>
        <w:tc>
          <w:tcPr>
            <w:tcW w:w="1379" w:type="pct"/>
            <w:vMerge w:val="continue"/>
            <w:noWrap w:val="0"/>
            <w:vAlign w:val="top"/>
          </w:tcPr>
          <w:p w14:paraId="585E794A">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079DF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852" w:type="pct"/>
            <w:noWrap w:val="0"/>
            <w:vAlign w:val="center"/>
          </w:tcPr>
          <w:p w14:paraId="5624DF6C">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溶解氧</w:t>
            </w:r>
          </w:p>
        </w:tc>
        <w:tc>
          <w:tcPr>
            <w:tcW w:w="1767" w:type="pct"/>
            <w:noWrap w:val="0"/>
            <w:vAlign w:val="top"/>
          </w:tcPr>
          <w:p w14:paraId="1A6A70F5">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≥5</w:t>
            </w:r>
          </w:p>
        </w:tc>
        <w:tc>
          <w:tcPr>
            <w:tcW w:w="1379" w:type="pct"/>
            <w:vMerge w:val="continue"/>
            <w:noWrap w:val="0"/>
            <w:vAlign w:val="top"/>
          </w:tcPr>
          <w:p w14:paraId="54ACBE46">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1E9F9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852" w:type="pct"/>
            <w:noWrap w:val="0"/>
            <w:vAlign w:val="center"/>
          </w:tcPr>
          <w:p w14:paraId="3C9DF155">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pacing w:val="0"/>
                <w:w w:val="100"/>
                <w:sz w:val="21"/>
                <w:szCs w:val="21"/>
                <w:lang w:val="en-US" w:eastAsia="zh-CN"/>
              </w:rPr>
            </w:pPr>
            <w:r>
              <w:rPr>
                <w:rFonts w:hint="eastAsia" w:ascii="宋体" w:hAnsi="宋体" w:eastAsia="宋体" w:cs="宋体"/>
                <w:color w:val="auto"/>
                <w:szCs w:val="21"/>
              </w:rPr>
              <w:t>粪大肠菌群</w:t>
            </w:r>
            <w:r>
              <w:rPr>
                <w:rFonts w:hint="eastAsia" w:ascii="宋体" w:hAnsi="宋体" w:eastAsia="宋体" w:cs="宋体"/>
                <w:color w:val="auto"/>
                <w:szCs w:val="21"/>
                <w:lang w:eastAsia="zh-CN"/>
              </w:rPr>
              <w:t>（</w:t>
            </w:r>
            <w:r>
              <w:rPr>
                <w:rFonts w:hint="default" w:ascii="Times New Roman" w:hAnsi="Times New Roman" w:eastAsia="宋体" w:cs="Times New Roman"/>
                <w:color w:val="auto"/>
                <w:szCs w:val="21"/>
                <w:lang w:val="en-US" w:eastAsia="zh-CN"/>
              </w:rPr>
              <w:t>MPN</w:t>
            </w:r>
            <w:r>
              <w:rPr>
                <w:rFonts w:hint="default" w:ascii="Times New Roman" w:hAnsi="Times New Roman" w:eastAsia="宋体" w:cs="Times New Roman"/>
                <w:color w:val="auto"/>
                <w:szCs w:val="21"/>
              </w:rPr>
              <w:t>/L</w:t>
            </w:r>
            <w:r>
              <w:rPr>
                <w:rFonts w:hint="eastAsia" w:ascii="宋体" w:hAnsi="宋体" w:eastAsia="宋体" w:cs="宋体"/>
                <w:color w:val="auto"/>
                <w:szCs w:val="21"/>
                <w:lang w:eastAsia="zh-CN"/>
              </w:rPr>
              <w:t>）</w:t>
            </w:r>
          </w:p>
        </w:tc>
        <w:tc>
          <w:tcPr>
            <w:tcW w:w="1767" w:type="pct"/>
            <w:noWrap w:val="0"/>
            <w:vAlign w:val="top"/>
          </w:tcPr>
          <w:p w14:paraId="084DDC06">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cs="Times New Roman"/>
                <w:color w:val="auto"/>
                <w:lang w:val="en-US" w:eastAsia="zh-CN"/>
              </w:rPr>
              <w:t>1.0×10</w:t>
            </w:r>
            <w:r>
              <w:rPr>
                <w:rFonts w:hint="default" w:ascii="Times New Roman" w:hAnsi="Times New Roman" w:cs="Times New Roman"/>
                <w:color w:val="auto"/>
                <w:vertAlign w:val="superscript"/>
                <w:lang w:val="en-US" w:eastAsia="zh-CN"/>
              </w:rPr>
              <w:t>4</w:t>
            </w:r>
          </w:p>
        </w:tc>
        <w:tc>
          <w:tcPr>
            <w:tcW w:w="1379" w:type="pct"/>
            <w:vMerge w:val="continue"/>
            <w:noWrap w:val="0"/>
            <w:vAlign w:val="top"/>
          </w:tcPr>
          <w:p w14:paraId="7520069C">
            <w:pPr>
              <w:keepNext w:val="0"/>
              <w:keepLines w:val="0"/>
              <w:pageBreakBefore w:val="0"/>
              <w:widowControl w:val="0"/>
              <w:suppressLineNumbers w:val="0"/>
              <w:tabs>
                <w:tab w:val="left" w:pos="22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bl>
    <w:p w14:paraId="6259DB3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2、污染物排放标准</w:t>
      </w:r>
      <w:bookmarkEnd w:id="28"/>
      <w:bookmarkEnd w:id="29"/>
      <w:bookmarkEnd w:id="30"/>
      <w:bookmarkEnd w:id="31"/>
    </w:p>
    <w:p w14:paraId="0CD57D5B">
      <w:pPr>
        <w:widowControl w:val="0"/>
        <w:adjustRightInd w:val="0"/>
        <w:spacing w:after="0" w:afterLines="0" w:line="360" w:lineRule="auto"/>
        <w:ind w:left="0" w:leftChars="0" w:firstLine="480" w:firstLineChars="200"/>
        <w:jc w:val="both"/>
        <w:rPr>
          <w:rFonts w:hint="default" w:ascii="Times New Roman" w:hAnsi="Times New Roman" w:eastAsia="新宋体" w:cs="Times New Roman"/>
          <w:color w:val="auto"/>
          <w:spacing w:val="0"/>
          <w:w w:val="100"/>
          <w:kern w:val="2"/>
          <w:sz w:val="24"/>
          <w:szCs w:val="24"/>
          <w:lang w:val="en-US" w:eastAsia="zh-CN" w:bidi="ar-SA"/>
        </w:rPr>
      </w:pPr>
      <w:r>
        <w:rPr>
          <w:rFonts w:hint="default" w:ascii="Times New Roman" w:hAnsi="Times New Roman" w:eastAsia="宋体" w:cs="Times New Roman"/>
          <w:color w:val="auto"/>
          <w:spacing w:val="0"/>
          <w:w w:val="100"/>
          <w:kern w:val="2"/>
          <w:sz w:val="24"/>
          <w:szCs w:val="24"/>
          <w:lang w:val="en-US" w:eastAsia="zh-CN" w:bidi="ar-SA"/>
        </w:rPr>
        <w:t>项目尾水执行《陕西省黄河流域污水综合排放标准》（DB61/224-2018）表1中A标准。本项目污水处理厂总排口尾水执行《陕西省黄河流域污水综合排放标准》（DB61/224-2018）中A标准，</w:t>
      </w:r>
      <w:r>
        <w:rPr>
          <w:rFonts w:hint="default" w:ascii="Times New Roman" w:hAnsi="Times New Roman" w:eastAsia="宋体" w:cs="Times New Roman"/>
          <w:bCs/>
          <w:color w:val="auto"/>
          <w:spacing w:val="0"/>
          <w:w w:val="100"/>
          <w:kern w:val="0"/>
          <w:sz w:val="24"/>
          <w:szCs w:val="24"/>
          <w:lang w:val="en-US" w:eastAsia="zh-CN" w:bidi="ar-SA"/>
        </w:rPr>
        <w:t>见下表。</w:t>
      </w:r>
    </w:p>
    <w:p w14:paraId="20A4AB95">
      <w:pPr>
        <w:spacing w:line="360" w:lineRule="auto"/>
        <w:jc w:val="center"/>
        <w:rPr>
          <w:rFonts w:hint="default" w:ascii="Times New Roman" w:hAnsi="Times New Roman" w:eastAsia="宋体" w:cs="Times New Roman"/>
          <w:b/>
          <w:color w:val="auto"/>
          <w:spacing w:val="0"/>
          <w:w w:val="100"/>
          <w:sz w:val="21"/>
          <w:szCs w:val="21"/>
          <w:lang w:val="en-US" w:eastAsia="zh-CN"/>
        </w:rPr>
      </w:pPr>
      <w:r>
        <w:rPr>
          <w:rFonts w:hint="default" w:ascii="Times New Roman" w:hAnsi="Times New Roman" w:eastAsia="宋体" w:cs="Times New Roman"/>
          <w:b/>
          <w:color w:val="auto"/>
          <w:spacing w:val="0"/>
          <w:w w:val="100"/>
          <w:sz w:val="21"/>
          <w:szCs w:val="21"/>
          <w:lang w:val="en-US" w:eastAsia="zh-CN"/>
        </w:rPr>
        <w:t>表1-2  污水处理厂水污染物浓度排放限值  单位：mg/L</w:t>
      </w:r>
    </w:p>
    <w:tbl>
      <w:tblPr>
        <w:tblStyle w:val="21"/>
        <w:tblW w:w="88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2514"/>
        <w:gridCol w:w="2478"/>
        <w:gridCol w:w="2834"/>
      </w:tblGrid>
      <w:tr w14:paraId="57079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tcBorders>
              <w:tl2br w:val="nil"/>
              <w:tr2bl w:val="nil"/>
            </w:tcBorders>
            <w:noWrap w:val="0"/>
            <w:vAlign w:val="bottom"/>
          </w:tcPr>
          <w:p w14:paraId="181B3601">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kern w:val="2"/>
                <w:sz w:val="21"/>
                <w:szCs w:val="21"/>
                <w:vertAlign w:val="baseline"/>
                <w:lang w:val="en-US" w:eastAsia="zh-CN" w:bidi="ar-SA"/>
              </w:rPr>
            </w:pPr>
            <w:r>
              <w:rPr>
                <w:rFonts w:hint="default" w:ascii="Times New Roman" w:hAnsi="Times New Roman" w:eastAsia="宋体" w:cs="Times New Roman"/>
                <w:b w:val="0"/>
                <w:bCs w:val="0"/>
                <w:color w:val="auto"/>
                <w:spacing w:val="0"/>
                <w:w w:val="100"/>
                <w:sz w:val="21"/>
                <w:szCs w:val="21"/>
                <w:vertAlign w:val="baseline"/>
                <w:lang w:val="en-US" w:eastAsia="zh-CN"/>
              </w:rPr>
              <w:t>序号</w:t>
            </w:r>
          </w:p>
        </w:tc>
        <w:tc>
          <w:tcPr>
            <w:tcW w:w="1422" w:type="pct"/>
            <w:tcBorders>
              <w:tl2br w:val="nil"/>
              <w:tr2bl w:val="nil"/>
            </w:tcBorders>
            <w:noWrap w:val="0"/>
            <w:vAlign w:val="center"/>
          </w:tcPr>
          <w:p w14:paraId="4480B2D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项目</w:t>
            </w:r>
          </w:p>
        </w:tc>
        <w:tc>
          <w:tcPr>
            <w:tcW w:w="1402" w:type="pct"/>
            <w:tcBorders>
              <w:tl2br w:val="nil"/>
              <w:tr2bl w:val="nil"/>
            </w:tcBorders>
            <w:noWrap w:val="0"/>
            <w:vAlign w:val="center"/>
          </w:tcPr>
          <w:p w14:paraId="15DFD3A1">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标准</w:t>
            </w:r>
            <w:r>
              <w:rPr>
                <w:rFonts w:hint="default" w:ascii="Times New Roman" w:hAnsi="Times New Roman" w:eastAsia="宋体" w:cs="Times New Roman"/>
                <w:b w:val="0"/>
                <w:bCs w:val="0"/>
                <w:color w:val="auto"/>
                <w:spacing w:val="0"/>
                <w:w w:val="100"/>
                <w:sz w:val="21"/>
                <w:szCs w:val="21"/>
                <w:lang w:eastAsia="zh-CN"/>
              </w:rPr>
              <w:t>限</w:t>
            </w:r>
            <w:r>
              <w:rPr>
                <w:rFonts w:hint="default" w:ascii="Times New Roman" w:hAnsi="Times New Roman" w:eastAsia="宋体" w:cs="Times New Roman"/>
                <w:b w:val="0"/>
                <w:bCs w:val="0"/>
                <w:color w:val="auto"/>
                <w:spacing w:val="0"/>
                <w:w w:val="100"/>
                <w:sz w:val="21"/>
                <w:szCs w:val="21"/>
              </w:rPr>
              <w:t>值</w:t>
            </w:r>
          </w:p>
        </w:tc>
        <w:tc>
          <w:tcPr>
            <w:tcW w:w="1601" w:type="pct"/>
            <w:tcBorders>
              <w:tl2br w:val="nil"/>
              <w:tr2bl w:val="nil"/>
            </w:tcBorders>
            <w:noWrap w:val="0"/>
            <w:vAlign w:val="center"/>
          </w:tcPr>
          <w:p w14:paraId="6BEB94E9">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执行标准</w:t>
            </w:r>
          </w:p>
        </w:tc>
      </w:tr>
      <w:tr w14:paraId="54028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tcBorders>
              <w:tl2br w:val="nil"/>
              <w:tr2bl w:val="nil"/>
            </w:tcBorders>
            <w:noWrap w:val="0"/>
            <w:vAlign w:val="center"/>
          </w:tcPr>
          <w:p w14:paraId="46BEC558">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w:t>
            </w:r>
          </w:p>
        </w:tc>
        <w:tc>
          <w:tcPr>
            <w:tcW w:w="1422" w:type="pct"/>
            <w:tcBorders>
              <w:tl2br w:val="nil"/>
              <w:tr2bl w:val="nil"/>
            </w:tcBorders>
            <w:noWrap w:val="0"/>
            <w:vAlign w:val="center"/>
          </w:tcPr>
          <w:p w14:paraId="2BDC6089">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化学需氧量</w:t>
            </w:r>
            <w:r>
              <w:rPr>
                <w:rFonts w:hint="default" w:ascii="Times New Roman" w:hAnsi="Times New Roman" w:eastAsia="宋体" w:cs="Times New Roman"/>
                <w:b w:val="0"/>
                <w:bCs w:val="0"/>
                <w:color w:val="auto"/>
                <w:spacing w:val="0"/>
                <w:w w:val="100"/>
                <w:sz w:val="21"/>
                <w:szCs w:val="21"/>
                <w:vertAlign w:val="baseline"/>
                <w:lang w:val="en-US" w:eastAsia="en-US"/>
              </w:rPr>
              <w:t>（C</w:t>
            </w:r>
            <w:r>
              <w:rPr>
                <w:rFonts w:hint="default" w:ascii="Times New Roman" w:hAnsi="Times New Roman" w:eastAsia="宋体" w:cs="Times New Roman"/>
                <w:b w:val="0"/>
                <w:bCs w:val="0"/>
                <w:color w:val="auto"/>
                <w:spacing w:val="0"/>
                <w:w w:val="100"/>
                <w:sz w:val="21"/>
                <w:szCs w:val="21"/>
                <w:vertAlign w:val="baseline"/>
                <w:lang w:val="en-US" w:eastAsia="zh-CN"/>
              </w:rPr>
              <w:t>O</w:t>
            </w:r>
            <w:r>
              <w:rPr>
                <w:rFonts w:hint="default" w:ascii="Times New Roman" w:hAnsi="Times New Roman" w:eastAsia="宋体" w:cs="Times New Roman"/>
                <w:b w:val="0"/>
                <w:bCs w:val="0"/>
                <w:color w:val="auto"/>
                <w:spacing w:val="0"/>
                <w:w w:val="100"/>
                <w:sz w:val="21"/>
                <w:szCs w:val="21"/>
                <w:vertAlign w:val="baseline"/>
                <w:lang w:val="en-US" w:eastAsia="en-US"/>
              </w:rPr>
              <w:t>D）</w:t>
            </w:r>
          </w:p>
        </w:tc>
        <w:tc>
          <w:tcPr>
            <w:tcW w:w="1402" w:type="pct"/>
            <w:tcBorders>
              <w:tl2br w:val="nil"/>
              <w:tr2bl w:val="nil"/>
            </w:tcBorders>
            <w:noWrap w:val="0"/>
            <w:vAlign w:val="center"/>
          </w:tcPr>
          <w:p w14:paraId="31F1A31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30</w:t>
            </w:r>
          </w:p>
        </w:tc>
        <w:tc>
          <w:tcPr>
            <w:tcW w:w="1601" w:type="pct"/>
            <w:vMerge w:val="restart"/>
            <w:tcBorders>
              <w:tl2br w:val="nil"/>
              <w:tr2bl w:val="nil"/>
            </w:tcBorders>
            <w:noWrap w:val="0"/>
            <w:vAlign w:val="center"/>
          </w:tcPr>
          <w:p w14:paraId="626B352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lang w:eastAsia="zh-CN"/>
              </w:rPr>
              <w:t>《陕西省黄河流域污水综合排放标准》（DB61/224-2018）</w:t>
            </w:r>
            <w:r>
              <w:rPr>
                <w:rFonts w:hint="default" w:ascii="Times New Roman" w:hAnsi="Times New Roman" w:eastAsia="宋体" w:cs="Times New Roman"/>
                <w:b w:val="0"/>
                <w:bCs w:val="0"/>
                <w:color w:val="auto"/>
                <w:spacing w:val="0"/>
                <w:w w:val="100"/>
                <w:sz w:val="21"/>
                <w:szCs w:val="21"/>
                <w:lang w:val="en-US" w:eastAsia="zh-CN"/>
              </w:rPr>
              <w:t>A</w:t>
            </w:r>
            <w:r>
              <w:rPr>
                <w:rFonts w:hint="default" w:ascii="Times New Roman" w:hAnsi="Times New Roman" w:eastAsia="宋体" w:cs="Times New Roman"/>
                <w:b w:val="0"/>
                <w:bCs w:val="0"/>
                <w:color w:val="auto"/>
                <w:spacing w:val="0"/>
                <w:w w:val="100"/>
                <w:sz w:val="21"/>
                <w:szCs w:val="21"/>
                <w:lang w:eastAsia="zh-CN"/>
              </w:rPr>
              <w:t>标准</w:t>
            </w:r>
          </w:p>
        </w:tc>
      </w:tr>
      <w:tr w14:paraId="62D76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73" w:type="pct"/>
            <w:tcBorders>
              <w:tl2br w:val="nil"/>
              <w:tr2bl w:val="nil"/>
            </w:tcBorders>
            <w:noWrap w:val="0"/>
            <w:vAlign w:val="bottom"/>
          </w:tcPr>
          <w:p w14:paraId="03CB2AA2">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2</w:t>
            </w:r>
          </w:p>
        </w:tc>
        <w:tc>
          <w:tcPr>
            <w:tcW w:w="1422" w:type="pct"/>
            <w:tcBorders>
              <w:tl2br w:val="nil"/>
              <w:tr2bl w:val="nil"/>
            </w:tcBorders>
            <w:noWrap w:val="0"/>
            <w:vAlign w:val="bottom"/>
          </w:tcPr>
          <w:p w14:paraId="119E3AA0">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总氮（以</w:t>
            </w:r>
            <w:r>
              <w:rPr>
                <w:rFonts w:hint="default" w:ascii="Times New Roman" w:hAnsi="Times New Roman" w:eastAsia="宋体" w:cs="Times New Roman"/>
                <w:b w:val="0"/>
                <w:bCs w:val="0"/>
                <w:color w:val="auto"/>
                <w:spacing w:val="0"/>
                <w:w w:val="100"/>
                <w:sz w:val="21"/>
                <w:szCs w:val="21"/>
                <w:vertAlign w:val="baseline"/>
                <w:lang w:val="en-US" w:eastAsia="en-US"/>
              </w:rPr>
              <w:t>N</w:t>
            </w:r>
            <w:r>
              <w:rPr>
                <w:rFonts w:hint="default" w:ascii="Times New Roman" w:hAnsi="Times New Roman" w:eastAsia="宋体" w:cs="Times New Roman"/>
                <w:b w:val="0"/>
                <w:bCs w:val="0"/>
                <w:color w:val="auto"/>
                <w:spacing w:val="0"/>
                <w:w w:val="100"/>
                <w:sz w:val="21"/>
                <w:szCs w:val="21"/>
                <w:vertAlign w:val="baseline"/>
                <w:lang w:val="en-US" w:eastAsia="zh-CN"/>
              </w:rPr>
              <w:t>计）</w:t>
            </w:r>
          </w:p>
        </w:tc>
        <w:tc>
          <w:tcPr>
            <w:tcW w:w="1402" w:type="pct"/>
            <w:tcBorders>
              <w:tl2br w:val="nil"/>
              <w:tr2bl w:val="nil"/>
            </w:tcBorders>
            <w:noWrap w:val="0"/>
            <w:vAlign w:val="bottom"/>
          </w:tcPr>
          <w:p w14:paraId="7BA98D2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15</w:t>
            </w:r>
          </w:p>
        </w:tc>
        <w:tc>
          <w:tcPr>
            <w:tcW w:w="1601" w:type="pct"/>
            <w:vMerge w:val="continue"/>
            <w:tcBorders>
              <w:tl2br w:val="nil"/>
              <w:tr2bl w:val="nil"/>
            </w:tcBorders>
            <w:noWrap w:val="0"/>
            <w:vAlign w:val="center"/>
          </w:tcPr>
          <w:p w14:paraId="4451543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75797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tcBorders>
              <w:tl2br w:val="nil"/>
              <w:tr2bl w:val="nil"/>
            </w:tcBorders>
            <w:noWrap w:val="0"/>
            <w:vAlign w:val="bottom"/>
          </w:tcPr>
          <w:p w14:paraId="4E7F68D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3</w:t>
            </w:r>
          </w:p>
        </w:tc>
        <w:tc>
          <w:tcPr>
            <w:tcW w:w="1422" w:type="pct"/>
            <w:tcBorders>
              <w:tl2br w:val="nil"/>
              <w:tr2bl w:val="nil"/>
            </w:tcBorders>
            <w:noWrap w:val="0"/>
            <w:vAlign w:val="bottom"/>
          </w:tcPr>
          <w:p w14:paraId="2F8EAF7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氨氮（以</w:t>
            </w:r>
            <w:r>
              <w:rPr>
                <w:rFonts w:hint="default" w:ascii="Times New Roman" w:hAnsi="Times New Roman" w:eastAsia="宋体" w:cs="Times New Roman"/>
                <w:b w:val="0"/>
                <w:bCs w:val="0"/>
                <w:color w:val="auto"/>
                <w:spacing w:val="0"/>
                <w:w w:val="100"/>
                <w:sz w:val="21"/>
                <w:szCs w:val="21"/>
                <w:vertAlign w:val="baseline"/>
                <w:lang w:val="en-US" w:eastAsia="en-US"/>
              </w:rPr>
              <w:t>N</w:t>
            </w:r>
            <w:r>
              <w:rPr>
                <w:rFonts w:hint="default" w:ascii="Times New Roman" w:hAnsi="Times New Roman" w:eastAsia="宋体" w:cs="Times New Roman"/>
                <w:b w:val="0"/>
                <w:bCs w:val="0"/>
                <w:color w:val="auto"/>
                <w:spacing w:val="0"/>
                <w:w w:val="100"/>
                <w:sz w:val="21"/>
                <w:szCs w:val="21"/>
                <w:vertAlign w:val="baseline"/>
                <w:lang w:val="en-US" w:eastAsia="zh-CN"/>
              </w:rPr>
              <w:t>计）</w:t>
            </w:r>
          </w:p>
        </w:tc>
        <w:tc>
          <w:tcPr>
            <w:tcW w:w="1402" w:type="pct"/>
            <w:tcBorders>
              <w:tl2br w:val="nil"/>
              <w:tr2bl w:val="nil"/>
            </w:tcBorders>
            <w:noWrap w:val="0"/>
            <w:vAlign w:val="bottom"/>
          </w:tcPr>
          <w:p w14:paraId="5A1D408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1.5</w:t>
            </w:r>
            <w:r>
              <w:rPr>
                <w:rFonts w:hint="eastAsia" w:ascii="Times New Roman" w:hAnsi="Times New Roman" w:eastAsia="宋体" w:cs="Times New Roman"/>
                <w:b w:val="0"/>
                <w:bCs w:val="0"/>
                <w:color w:val="auto"/>
                <w:spacing w:val="0"/>
                <w:w w:val="100"/>
                <w:sz w:val="21"/>
                <w:szCs w:val="21"/>
                <w:vertAlign w:val="baseline"/>
                <w:lang w:val="en-US" w:eastAsia="zh-CN"/>
              </w:rPr>
              <w:t>(</w:t>
            </w:r>
            <w:r>
              <w:rPr>
                <w:rFonts w:hint="default" w:ascii="Times New Roman" w:hAnsi="Times New Roman" w:eastAsia="宋体" w:cs="Times New Roman"/>
                <w:b w:val="0"/>
                <w:bCs w:val="0"/>
                <w:color w:val="auto"/>
                <w:spacing w:val="0"/>
                <w:w w:val="100"/>
                <w:sz w:val="21"/>
                <w:szCs w:val="21"/>
                <w:vertAlign w:val="baseline"/>
                <w:lang w:val="en-US" w:eastAsia="zh-CN"/>
              </w:rPr>
              <w:t>3</w:t>
            </w:r>
            <w:r>
              <w:rPr>
                <w:rFonts w:hint="eastAsia" w:ascii="Times New Roman" w:hAnsi="Times New Roman" w:eastAsia="宋体" w:cs="Times New Roman"/>
                <w:b w:val="0"/>
                <w:bCs w:val="0"/>
                <w:color w:val="auto"/>
                <w:spacing w:val="0"/>
                <w:w w:val="100"/>
                <w:sz w:val="21"/>
                <w:szCs w:val="21"/>
                <w:vertAlign w:val="baseline"/>
                <w:lang w:val="en-US" w:eastAsia="zh-CN"/>
              </w:rPr>
              <w:t>)</w:t>
            </w:r>
          </w:p>
        </w:tc>
        <w:tc>
          <w:tcPr>
            <w:tcW w:w="1601" w:type="pct"/>
            <w:vMerge w:val="continue"/>
            <w:tcBorders>
              <w:tl2br w:val="nil"/>
              <w:tr2bl w:val="nil"/>
            </w:tcBorders>
            <w:noWrap w:val="0"/>
            <w:vAlign w:val="center"/>
          </w:tcPr>
          <w:p w14:paraId="658E73D8">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66A28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tcBorders>
              <w:tl2br w:val="nil"/>
              <w:tr2bl w:val="nil"/>
            </w:tcBorders>
            <w:noWrap w:val="0"/>
            <w:vAlign w:val="bottom"/>
          </w:tcPr>
          <w:p w14:paraId="2E7AB27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4</w:t>
            </w:r>
          </w:p>
        </w:tc>
        <w:tc>
          <w:tcPr>
            <w:tcW w:w="1422" w:type="pct"/>
            <w:tcBorders>
              <w:tl2br w:val="nil"/>
              <w:tr2bl w:val="nil"/>
            </w:tcBorders>
            <w:noWrap w:val="0"/>
            <w:vAlign w:val="bottom"/>
          </w:tcPr>
          <w:p w14:paraId="4B242CE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总磷（以</w:t>
            </w:r>
            <w:r>
              <w:rPr>
                <w:rFonts w:hint="default" w:ascii="Times New Roman" w:hAnsi="Times New Roman" w:eastAsia="宋体" w:cs="Times New Roman"/>
                <w:b w:val="0"/>
                <w:bCs w:val="0"/>
                <w:color w:val="auto"/>
                <w:spacing w:val="0"/>
                <w:w w:val="100"/>
                <w:sz w:val="21"/>
                <w:szCs w:val="21"/>
                <w:vertAlign w:val="baseline"/>
                <w:lang w:val="en-US" w:eastAsia="en-US"/>
              </w:rPr>
              <w:t>P</w:t>
            </w:r>
            <w:r>
              <w:rPr>
                <w:rFonts w:hint="default" w:ascii="Times New Roman" w:hAnsi="Times New Roman" w:eastAsia="宋体" w:cs="Times New Roman"/>
                <w:b w:val="0"/>
                <w:bCs w:val="0"/>
                <w:color w:val="auto"/>
                <w:spacing w:val="0"/>
                <w:w w:val="100"/>
                <w:sz w:val="21"/>
                <w:szCs w:val="21"/>
                <w:vertAlign w:val="baseline"/>
                <w:lang w:val="en-US" w:eastAsia="zh-CN"/>
              </w:rPr>
              <w:t>计）</w:t>
            </w:r>
          </w:p>
        </w:tc>
        <w:tc>
          <w:tcPr>
            <w:tcW w:w="1402" w:type="pct"/>
            <w:tcBorders>
              <w:tl2br w:val="nil"/>
              <w:tr2bl w:val="nil"/>
            </w:tcBorders>
            <w:noWrap w:val="0"/>
            <w:vAlign w:val="bottom"/>
          </w:tcPr>
          <w:p w14:paraId="2677B1BA">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0.3</w:t>
            </w:r>
          </w:p>
        </w:tc>
        <w:tc>
          <w:tcPr>
            <w:tcW w:w="1601" w:type="pct"/>
            <w:vMerge w:val="continue"/>
            <w:tcBorders>
              <w:tl2br w:val="nil"/>
              <w:tr2bl w:val="nil"/>
            </w:tcBorders>
            <w:noWrap w:val="0"/>
            <w:vAlign w:val="center"/>
          </w:tcPr>
          <w:p w14:paraId="61D0116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45B46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tcBorders>
              <w:tl2br w:val="nil"/>
              <w:tr2bl w:val="nil"/>
            </w:tcBorders>
            <w:noWrap w:val="0"/>
            <w:vAlign w:val="bottom"/>
          </w:tcPr>
          <w:p w14:paraId="4AB51B5A">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5</w:t>
            </w:r>
          </w:p>
        </w:tc>
        <w:tc>
          <w:tcPr>
            <w:tcW w:w="1422" w:type="pct"/>
            <w:tcBorders>
              <w:tl2br w:val="nil"/>
              <w:tr2bl w:val="nil"/>
            </w:tcBorders>
            <w:noWrap w:val="0"/>
            <w:vAlign w:val="bottom"/>
          </w:tcPr>
          <w:p w14:paraId="485F8D0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五日生化需氧量</w:t>
            </w:r>
          </w:p>
        </w:tc>
        <w:tc>
          <w:tcPr>
            <w:tcW w:w="1402" w:type="pct"/>
            <w:tcBorders>
              <w:tl2br w:val="nil"/>
              <w:tr2bl w:val="nil"/>
            </w:tcBorders>
            <w:noWrap w:val="0"/>
            <w:vAlign w:val="bottom"/>
          </w:tcPr>
          <w:p w14:paraId="3280A5A4">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6</w:t>
            </w:r>
          </w:p>
        </w:tc>
        <w:tc>
          <w:tcPr>
            <w:tcW w:w="1601" w:type="pct"/>
            <w:vMerge w:val="continue"/>
            <w:tcBorders>
              <w:tl2br w:val="nil"/>
              <w:tr2bl w:val="nil"/>
            </w:tcBorders>
            <w:noWrap w:val="0"/>
            <w:vAlign w:val="center"/>
          </w:tcPr>
          <w:p w14:paraId="35810BC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5CB44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tcBorders>
              <w:tl2br w:val="nil"/>
              <w:tr2bl w:val="nil"/>
            </w:tcBorders>
            <w:noWrap w:val="0"/>
            <w:vAlign w:val="bottom"/>
          </w:tcPr>
          <w:p w14:paraId="6B804696">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en-US"/>
              </w:rPr>
            </w:pPr>
            <w:r>
              <w:rPr>
                <w:rFonts w:hint="default" w:ascii="Times New Roman" w:hAnsi="Times New Roman" w:eastAsia="宋体" w:cs="Times New Roman"/>
                <w:b w:val="0"/>
                <w:bCs w:val="0"/>
                <w:color w:val="auto"/>
                <w:spacing w:val="0"/>
                <w:w w:val="100"/>
                <w:sz w:val="21"/>
                <w:szCs w:val="21"/>
                <w:vertAlign w:val="baseline"/>
                <w:lang w:val="en-US" w:eastAsia="zh-CN"/>
              </w:rPr>
              <w:t>6</w:t>
            </w:r>
          </w:p>
        </w:tc>
        <w:tc>
          <w:tcPr>
            <w:tcW w:w="1422" w:type="pct"/>
            <w:tcBorders>
              <w:tl2br w:val="nil"/>
              <w:tr2bl w:val="nil"/>
            </w:tcBorders>
            <w:noWrap w:val="0"/>
            <w:vAlign w:val="bottom"/>
          </w:tcPr>
          <w:p w14:paraId="198127E0">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pH</w:t>
            </w:r>
            <w:r>
              <w:rPr>
                <w:rFonts w:hint="default" w:ascii="Times New Roman" w:hAnsi="Times New Roman" w:eastAsia="宋体" w:cs="Times New Roman"/>
                <w:b w:val="0"/>
                <w:bCs w:val="0"/>
                <w:color w:val="auto"/>
                <w:spacing w:val="0"/>
                <w:w w:val="100"/>
                <w:sz w:val="21"/>
                <w:szCs w:val="21"/>
                <w:vertAlign w:val="baseline"/>
                <w:lang w:val="en-US" w:eastAsia="zh-CN"/>
              </w:rPr>
              <w:t>值（无量纲）</w:t>
            </w:r>
          </w:p>
        </w:tc>
        <w:tc>
          <w:tcPr>
            <w:tcW w:w="1402" w:type="pct"/>
            <w:tcBorders>
              <w:tl2br w:val="nil"/>
              <w:tr2bl w:val="nil"/>
            </w:tcBorders>
            <w:noWrap w:val="0"/>
            <w:vAlign w:val="bottom"/>
          </w:tcPr>
          <w:p w14:paraId="49617FE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6〜9</w:t>
            </w:r>
          </w:p>
        </w:tc>
        <w:tc>
          <w:tcPr>
            <w:tcW w:w="1601" w:type="pct"/>
            <w:vMerge w:val="continue"/>
            <w:tcBorders>
              <w:tl2br w:val="nil"/>
              <w:tr2bl w:val="nil"/>
            </w:tcBorders>
            <w:noWrap w:val="0"/>
            <w:vAlign w:val="center"/>
          </w:tcPr>
          <w:p w14:paraId="28009FD4">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149A0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tcBorders>
              <w:tl2br w:val="nil"/>
              <w:tr2bl w:val="nil"/>
            </w:tcBorders>
            <w:noWrap w:val="0"/>
            <w:vAlign w:val="bottom"/>
          </w:tcPr>
          <w:p w14:paraId="6A03110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7</w:t>
            </w:r>
          </w:p>
        </w:tc>
        <w:tc>
          <w:tcPr>
            <w:tcW w:w="1422" w:type="pct"/>
            <w:tcBorders>
              <w:tl2br w:val="nil"/>
              <w:tr2bl w:val="nil"/>
            </w:tcBorders>
            <w:noWrap w:val="0"/>
            <w:vAlign w:val="bottom"/>
          </w:tcPr>
          <w:p w14:paraId="22B2FA5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色度（稀释倍数）</w:t>
            </w:r>
          </w:p>
        </w:tc>
        <w:tc>
          <w:tcPr>
            <w:tcW w:w="1402" w:type="pct"/>
            <w:tcBorders>
              <w:tl2br w:val="nil"/>
              <w:tr2bl w:val="nil"/>
            </w:tcBorders>
            <w:noWrap w:val="0"/>
            <w:vAlign w:val="bottom"/>
          </w:tcPr>
          <w:p w14:paraId="210D3E0A">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30</w:t>
            </w:r>
          </w:p>
        </w:tc>
        <w:tc>
          <w:tcPr>
            <w:tcW w:w="1601" w:type="pct"/>
            <w:vMerge w:val="continue"/>
            <w:tcBorders>
              <w:tl2br w:val="nil"/>
              <w:tr2bl w:val="nil"/>
            </w:tcBorders>
            <w:noWrap w:val="0"/>
            <w:vAlign w:val="center"/>
          </w:tcPr>
          <w:p w14:paraId="2BA0083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p>
        </w:tc>
      </w:tr>
      <w:tr w14:paraId="479D3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bottom"/>
          </w:tcPr>
          <w:p w14:paraId="62D310B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8</w:t>
            </w:r>
          </w:p>
        </w:tc>
        <w:tc>
          <w:tcPr>
            <w:tcW w:w="1422" w:type="pct"/>
            <w:noWrap w:val="0"/>
            <w:vAlign w:val="bottom"/>
          </w:tcPr>
          <w:p w14:paraId="2AB03D59">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悬浮物</w:t>
            </w:r>
          </w:p>
        </w:tc>
        <w:tc>
          <w:tcPr>
            <w:tcW w:w="1402" w:type="pct"/>
            <w:noWrap w:val="0"/>
            <w:vAlign w:val="bottom"/>
          </w:tcPr>
          <w:p w14:paraId="38470610">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10</w:t>
            </w:r>
          </w:p>
        </w:tc>
        <w:tc>
          <w:tcPr>
            <w:tcW w:w="1601" w:type="pct"/>
            <w:vMerge w:val="continue"/>
            <w:noWrap w:val="0"/>
            <w:vAlign w:val="top"/>
          </w:tcPr>
          <w:p w14:paraId="607BCFE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77CFE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top"/>
          </w:tcPr>
          <w:p w14:paraId="1B6EBBE6">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9</w:t>
            </w:r>
          </w:p>
        </w:tc>
        <w:tc>
          <w:tcPr>
            <w:tcW w:w="1422" w:type="pct"/>
            <w:noWrap w:val="0"/>
            <w:vAlign w:val="top"/>
          </w:tcPr>
          <w:p w14:paraId="74180E5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动植物油</w:t>
            </w:r>
          </w:p>
        </w:tc>
        <w:tc>
          <w:tcPr>
            <w:tcW w:w="1402" w:type="pct"/>
            <w:noWrap w:val="0"/>
            <w:vAlign w:val="top"/>
          </w:tcPr>
          <w:p w14:paraId="3B2B1AB4">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1.0</w:t>
            </w:r>
          </w:p>
        </w:tc>
        <w:tc>
          <w:tcPr>
            <w:tcW w:w="1601" w:type="pct"/>
            <w:vMerge w:val="continue"/>
            <w:noWrap w:val="0"/>
            <w:vAlign w:val="top"/>
          </w:tcPr>
          <w:p w14:paraId="4DBC3D4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2C491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573" w:type="pct"/>
            <w:noWrap w:val="0"/>
            <w:vAlign w:val="bottom"/>
          </w:tcPr>
          <w:p w14:paraId="54109FC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10</w:t>
            </w:r>
          </w:p>
        </w:tc>
        <w:tc>
          <w:tcPr>
            <w:tcW w:w="1422" w:type="pct"/>
            <w:noWrap w:val="0"/>
            <w:vAlign w:val="bottom"/>
          </w:tcPr>
          <w:p w14:paraId="2C2A2E0A">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石油类</w:t>
            </w:r>
          </w:p>
        </w:tc>
        <w:tc>
          <w:tcPr>
            <w:tcW w:w="1402" w:type="pct"/>
            <w:noWrap w:val="0"/>
            <w:vAlign w:val="bottom"/>
          </w:tcPr>
          <w:p w14:paraId="13A0800A">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 xml:space="preserve">1. </w:t>
            </w:r>
            <w:r>
              <w:rPr>
                <w:rFonts w:hint="default" w:ascii="Times New Roman" w:hAnsi="Times New Roman" w:eastAsia="宋体" w:cs="Times New Roman"/>
                <w:b w:val="0"/>
                <w:bCs w:val="0"/>
                <w:color w:val="auto"/>
                <w:spacing w:val="0"/>
                <w:w w:val="100"/>
                <w:sz w:val="21"/>
                <w:szCs w:val="21"/>
                <w:vertAlign w:val="baseline"/>
                <w:lang w:val="en-US" w:eastAsia="zh-CN"/>
              </w:rPr>
              <w:t>0</w:t>
            </w:r>
          </w:p>
        </w:tc>
        <w:tc>
          <w:tcPr>
            <w:tcW w:w="1601" w:type="pct"/>
            <w:vMerge w:val="continue"/>
            <w:noWrap w:val="0"/>
            <w:vAlign w:val="top"/>
          </w:tcPr>
          <w:p w14:paraId="1D1DBE30">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777B2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center"/>
          </w:tcPr>
          <w:p w14:paraId="20C98772">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11</w:t>
            </w:r>
          </w:p>
        </w:tc>
        <w:tc>
          <w:tcPr>
            <w:tcW w:w="1422" w:type="pct"/>
            <w:noWrap w:val="0"/>
            <w:vAlign w:val="center"/>
          </w:tcPr>
          <w:p w14:paraId="5938E01B">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阴离子表面活性剂</w:t>
            </w:r>
          </w:p>
        </w:tc>
        <w:tc>
          <w:tcPr>
            <w:tcW w:w="1402" w:type="pct"/>
            <w:noWrap w:val="0"/>
            <w:vAlign w:val="center"/>
          </w:tcPr>
          <w:p w14:paraId="295613D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0.5</w:t>
            </w:r>
          </w:p>
        </w:tc>
        <w:tc>
          <w:tcPr>
            <w:tcW w:w="1601" w:type="pct"/>
            <w:vMerge w:val="continue"/>
            <w:noWrap w:val="0"/>
            <w:vAlign w:val="top"/>
          </w:tcPr>
          <w:p w14:paraId="46EAB13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15002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bottom"/>
          </w:tcPr>
          <w:p w14:paraId="58619B12">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12</w:t>
            </w:r>
          </w:p>
        </w:tc>
        <w:tc>
          <w:tcPr>
            <w:tcW w:w="1422" w:type="pct"/>
            <w:noWrap w:val="0"/>
            <w:vAlign w:val="bottom"/>
          </w:tcPr>
          <w:p w14:paraId="0459A15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粪大肠菌群数（个</w:t>
            </w:r>
            <w:r>
              <w:rPr>
                <w:rFonts w:hint="default" w:ascii="Times New Roman" w:hAnsi="Times New Roman" w:eastAsia="宋体" w:cs="Times New Roman"/>
                <w:b w:val="0"/>
                <w:bCs w:val="0"/>
                <w:color w:val="auto"/>
                <w:spacing w:val="0"/>
                <w:w w:val="100"/>
                <w:sz w:val="21"/>
                <w:szCs w:val="21"/>
                <w:vertAlign w:val="baseline"/>
                <w:lang w:val="en-US" w:eastAsia="en-US"/>
              </w:rPr>
              <w:t>/L）</w:t>
            </w:r>
          </w:p>
        </w:tc>
        <w:tc>
          <w:tcPr>
            <w:tcW w:w="1402" w:type="pct"/>
            <w:noWrap w:val="0"/>
            <w:vAlign w:val="bottom"/>
          </w:tcPr>
          <w:p w14:paraId="5DD91E8F">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1000</w:t>
            </w:r>
          </w:p>
        </w:tc>
        <w:tc>
          <w:tcPr>
            <w:tcW w:w="1601" w:type="pct"/>
            <w:vMerge w:val="continue"/>
            <w:noWrap w:val="0"/>
            <w:vAlign w:val="top"/>
          </w:tcPr>
          <w:p w14:paraId="53C3AC9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0AC5D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bottom"/>
          </w:tcPr>
          <w:p w14:paraId="639C922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13</w:t>
            </w:r>
          </w:p>
        </w:tc>
        <w:tc>
          <w:tcPr>
            <w:tcW w:w="1422" w:type="pct"/>
            <w:noWrap w:val="0"/>
            <w:vAlign w:val="bottom"/>
          </w:tcPr>
          <w:p w14:paraId="1F027A68">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总汞</w:t>
            </w:r>
          </w:p>
        </w:tc>
        <w:tc>
          <w:tcPr>
            <w:tcW w:w="1402" w:type="pct"/>
            <w:noWrap w:val="0"/>
            <w:vAlign w:val="bottom"/>
          </w:tcPr>
          <w:p w14:paraId="72DDA2D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0.001</w:t>
            </w:r>
          </w:p>
        </w:tc>
        <w:tc>
          <w:tcPr>
            <w:tcW w:w="1601" w:type="pct"/>
            <w:vMerge w:val="continue"/>
            <w:noWrap w:val="0"/>
            <w:vAlign w:val="top"/>
          </w:tcPr>
          <w:p w14:paraId="75A8EDDA">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4D94E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bottom"/>
          </w:tcPr>
          <w:p w14:paraId="27976C3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14</w:t>
            </w:r>
          </w:p>
        </w:tc>
        <w:tc>
          <w:tcPr>
            <w:tcW w:w="1422" w:type="pct"/>
            <w:noWrap w:val="0"/>
            <w:vAlign w:val="bottom"/>
          </w:tcPr>
          <w:p w14:paraId="24CA2EE7">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烷基汞</w:t>
            </w:r>
          </w:p>
        </w:tc>
        <w:tc>
          <w:tcPr>
            <w:tcW w:w="1402" w:type="pct"/>
            <w:noWrap w:val="0"/>
            <w:vAlign w:val="bottom"/>
          </w:tcPr>
          <w:p w14:paraId="660C1909">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不得检出</w:t>
            </w:r>
          </w:p>
        </w:tc>
        <w:tc>
          <w:tcPr>
            <w:tcW w:w="1601" w:type="pct"/>
            <w:vMerge w:val="continue"/>
            <w:noWrap w:val="0"/>
            <w:vAlign w:val="top"/>
          </w:tcPr>
          <w:p w14:paraId="633DCE0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276FD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bottom"/>
          </w:tcPr>
          <w:p w14:paraId="0C214824">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15</w:t>
            </w:r>
          </w:p>
        </w:tc>
        <w:tc>
          <w:tcPr>
            <w:tcW w:w="1422" w:type="pct"/>
            <w:noWrap w:val="0"/>
            <w:vAlign w:val="bottom"/>
          </w:tcPr>
          <w:p w14:paraId="4B6451DF">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总镉</w:t>
            </w:r>
          </w:p>
        </w:tc>
        <w:tc>
          <w:tcPr>
            <w:tcW w:w="1402" w:type="pct"/>
            <w:noWrap w:val="0"/>
            <w:vAlign w:val="bottom"/>
          </w:tcPr>
          <w:p w14:paraId="68193EC8">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0.01</w:t>
            </w:r>
          </w:p>
        </w:tc>
        <w:tc>
          <w:tcPr>
            <w:tcW w:w="1601" w:type="pct"/>
            <w:vMerge w:val="continue"/>
            <w:noWrap w:val="0"/>
            <w:vAlign w:val="top"/>
          </w:tcPr>
          <w:p w14:paraId="1C4E27C3">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56AE5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top"/>
          </w:tcPr>
          <w:p w14:paraId="2A71BAB4">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16</w:t>
            </w:r>
          </w:p>
        </w:tc>
        <w:tc>
          <w:tcPr>
            <w:tcW w:w="1422" w:type="pct"/>
            <w:noWrap w:val="0"/>
            <w:vAlign w:val="top"/>
          </w:tcPr>
          <w:p w14:paraId="29F95EF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总铬</w:t>
            </w:r>
          </w:p>
        </w:tc>
        <w:tc>
          <w:tcPr>
            <w:tcW w:w="1402" w:type="pct"/>
            <w:noWrap w:val="0"/>
            <w:vAlign w:val="top"/>
          </w:tcPr>
          <w:p w14:paraId="1CCA7B45">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w:t>
            </w:r>
            <w:r>
              <w:rPr>
                <w:rFonts w:hint="default" w:ascii="Times New Roman" w:hAnsi="Times New Roman" w:eastAsia="宋体" w:cs="Times New Roman"/>
                <w:b w:val="0"/>
                <w:bCs w:val="0"/>
                <w:color w:val="auto"/>
                <w:spacing w:val="0"/>
                <w:w w:val="100"/>
                <w:sz w:val="21"/>
                <w:szCs w:val="21"/>
                <w:vertAlign w:val="baseline"/>
                <w:lang w:val="en-US" w:eastAsia="zh-CN"/>
              </w:rPr>
              <w:t>1</w:t>
            </w:r>
          </w:p>
        </w:tc>
        <w:tc>
          <w:tcPr>
            <w:tcW w:w="1601" w:type="pct"/>
            <w:vMerge w:val="continue"/>
            <w:noWrap w:val="0"/>
            <w:vAlign w:val="top"/>
          </w:tcPr>
          <w:p w14:paraId="789C072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6EF76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bottom"/>
          </w:tcPr>
          <w:p w14:paraId="2A11332F">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17</w:t>
            </w:r>
          </w:p>
        </w:tc>
        <w:tc>
          <w:tcPr>
            <w:tcW w:w="1422" w:type="pct"/>
            <w:noWrap w:val="0"/>
            <w:vAlign w:val="bottom"/>
          </w:tcPr>
          <w:p w14:paraId="41B730E6">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六价铬</w:t>
            </w:r>
          </w:p>
        </w:tc>
        <w:tc>
          <w:tcPr>
            <w:tcW w:w="1402" w:type="pct"/>
            <w:noWrap w:val="0"/>
            <w:vAlign w:val="bottom"/>
          </w:tcPr>
          <w:p w14:paraId="7675E46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w:t>
            </w:r>
            <w:r>
              <w:rPr>
                <w:rFonts w:hint="default" w:ascii="Times New Roman" w:hAnsi="Times New Roman" w:eastAsia="宋体" w:cs="Times New Roman"/>
                <w:b w:val="0"/>
                <w:bCs w:val="0"/>
                <w:color w:val="auto"/>
                <w:spacing w:val="0"/>
                <w:w w:val="100"/>
                <w:sz w:val="21"/>
                <w:szCs w:val="21"/>
                <w:vertAlign w:val="baseline"/>
                <w:lang w:val="en-US" w:eastAsia="zh-CN"/>
              </w:rPr>
              <w:t>05</w:t>
            </w:r>
          </w:p>
        </w:tc>
        <w:tc>
          <w:tcPr>
            <w:tcW w:w="1601" w:type="pct"/>
            <w:vMerge w:val="continue"/>
            <w:noWrap w:val="0"/>
            <w:vAlign w:val="top"/>
          </w:tcPr>
          <w:p w14:paraId="36077AF6">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4A225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bottom"/>
          </w:tcPr>
          <w:p w14:paraId="74D83AB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18</w:t>
            </w:r>
          </w:p>
        </w:tc>
        <w:tc>
          <w:tcPr>
            <w:tcW w:w="1422" w:type="pct"/>
            <w:noWrap w:val="0"/>
            <w:vAlign w:val="bottom"/>
          </w:tcPr>
          <w:p w14:paraId="21D4C8BA">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总砷</w:t>
            </w:r>
          </w:p>
        </w:tc>
        <w:tc>
          <w:tcPr>
            <w:tcW w:w="1402" w:type="pct"/>
            <w:noWrap w:val="0"/>
            <w:vAlign w:val="bottom"/>
          </w:tcPr>
          <w:p w14:paraId="08E66878">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w:t>
            </w:r>
            <w:r>
              <w:rPr>
                <w:rFonts w:hint="default" w:ascii="Times New Roman" w:hAnsi="Times New Roman" w:eastAsia="宋体" w:cs="Times New Roman"/>
                <w:b w:val="0"/>
                <w:bCs w:val="0"/>
                <w:color w:val="auto"/>
                <w:spacing w:val="0"/>
                <w:w w:val="100"/>
                <w:sz w:val="21"/>
                <w:szCs w:val="21"/>
                <w:vertAlign w:val="baseline"/>
                <w:lang w:val="en-US" w:eastAsia="zh-CN"/>
              </w:rPr>
              <w:t>1</w:t>
            </w:r>
          </w:p>
        </w:tc>
        <w:tc>
          <w:tcPr>
            <w:tcW w:w="1601" w:type="pct"/>
            <w:vMerge w:val="continue"/>
            <w:noWrap w:val="0"/>
            <w:vAlign w:val="top"/>
          </w:tcPr>
          <w:p w14:paraId="3A11FEE2">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7C5C5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73" w:type="pct"/>
            <w:noWrap w:val="0"/>
            <w:vAlign w:val="center"/>
          </w:tcPr>
          <w:p w14:paraId="41DFE21D">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19</w:t>
            </w:r>
          </w:p>
        </w:tc>
        <w:tc>
          <w:tcPr>
            <w:tcW w:w="1422" w:type="pct"/>
            <w:noWrap w:val="0"/>
            <w:vAlign w:val="center"/>
          </w:tcPr>
          <w:p w14:paraId="51279BE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总铅</w:t>
            </w:r>
          </w:p>
        </w:tc>
        <w:tc>
          <w:tcPr>
            <w:tcW w:w="1402" w:type="pct"/>
            <w:noWrap w:val="0"/>
            <w:vAlign w:val="center"/>
          </w:tcPr>
          <w:p w14:paraId="130CF39C">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en-US"/>
              </w:rPr>
              <w:t>0.</w:t>
            </w:r>
            <w:r>
              <w:rPr>
                <w:rFonts w:hint="default" w:ascii="Times New Roman" w:hAnsi="Times New Roman" w:eastAsia="宋体" w:cs="Times New Roman"/>
                <w:b w:val="0"/>
                <w:bCs w:val="0"/>
                <w:color w:val="auto"/>
                <w:spacing w:val="0"/>
                <w:w w:val="100"/>
                <w:sz w:val="21"/>
                <w:szCs w:val="21"/>
                <w:vertAlign w:val="baseline"/>
                <w:lang w:val="en-US" w:eastAsia="zh-CN"/>
              </w:rPr>
              <w:t>1</w:t>
            </w:r>
          </w:p>
        </w:tc>
        <w:tc>
          <w:tcPr>
            <w:tcW w:w="1601" w:type="pct"/>
            <w:vMerge w:val="continue"/>
            <w:noWrap w:val="0"/>
            <w:vAlign w:val="top"/>
          </w:tcPr>
          <w:p w14:paraId="1954028E">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p>
        </w:tc>
      </w:tr>
      <w:tr w14:paraId="3BB82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5000" w:type="pct"/>
            <w:gridSpan w:val="4"/>
            <w:noWrap w:val="0"/>
            <w:vAlign w:val="center"/>
          </w:tcPr>
          <w:p w14:paraId="253984F0">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b w:val="0"/>
                <w:bCs w:val="0"/>
                <w:color w:val="auto"/>
                <w:spacing w:val="0"/>
                <w:w w:val="100"/>
                <w:sz w:val="21"/>
                <w:szCs w:val="21"/>
                <w:vertAlign w:val="baseline"/>
                <w:lang w:val="en-US" w:eastAsia="zh-CN"/>
              </w:rPr>
            </w:pPr>
            <w:r>
              <w:rPr>
                <w:rFonts w:hint="default" w:ascii="Times New Roman" w:hAnsi="Times New Roman" w:eastAsia="宋体" w:cs="Times New Roman"/>
                <w:b w:val="0"/>
                <w:bCs w:val="0"/>
                <w:color w:val="auto"/>
                <w:spacing w:val="0"/>
                <w:w w:val="100"/>
                <w:sz w:val="21"/>
                <w:szCs w:val="21"/>
                <w:vertAlign w:val="baseline"/>
                <w:lang w:val="en-US" w:eastAsia="zh-CN"/>
              </w:rPr>
              <w:t>注1：括号外数值为水温</w:t>
            </w:r>
            <w:r>
              <w:rPr>
                <w:rFonts w:hint="default" w:ascii="Times New Roman" w:hAnsi="Times New Roman" w:eastAsia="宋体" w:cs="Times New Roman"/>
                <w:b w:val="0"/>
                <w:bCs w:val="0"/>
                <w:color w:val="auto"/>
                <w:spacing w:val="0"/>
                <w:w w:val="100"/>
                <w:sz w:val="21"/>
                <w:szCs w:val="21"/>
                <w:highlight w:val="none"/>
                <w:vertAlign w:val="baseline"/>
                <w:lang w:val="en-US" w:eastAsia="en-US"/>
              </w:rPr>
              <w:t>&gt;</w:t>
            </w:r>
            <w:r>
              <w:rPr>
                <w:rFonts w:hint="default" w:ascii="Times New Roman" w:hAnsi="Times New Roman" w:eastAsia="宋体" w:cs="Times New Roman"/>
                <w:b w:val="0"/>
                <w:bCs w:val="0"/>
                <w:color w:val="auto"/>
                <w:spacing w:val="0"/>
                <w:w w:val="100"/>
                <w:sz w:val="21"/>
                <w:szCs w:val="21"/>
                <w:vertAlign w:val="baseline"/>
                <w:lang w:val="en-US" w:eastAsia="en-US"/>
              </w:rPr>
              <w:t>12</w:t>
            </w:r>
            <w:r>
              <w:rPr>
                <w:rFonts w:hint="default" w:ascii="Times New Roman" w:hAnsi="Times New Roman" w:eastAsia="宋体" w:cs="Times New Roman"/>
                <w:b w:val="0"/>
                <w:bCs w:val="0"/>
                <w:color w:val="auto"/>
                <w:spacing w:val="0"/>
                <w:w w:val="100"/>
                <w:sz w:val="21"/>
                <w:szCs w:val="21"/>
                <w:vertAlign w:val="baseline"/>
                <w:lang w:val="en-US" w:eastAsia="zh-CN"/>
              </w:rPr>
              <w:t>℃时的控制指标，括号内数值为水温≤12℃时的控制指标；</w:t>
            </w:r>
          </w:p>
          <w:p w14:paraId="5854E8C9">
            <w:pPr>
              <w:keepNext w:val="0"/>
              <w:keepLines w:val="0"/>
              <w:pageBreakBefore w:val="0"/>
              <w:widowControl w:val="0"/>
              <w:suppressLineNumbers w:val="0"/>
              <w:tabs>
                <w:tab w:val="left" w:pos="2205"/>
              </w:tabs>
              <w:kinsoku/>
              <w:wordWrap/>
              <w:overflowPunct/>
              <w:topLinePunct w:val="0"/>
              <w:autoSpaceDE/>
              <w:autoSpaceDN/>
              <w:bidi w:val="0"/>
              <w:adjustRightInd/>
              <w:snapToGrid w:val="0"/>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vertAlign w:val="baseline"/>
                <w:lang w:val="en-US" w:eastAsia="zh-CN"/>
              </w:rPr>
              <w:t>注2：污染物排放监测位置：污水处理厂废水总排放口。</w:t>
            </w:r>
          </w:p>
        </w:tc>
      </w:tr>
    </w:tbl>
    <w:p w14:paraId="4664C0F5">
      <w:pPr>
        <w:widowControl w:val="0"/>
        <w:spacing w:before="120" w:beforeLines="50" w:after="120" w:afterLines="50" w:line="240" w:lineRule="auto"/>
        <w:ind w:firstLine="0" w:firstLineChars="0"/>
        <w:jc w:val="both"/>
        <w:outlineLvl w:val="1"/>
        <w:rPr>
          <w:rFonts w:hint="default" w:ascii="Times New Roman" w:hAnsi="Times New Roman" w:eastAsia="宋体" w:cs="Times New Roman"/>
          <w:b/>
          <w:color w:val="auto"/>
          <w:spacing w:val="0"/>
          <w:w w:val="100"/>
          <w:kern w:val="2"/>
          <w:sz w:val="28"/>
          <w:szCs w:val="28"/>
          <w:lang w:val="en-US" w:eastAsia="zh-CN" w:bidi="ar-SA"/>
        </w:rPr>
      </w:pPr>
      <w:bookmarkStart w:id="32" w:name="_Toc22942"/>
      <w:r>
        <w:rPr>
          <w:rFonts w:hint="default" w:ascii="Times New Roman" w:hAnsi="Times New Roman" w:eastAsia="宋体" w:cs="Times New Roman"/>
          <w:b/>
          <w:color w:val="auto"/>
          <w:spacing w:val="0"/>
          <w:w w:val="100"/>
          <w:kern w:val="2"/>
          <w:sz w:val="28"/>
          <w:szCs w:val="28"/>
          <w:lang w:val="en-US" w:eastAsia="zh-CN" w:bidi="ar-SA"/>
        </w:rPr>
        <w:t>1.3评价</w:t>
      </w:r>
      <w:bookmarkEnd w:id="32"/>
      <w:r>
        <w:rPr>
          <w:rFonts w:hint="default" w:ascii="Times New Roman" w:hAnsi="Times New Roman" w:eastAsia="宋体" w:cs="Times New Roman"/>
          <w:b/>
          <w:color w:val="auto"/>
          <w:spacing w:val="0"/>
          <w:w w:val="100"/>
          <w:kern w:val="2"/>
          <w:sz w:val="28"/>
          <w:szCs w:val="28"/>
          <w:lang w:val="en-US" w:eastAsia="zh-CN" w:bidi="ar-SA"/>
        </w:rPr>
        <w:t>等级</w:t>
      </w:r>
    </w:p>
    <w:p w14:paraId="506538AF">
      <w:pPr>
        <w:keepNext w:val="0"/>
        <w:keepLines w:val="0"/>
        <w:pageBreakBefore w:val="0"/>
        <w:kinsoku/>
        <w:wordWrap/>
        <w:overflowPunct/>
        <w:topLinePunct w:val="0"/>
        <w:autoSpaceDE/>
        <w:autoSpaceDN/>
        <w:bidi w:val="0"/>
        <w:adjustRightInd/>
        <w:snapToGrid w:val="0"/>
        <w:spacing w:line="460" w:lineRule="exact"/>
        <w:ind w:left="0" w:leftChars="0" w:firstLine="480" w:firstLineChars="200"/>
        <w:textAlignment w:val="auto"/>
        <w:rPr>
          <w:rFonts w:hint="default" w:ascii="Times New Roman" w:hAnsi="Times New Roman" w:eastAsia="宋体" w:cs="Times New Roman"/>
          <w:color w:val="auto"/>
          <w:spacing w:val="0"/>
          <w:w w:val="100"/>
          <w:sz w:val="24"/>
          <w:szCs w:val="24"/>
          <w:highlight w:val="none"/>
          <w:lang w:val="en-US" w:eastAsia="zh-CN"/>
        </w:rPr>
      </w:pPr>
      <w:r>
        <w:rPr>
          <w:rFonts w:hint="default" w:ascii="Times New Roman" w:hAnsi="Times New Roman" w:eastAsia="宋体" w:cs="Times New Roman"/>
          <w:color w:val="auto"/>
          <w:spacing w:val="0"/>
          <w:w w:val="100"/>
          <w:sz w:val="24"/>
          <w:szCs w:val="24"/>
          <w:highlight w:val="none"/>
          <w:lang w:val="zh-CN" w:eastAsia="zh-CN"/>
        </w:rPr>
        <w:t>根据《环境影响评价技术导则 地表水环境》</w:t>
      </w:r>
      <w:r>
        <w:rPr>
          <w:rFonts w:hint="eastAsia" w:ascii="Times New Roman" w:hAnsi="Times New Roman" w:eastAsia="宋体" w:cs="Times New Roman"/>
          <w:color w:val="auto"/>
          <w:spacing w:val="0"/>
          <w:w w:val="100"/>
          <w:sz w:val="24"/>
          <w:szCs w:val="24"/>
          <w:highlight w:val="none"/>
          <w:lang w:val="zh-CN" w:eastAsia="zh-CN"/>
        </w:rPr>
        <w:t>（</w:t>
      </w:r>
      <w:r>
        <w:rPr>
          <w:rFonts w:hint="default" w:ascii="Times New Roman" w:hAnsi="Times New Roman" w:eastAsia="宋体" w:cs="Times New Roman"/>
          <w:color w:val="auto"/>
          <w:spacing w:val="0"/>
          <w:w w:val="100"/>
          <w:sz w:val="24"/>
          <w:szCs w:val="24"/>
          <w:highlight w:val="none"/>
          <w:lang w:val="zh-CN" w:eastAsia="zh-CN"/>
        </w:rPr>
        <w:t>HJ2.3-2018</w:t>
      </w:r>
      <w:r>
        <w:rPr>
          <w:rFonts w:hint="eastAsia" w:ascii="Times New Roman" w:hAnsi="Times New Roman" w:eastAsia="宋体" w:cs="Times New Roman"/>
          <w:color w:val="auto"/>
          <w:spacing w:val="0"/>
          <w:w w:val="100"/>
          <w:sz w:val="24"/>
          <w:szCs w:val="24"/>
          <w:highlight w:val="none"/>
          <w:lang w:val="zh-CN" w:eastAsia="zh-CN"/>
        </w:rPr>
        <w:t>）</w:t>
      </w:r>
      <w:r>
        <w:rPr>
          <w:rFonts w:hint="default" w:ascii="Times New Roman" w:hAnsi="Times New Roman" w:eastAsia="宋体" w:cs="Times New Roman"/>
          <w:color w:val="auto"/>
          <w:spacing w:val="0"/>
          <w:w w:val="100"/>
          <w:sz w:val="24"/>
          <w:szCs w:val="24"/>
          <w:highlight w:val="none"/>
          <w:lang w:val="zh-CN" w:eastAsia="zh-CN"/>
        </w:rPr>
        <w:t>中 5.2.2“水污染影响型建设项目根据排放方式和废水排放量划分评价等级”，水污染影响型建设项目评价等级判定表见下表</w:t>
      </w:r>
      <w:r>
        <w:rPr>
          <w:rFonts w:hint="default" w:ascii="Times New Roman" w:hAnsi="Times New Roman" w:eastAsia="宋体" w:cs="Times New Roman"/>
          <w:color w:val="auto"/>
          <w:spacing w:val="0"/>
          <w:w w:val="100"/>
          <w:sz w:val="24"/>
          <w:szCs w:val="24"/>
          <w:highlight w:val="none"/>
          <w:lang w:val="en-US" w:eastAsia="zh-CN"/>
        </w:rPr>
        <w:t>1-3</w:t>
      </w:r>
      <w:r>
        <w:rPr>
          <w:rFonts w:hint="default" w:ascii="Times New Roman" w:hAnsi="Times New Roman" w:eastAsia="宋体" w:cs="Times New Roman"/>
          <w:color w:val="auto"/>
          <w:spacing w:val="0"/>
          <w:w w:val="100"/>
          <w:sz w:val="24"/>
          <w:szCs w:val="24"/>
          <w:highlight w:val="none"/>
          <w:lang w:val="zh-CN" w:eastAsia="zh-CN"/>
        </w:rPr>
        <w:t>。</w:t>
      </w:r>
    </w:p>
    <w:p w14:paraId="299A4C59">
      <w:pPr>
        <w:shd w:val="clear" w:color="auto" w:fill="FFFFFF"/>
        <w:adjustRightInd w:val="0"/>
        <w:snapToGrid w:val="0"/>
        <w:spacing w:line="440" w:lineRule="exact"/>
        <w:jc w:val="center"/>
        <w:rPr>
          <w:rFonts w:hint="default" w:ascii="Times New Roman" w:hAnsi="Times New Roman" w:eastAsia="宋体" w:cs="Times New Roman"/>
          <w:b/>
          <w:bCs/>
          <w:color w:val="auto"/>
          <w:spacing w:val="0"/>
          <w:w w:val="100"/>
          <w:sz w:val="24"/>
          <w:szCs w:val="24"/>
        </w:rPr>
      </w:pPr>
      <w:r>
        <w:rPr>
          <w:rFonts w:hint="default" w:ascii="Times New Roman" w:hAnsi="Times New Roman" w:eastAsia="宋体" w:cs="Times New Roman"/>
          <w:b/>
          <w:bCs/>
          <w:color w:val="auto"/>
          <w:spacing w:val="0"/>
          <w:w w:val="100"/>
          <w:sz w:val="24"/>
          <w:szCs w:val="24"/>
        </w:rPr>
        <w:t>表</w:t>
      </w:r>
      <w:r>
        <w:rPr>
          <w:rFonts w:hint="default" w:ascii="Times New Roman" w:hAnsi="Times New Roman" w:eastAsia="宋体" w:cs="Times New Roman"/>
          <w:b/>
          <w:bCs/>
          <w:color w:val="auto"/>
          <w:spacing w:val="0"/>
          <w:w w:val="100"/>
          <w:sz w:val="24"/>
          <w:szCs w:val="24"/>
          <w:lang w:val="en-US" w:eastAsia="zh-CN"/>
        </w:rPr>
        <w:t>1-3</w:t>
      </w:r>
      <w:r>
        <w:rPr>
          <w:rFonts w:hint="default" w:ascii="Times New Roman" w:hAnsi="Times New Roman" w:eastAsia="宋体" w:cs="Times New Roman"/>
          <w:b/>
          <w:bCs/>
          <w:color w:val="auto"/>
          <w:spacing w:val="0"/>
          <w:w w:val="100"/>
          <w:sz w:val="24"/>
          <w:szCs w:val="24"/>
        </w:rPr>
        <w:t xml:space="preserve">  水污染影响型建设项目评价等级判定</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499"/>
        <w:gridCol w:w="5316"/>
      </w:tblGrid>
      <w:tr w14:paraId="4BFE8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vMerge w:val="restart"/>
            <w:noWrap w:val="0"/>
            <w:vAlign w:val="center"/>
          </w:tcPr>
          <w:p w14:paraId="7D1177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评价等级</w:t>
            </w:r>
          </w:p>
        </w:tc>
        <w:tc>
          <w:tcPr>
            <w:tcW w:w="3999" w:type="pct"/>
            <w:gridSpan w:val="2"/>
            <w:noWrap w:val="0"/>
            <w:vAlign w:val="center"/>
          </w:tcPr>
          <w:p w14:paraId="390C6A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判定依据</w:t>
            </w:r>
          </w:p>
        </w:tc>
      </w:tr>
      <w:tr w14:paraId="0C59C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vMerge w:val="continue"/>
            <w:noWrap w:val="0"/>
            <w:vAlign w:val="center"/>
          </w:tcPr>
          <w:p w14:paraId="3BF85A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p>
        </w:tc>
        <w:tc>
          <w:tcPr>
            <w:tcW w:w="880" w:type="pct"/>
            <w:noWrap w:val="0"/>
            <w:vAlign w:val="center"/>
          </w:tcPr>
          <w:p w14:paraId="55E178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排放方式</w:t>
            </w:r>
          </w:p>
        </w:tc>
        <w:tc>
          <w:tcPr>
            <w:tcW w:w="3119" w:type="pct"/>
            <w:noWrap w:val="0"/>
            <w:vAlign w:val="center"/>
          </w:tcPr>
          <w:p w14:paraId="0839A7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废水排放量Q（m</w:t>
            </w:r>
            <w:r>
              <w:rPr>
                <w:rFonts w:hint="default" w:ascii="Times New Roman" w:hAnsi="Times New Roman" w:eastAsia="宋体" w:cs="Times New Roman"/>
                <w:b w:val="0"/>
                <w:bCs w:val="0"/>
                <w:color w:val="auto"/>
                <w:spacing w:val="0"/>
                <w:w w:val="100"/>
                <w:kern w:val="2"/>
                <w:sz w:val="21"/>
                <w:szCs w:val="21"/>
                <w:vertAlign w:val="superscript"/>
                <w:lang w:val="en-US" w:eastAsia="zh-CN" w:bidi="ar-SA"/>
              </w:rPr>
              <w:t>3</w:t>
            </w:r>
            <w:r>
              <w:rPr>
                <w:rFonts w:hint="default" w:ascii="Times New Roman" w:hAnsi="Times New Roman" w:eastAsia="宋体" w:cs="Times New Roman"/>
                <w:b w:val="0"/>
                <w:bCs w:val="0"/>
                <w:color w:val="auto"/>
                <w:spacing w:val="0"/>
                <w:w w:val="100"/>
                <w:kern w:val="2"/>
                <w:sz w:val="21"/>
                <w:szCs w:val="21"/>
                <w:lang w:val="en-US" w:eastAsia="zh-CN" w:bidi="ar-SA"/>
              </w:rPr>
              <w:t>/d）；水污染物当量数W/（无量纲）</w:t>
            </w:r>
          </w:p>
        </w:tc>
      </w:tr>
      <w:tr w14:paraId="0BA28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noWrap w:val="0"/>
            <w:vAlign w:val="center"/>
          </w:tcPr>
          <w:p w14:paraId="0935D5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一级</w:t>
            </w:r>
          </w:p>
        </w:tc>
        <w:tc>
          <w:tcPr>
            <w:tcW w:w="880" w:type="pct"/>
            <w:noWrap w:val="0"/>
            <w:vAlign w:val="center"/>
          </w:tcPr>
          <w:p w14:paraId="2C6BA7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直接排放</w:t>
            </w:r>
          </w:p>
        </w:tc>
        <w:tc>
          <w:tcPr>
            <w:tcW w:w="3119" w:type="pct"/>
            <w:noWrap w:val="0"/>
            <w:vAlign w:val="center"/>
          </w:tcPr>
          <w:p w14:paraId="04D3C1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Q≥20000或W≥600000</w:t>
            </w:r>
          </w:p>
        </w:tc>
      </w:tr>
      <w:tr w14:paraId="4DD07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noWrap w:val="0"/>
            <w:vAlign w:val="center"/>
          </w:tcPr>
          <w:p w14:paraId="478C70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二级</w:t>
            </w:r>
          </w:p>
        </w:tc>
        <w:tc>
          <w:tcPr>
            <w:tcW w:w="880" w:type="pct"/>
            <w:noWrap w:val="0"/>
            <w:vAlign w:val="center"/>
          </w:tcPr>
          <w:p w14:paraId="5DE11B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直接排放</w:t>
            </w:r>
          </w:p>
        </w:tc>
        <w:tc>
          <w:tcPr>
            <w:tcW w:w="3119" w:type="pct"/>
            <w:noWrap w:val="0"/>
            <w:vAlign w:val="center"/>
          </w:tcPr>
          <w:p w14:paraId="478A39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其他</w:t>
            </w:r>
          </w:p>
        </w:tc>
      </w:tr>
      <w:tr w14:paraId="3A666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noWrap w:val="0"/>
            <w:vAlign w:val="center"/>
          </w:tcPr>
          <w:p w14:paraId="6238E1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三级A</w:t>
            </w:r>
          </w:p>
        </w:tc>
        <w:tc>
          <w:tcPr>
            <w:tcW w:w="880" w:type="pct"/>
            <w:noWrap w:val="0"/>
            <w:vAlign w:val="center"/>
          </w:tcPr>
          <w:p w14:paraId="73E07F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直接排放</w:t>
            </w:r>
          </w:p>
        </w:tc>
        <w:tc>
          <w:tcPr>
            <w:tcW w:w="3119" w:type="pct"/>
            <w:noWrap w:val="0"/>
            <w:vAlign w:val="center"/>
          </w:tcPr>
          <w:p w14:paraId="0E74D0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Q﹤200且W﹤6000</w:t>
            </w:r>
          </w:p>
        </w:tc>
      </w:tr>
      <w:tr w14:paraId="7E9F4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noWrap w:val="0"/>
            <w:vAlign w:val="center"/>
          </w:tcPr>
          <w:p w14:paraId="54FC68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三级B</w:t>
            </w:r>
          </w:p>
        </w:tc>
        <w:tc>
          <w:tcPr>
            <w:tcW w:w="880" w:type="pct"/>
            <w:noWrap w:val="0"/>
            <w:vAlign w:val="center"/>
          </w:tcPr>
          <w:p w14:paraId="2D88A8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间接排放</w:t>
            </w:r>
          </w:p>
        </w:tc>
        <w:tc>
          <w:tcPr>
            <w:tcW w:w="3119" w:type="pct"/>
            <w:noWrap w:val="0"/>
            <w:vAlign w:val="center"/>
          </w:tcPr>
          <w:p w14:paraId="0D274C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w:t>
            </w:r>
          </w:p>
        </w:tc>
      </w:tr>
      <w:tr w14:paraId="17F50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3"/>
            <w:noWrap w:val="0"/>
            <w:vAlign w:val="center"/>
          </w:tcPr>
          <w:p w14:paraId="24059F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firstLine="0" w:firstLineChars="0"/>
              <w:jc w:val="left"/>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注1：水污染物当量数等于该污染物的年排放量除以该污染物的污染当量值见《环境影响评价技术导则 地面水环境》</w:t>
            </w:r>
            <w:r>
              <w:rPr>
                <w:rFonts w:hint="eastAsia" w:ascii="Times New Roman" w:hAnsi="Times New Roman" w:eastAsia="宋体" w:cs="Times New Roman"/>
                <w:b w:val="0"/>
                <w:bCs w:val="0"/>
                <w:color w:val="auto"/>
                <w:spacing w:val="0"/>
                <w:w w:val="100"/>
                <w:kern w:val="2"/>
                <w:sz w:val="21"/>
                <w:szCs w:val="21"/>
                <w:lang w:val="en-US" w:eastAsia="zh-CN" w:bidi="ar-SA"/>
              </w:rPr>
              <w:t>（</w:t>
            </w:r>
            <w:r>
              <w:rPr>
                <w:rFonts w:hint="default" w:ascii="Times New Roman" w:hAnsi="Times New Roman" w:eastAsia="宋体" w:cs="Times New Roman"/>
                <w:b w:val="0"/>
                <w:bCs w:val="0"/>
                <w:color w:val="auto"/>
                <w:spacing w:val="0"/>
                <w:w w:val="100"/>
                <w:kern w:val="2"/>
                <w:sz w:val="21"/>
                <w:szCs w:val="21"/>
                <w:lang w:val="en-US" w:eastAsia="zh-CN" w:bidi="ar-SA"/>
              </w:rPr>
              <w:t>HJ2.3-2018</w:t>
            </w:r>
            <w:r>
              <w:rPr>
                <w:rFonts w:hint="eastAsia" w:ascii="Times New Roman" w:hAnsi="Times New Roman" w:eastAsia="宋体" w:cs="Times New Roman"/>
                <w:b w:val="0"/>
                <w:bCs w:val="0"/>
                <w:color w:val="auto"/>
                <w:spacing w:val="0"/>
                <w:w w:val="100"/>
                <w:kern w:val="2"/>
                <w:sz w:val="21"/>
                <w:szCs w:val="21"/>
                <w:lang w:val="en-US" w:eastAsia="zh-CN" w:bidi="ar-SA"/>
              </w:rPr>
              <w:t>）</w:t>
            </w:r>
            <w:r>
              <w:rPr>
                <w:rFonts w:hint="default" w:ascii="Times New Roman" w:hAnsi="Times New Roman" w:eastAsia="宋体" w:cs="Times New Roman"/>
                <w:b w:val="0"/>
                <w:bCs w:val="0"/>
                <w:color w:val="auto"/>
                <w:spacing w:val="0"/>
                <w:w w:val="100"/>
                <w:kern w:val="2"/>
                <w:sz w:val="21"/>
                <w:szCs w:val="21"/>
                <w:lang w:val="en-US" w:eastAsia="zh-CN" w:bidi="ar-SA"/>
              </w:rPr>
              <w:t>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0CCB7C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firstLine="0" w:firstLineChars="0"/>
              <w:jc w:val="left"/>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1E55FB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firstLine="0" w:firstLineChars="0"/>
              <w:jc w:val="left"/>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注3：厂区存在堆积物（露天堆放的原料、燃料、废渣等以及垃圾堆放场）、降尘污染的，应将初期雨污水纳入废水排放量，相应的主要污染物纳入水污染当量计算。</w:t>
            </w:r>
          </w:p>
          <w:p w14:paraId="7DB1AC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firstLine="0" w:firstLineChars="0"/>
              <w:jc w:val="left"/>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注4：建设项目直接排放第一类污染物的，其评价等级为一级；建设项目直接排放的污染物为受纳水体超标因子的，评价等级不低于二级。</w:t>
            </w:r>
          </w:p>
          <w:p w14:paraId="1D2F5E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firstLine="0" w:firstLineChars="0"/>
              <w:jc w:val="left"/>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注5：直接排放受纳水体影响范围涉及饮用水水源保护区、饮用水取水口、重点保护与珍稀水生生物的栖息地、重要水生生物的自然产卵场等保护目标时，评价等级不低于二级。</w:t>
            </w:r>
          </w:p>
          <w:p w14:paraId="331F2C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firstLine="0" w:firstLineChars="0"/>
              <w:jc w:val="left"/>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注6：建设项目向河流、湖库排放温排水引起受纳水体水温变化超过水环境质量标准要求，且评价范围有水温敏感目标时，评价等级为一级。</w:t>
            </w:r>
          </w:p>
          <w:p w14:paraId="3F40B4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firstLine="0" w:firstLineChars="0"/>
              <w:jc w:val="left"/>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注7：建设项目利用海水作为调节温度介质，排水量≥500万m</w:t>
            </w:r>
            <w:r>
              <w:rPr>
                <w:rFonts w:hint="default" w:ascii="Times New Roman" w:hAnsi="Times New Roman" w:eastAsia="宋体" w:cs="Times New Roman"/>
                <w:b w:val="0"/>
                <w:bCs w:val="0"/>
                <w:color w:val="auto"/>
                <w:spacing w:val="0"/>
                <w:w w:val="100"/>
                <w:kern w:val="2"/>
                <w:sz w:val="21"/>
                <w:szCs w:val="21"/>
                <w:vertAlign w:val="superscript"/>
                <w:lang w:val="en-US" w:eastAsia="zh-CN" w:bidi="ar-SA"/>
              </w:rPr>
              <w:t>3</w:t>
            </w:r>
            <w:r>
              <w:rPr>
                <w:rFonts w:hint="default" w:ascii="Times New Roman" w:hAnsi="Times New Roman" w:eastAsia="宋体" w:cs="Times New Roman"/>
                <w:b w:val="0"/>
                <w:bCs w:val="0"/>
                <w:color w:val="auto"/>
                <w:spacing w:val="0"/>
                <w:w w:val="100"/>
                <w:kern w:val="2"/>
                <w:sz w:val="21"/>
                <w:szCs w:val="21"/>
                <w:lang w:val="en-US" w:eastAsia="zh-CN" w:bidi="ar-SA"/>
              </w:rPr>
              <w:t>/d，评价等级为一级；排水量＜500万m</w:t>
            </w:r>
            <w:r>
              <w:rPr>
                <w:rFonts w:hint="default" w:ascii="Times New Roman" w:hAnsi="Times New Roman" w:eastAsia="宋体" w:cs="Times New Roman"/>
                <w:b w:val="0"/>
                <w:bCs w:val="0"/>
                <w:color w:val="auto"/>
                <w:spacing w:val="0"/>
                <w:w w:val="100"/>
                <w:kern w:val="2"/>
                <w:sz w:val="21"/>
                <w:szCs w:val="21"/>
                <w:vertAlign w:val="superscript"/>
                <w:lang w:val="en-US" w:eastAsia="zh-CN" w:bidi="ar-SA"/>
              </w:rPr>
              <w:t>3</w:t>
            </w:r>
            <w:r>
              <w:rPr>
                <w:rFonts w:hint="default" w:ascii="Times New Roman" w:hAnsi="Times New Roman" w:eastAsia="宋体" w:cs="Times New Roman"/>
                <w:b w:val="0"/>
                <w:bCs w:val="0"/>
                <w:color w:val="auto"/>
                <w:spacing w:val="0"/>
                <w:w w:val="100"/>
                <w:kern w:val="2"/>
                <w:sz w:val="21"/>
                <w:szCs w:val="21"/>
                <w:lang w:val="en-US" w:eastAsia="zh-CN" w:bidi="ar-SA"/>
              </w:rPr>
              <w:t>/d，评价等级为二级。</w:t>
            </w:r>
          </w:p>
          <w:p w14:paraId="344B2B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firstLine="0" w:firstLineChars="0"/>
              <w:jc w:val="left"/>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注8：仅涉及清净下水排放的，如其排放水质满足受纳水体水环境质量标准要求的，评价等级为三级A。</w:t>
            </w:r>
          </w:p>
          <w:p w14:paraId="07D76F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firstLine="0" w:firstLineChars="0"/>
              <w:jc w:val="left"/>
              <w:textAlignment w:val="auto"/>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注9：依托现有排放口，且对外环境未新增排放污染物的直接排放建设项目，评价等级参照间接排放，定为三级B。</w:t>
            </w:r>
          </w:p>
          <w:p w14:paraId="0FC5FF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firstLine="0" w:firstLineChars="0"/>
              <w:jc w:val="left"/>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kern w:val="2"/>
                <w:sz w:val="21"/>
                <w:szCs w:val="21"/>
                <w:lang w:val="en-US" w:eastAsia="zh-CN" w:bidi="ar-SA"/>
              </w:rPr>
              <w:t>注10：建设项目生产工艺中有废水产生，但作为回水利用，不排放到外环境的，按三级B评价。</w:t>
            </w:r>
          </w:p>
        </w:tc>
      </w:tr>
    </w:tbl>
    <w:p w14:paraId="33DA1F3A">
      <w:pPr>
        <w:keepNext w:val="0"/>
        <w:keepLines w:val="0"/>
        <w:pageBreakBefore w:val="0"/>
        <w:kinsoku/>
        <w:wordWrap/>
        <w:overflowPunct/>
        <w:topLinePunct w:val="0"/>
        <w:autoSpaceDE/>
        <w:autoSpaceDN/>
        <w:bidi w:val="0"/>
        <w:adjustRightInd/>
        <w:snapToGrid w:val="0"/>
        <w:spacing w:line="460" w:lineRule="exact"/>
        <w:ind w:left="0" w:leftChars="0" w:firstLine="480" w:firstLineChars="200"/>
        <w:textAlignment w:val="auto"/>
        <w:rPr>
          <w:rFonts w:hint="default" w:ascii="Times New Roman" w:hAnsi="Times New Roman" w:eastAsia="宋体" w:cs="Times New Roman"/>
          <w:color w:val="auto"/>
          <w:spacing w:val="0"/>
          <w:w w:val="100"/>
          <w:sz w:val="24"/>
          <w:szCs w:val="24"/>
          <w:highlight w:val="none"/>
          <w:lang w:val="zh-CN" w:eastAsia="zh-CN"/>
        </w:rPr>
      </w:pPr>
      <w:r>
        <w:rPr>
          <w:rFonts w:hint="default" w:ascii="Times New Roman" w:hAnsi="Times New Roman" w:eastAsia="宋体" w:cs="Times New Roman"/>
          <w:color w:val="auto"/>
          <w:spacing w:val="0"/>
          <w:w w:val="100"/>
          <w:sz w:val="24"/>
          <w:szCs w:val="24"/>
          <w:highlight w:val="none"/>
          <w:lang w:val="zh-CN" w:eastAsia="zh-CN"/>
        </w:rPr>
        <w:t>本项目污水经处理达标后直接排放进入</w:t>
      </w:r>
      <w:r>
        <w:rPr>
          <w:rFonts w:hint="eastAsia" w:ascii="Times New Roman" w:hAnsi="Times New Roman" w:eastAsia="宋体" w:cs="Times New Roman"/>
          <w:color w:val="auto"/>
          <w:spacing w:val="0"/>
          <w:w w:val="100"/>
          <w:sz w:val="24"/>
          <w:szCs w:val="24"/>
          <w:highlight w:val="none"/>
          <w:lang w:val="zh-CN" w:eastAsia="zh-CN"/>
        </w:rPr>
        <w:t>千河</w:t>
      </w:r>
      <w:r>
        <w:rPr>
          <w:rFonts w:hint="default" w:ascii="Times New Roman" w:hAnsi="Times New Roman" w:eastAsia="宋体" w:cs="Times New Roman"/>
          <w:color w:val="auto"/>
          <w:spacing w:val="0"/>
          <w:w w:val="100"/>
          <w:sz w:val="24"/>
          <w:szCs w:val="24"/>
          <w:highlight w:val="none"/>
          <w:lang w:val="zh-CN" w:eastAsia="zh-CN"/>
        </w:rPr>
        <w:t>，污水排放量为</w:t>
      </w:r>
      <w:r>
        <w:rPr>
          <w:rFonts w:hint="eastAsia" w:ascii="Times New Roman" w:hAnsi="Times New Roman" w:eastAsia="宋体" w:cs="Times New Roman"/>
          <w:color w:val="auto"/>
          <w:spacing w:val="0"/>
          <w:w w:val="100"/>
          <w:sz w:val="24"/>
          <w:szCs w:val="24"/>
          <w:highlight w:val="none"/>
          <w:lang w:val="en-US" w:eastAsia="zh-CN"/>
        </w:rPr>
        <w:t>1600m</w:t>
      </w:r>
      <w:r>
        <w:rPr>
          <w:rFonts w:hint="default" w:ascii="Times New Roman" w:hAnsi="Times New Roman" w:eastAsia="宋体" w:cs="Times New Roman"/>
          <w:color w:val="auto"/>
          <w:spacing w:val="0"/>
          <w:w w:val="100"/>
          <w:sz w:val="24"/>
          <w:szCs w:val="24"/>
          <w:highlight w:val="none"/>
          <w:vertAlign w:val="superscript"/>
          <w:lang w:val="en-US" w:eastAsia="en-US"/>
        </w:rPr>
        <w:t>3</w:t>
      </w:r>
      <w:r>
        <w:rPr>
          <w:rFonts w:hint="default" w:ascii="Times New Roman" w:hAnsi="Times New Roman" w:eastAsia="宋体" w:cs="Times New Roman"/>
          <w:color w:val="auto"/>
          <w:spacing w:val="0"/>
          <w:w w:val="100"/>
          <w:sz w:val="24"/>
          <w:szCs w:val="24"/>
          <w:highlight w:val="none"/>
          <w:lang w:val="en-US" w:eastAsia="en-US"/>
        </w:rPr>
        <w:t>/d</w:t>
      </w:r>
      <w:r>
        <w:rPr>
          <w:rFonts w:hint="eastAsia" w:ascii="Times New Roman" w:hAnsi="Times New Roman" w:eastAsia="宋体" w:cs="Times New Roman"/>
          <w:color w:val="auto"/>
          <w:spacing w:val="0"/>
          <w:w w:val="100"/>
          <w:sz w:val="24"/>
          <w:szCs w:val="24"/>
          <w:highlight w:val="none"/>
          <w:lang w:val="en-US" w:eastAsia="zh-CN"/>
        </w:rPr>
        <w:t>＜</w:t>
      </w:r>
      <w:r>
        <w:rPr>
          <w:rFonts w:hint="default" w:ascii="Times New Roman" w:hAnsi="Times New Roman" w:eastAsia="宋体" w:cs="Times New Roman"/>
          <w:color w:val="auto"/>
          <w:spacing w:val="0"/>
          <w:w w:val="100"/>
          <w:sz w:val="24"/>
          <w:szCs w:val="24"/>
          <w:highlight w:val="none"/>
          <w:lang w:val="en-US" w:eastAsia="en-US"/>
        </w:rPr>
        <w:t>20000m</w:t>
      </w:r>
      <w:r>
        <w:rPr>
          <w:rFonts w:hint="default" w:ascii="Times New Roman" w:hAnsi="Times New Roman" w:eastAsia="宋体" w:cs="Times New Roman"/>
          <w:color w:val="auto"/>
          <w:spacing w:val="0"/>
          <w:w w:val="100"/>
          <w:sz w:val="24"/>
          <w:szCs w:val="24"/>
          <w:highlight w:val="none"/>
          <w:vertAlign w:val="superscript"/>
          <w:lang w:val="en-US" w:eastAsia="en-US"/>
        </w:rPr>
        <w:t>3</w:t>
      </w:r>
      <w:r>
        <w:rPr>
          <w:rFonts w:hint="default" w:ascii="Times New Roman" w:hAnsi="Times New Roman" w:eastAsia="宋体" w:cs="Times New Roman"/>
          <w:color w:val="auto"/>
          <w:spacing w:val="0"/>
          <w:w w:val="100"/>
          <w:sz w:val="24"/>
          <w:szCs w:val="24"/>
          <w:highlight w:val="none"/>
          <w:lang w:val="en-US" w:eastAsia="en-US"/>
        </w:rPr>
        <w:t>/d</w:t>
      </w:r>
      <w:r>
        <w:rPr>
          <w:rFonts w:hint="default" w:ascii="Times New Roman" w:hAnsi="Times New Roman" w:eastAsia="宋体" w:cs="Times New Roman"/>
          <w:color w:val="auto"/>
          <w:spacing w:val="0"/>
          <w:w w:val="100"/>
          <w:sz w:val="24"/>
          <w:szCs w:val="24"/>
          <w:highlight w:val="none"/>
          <w:lang w:val="zh-CN" w:eastAsia="zh-CN"/>
        </w:rPr>
        <w:t>，因此，确定本次地表水环境评价工作等级为</w:t>
      </w:r>
      <w:r>
        <w:rPr>
          <w:rFonts w:hint="eastAsia" w:ascii="Times New Roman" w:hAnsi="Times New Roman" w:eastAsia="宋体" w:cs="Times New Roman"/>
          <w:color w:val="auto"/>
          <w:spacing w:val="0"/>
          <w:w w:val="100"/>
          <w:sz w:val="24"/>
          <w:szCs w:val="24"/>
          <w:highlight w:val="none"/>
          <w:lang w:val="zh-CN" w:eastAsia="zh-CN"/>
        </w:rPr>
        <w:t>二</w:t>
      </w:r>
      <w:r>
        <w:rPr>
          <w:rFonts w:hint="default" w:ascii="Times New Roman" w:hAnsi="Times New Roman" w:eastAsia="宋体" w:cs="Times New Roman"/>
          <w:color w:val="auto"/>
          <w:spacing w:val="0"/>
          <w:w w:val="100"/>
          <w:sz w:val="24"/>
          <w:szCs w:val="24"/>
          <w:highlight w:val="none"/>
          <w:lang w:val="zh-CN" w:eastAsia="zh-CN"/>
        </w:rPr>
        <w:t>级。</w:t>
      </w:r>
    </w:p>
    <w:p w14:paraId="6B48F604">
      <w:pPr>
        <w:widowControl w:val="0"/>
        <w:spacing w:before="120" w:beforeLines="50" w:after="120" w:afterLines="50" w:line="240" w:lineRule="auto"/>
        <w:ind w:firstLine="0" w:firstLineChars="0"/>
        <w:jc w:val="both"/>
        <w:outlineLvl w:val="1"/>
        <w:rPr>
          <w:rFonts w:hint="default" w:ascii="Times New Roman" w:hAnsi="Times New Roman" w:eastAsia="宋体" w:cs="Times New Roman"/>
          <w:b/>
          <w:color w:val="auto"/>
          <w:spacing w:val="0"/>
          <w:w w:val="100"/>
          <w:kern w:val="2"/>
          <w:sz w:val="28"/>
          <w:szCs w:val="28"/>
          <w:lang w:val="en-US" w:eastAsia="zh-CN" w:bidi="ar-SA"/>
        </w:rPr>
      </w:pPr>
      <w:bookmarkStart w:id="33" w:name="_Toc532739114"/>
      <w:bookmarkStart w:id="34" w:name="_Toc29984"/>
      <w:bookmarkStart w:id="35" w:name="_Toc12329"/>
      <w:bookmarkStart w:id="36" w:name="_Toc532412566"/>
      <w:bookmarkStart w:id="37" w:name="_Toc532738999"/>
      <w:r>
        <w:rPr>
          <w:rFonts w:hint="default" w:ascii="Times New Roman" w:hAnsi="Times New Roman" w:eastAsia="宋体" w:cs="Times New Roman"/>
          <w:b/>
          <w:color w:val="auto"/>
          <w:spacing w:val="0"/>
          <w:w w:val="100"/>
          <w:kern w:val="2"/>
          <w:sz w:val="28"/>
          <w:szCs w:val="28"/>
          <w:lang w:val="en-US" w:eastAsia="zh-CN" w:bidi="ar-SA"/>
        </w:rPr>
        <w:t>1.4评价范围</w:t>
      </w:r>
      <w:bookmarkEnd w:id="33"/>
      <w:bookmarkEnd w:id="34"/>
      <w:bookmarkEnd w:id="35"/>
      <w:bookmarkEnd w:id="36"/>
      <w:bookmarkEnd w:id="37"/>
    </w:p>
    <w:p w14:paraId="3EBF1E9A">
      <w:pPr>
        <w:keepNext w:val="0"/>
        <w:keepLines w:val="0"/>
        <w:pageBreakBefore w:val="0"/>
        <w:kinsoku/>
        <w:wordWrap/>
        <w:overflowPunct/>
        <w:topLinePunct w:val="0"/>
        <w:autoSpaceDE/>
        <w:autoSpaceDN/>
        <w:bidi w:val="0"/>
        <w:adjustRightInd/>
        <w:snapToGrid w:val="0"/>
        <w:spacing w:line="460" w:lineRule="exact"/>
        <w:ind w:left="0" w:leftChars="0" w:firstLine="480" w:firstLineChars="200"/>
        <w:textAlignment w:val="auto"/>
        <w:rPr>
          <w:rFonts w:hint="default" w:ascii="Times New Roman" w:hAnsi="Times New Roman" w:eastAsia="宋体" w:cs="Times New Roman"/>
          <w:color w:val="auto"/>
          <w:spacing w:val="0"/>
          <w:w w:val="100"/>
          <w:sz w:val="24"/>
          <w:szCs w:val="24"/>
          <w:highlight w:val="none"/>
          <w:lang w:val="zh-CN" w:eastAsia="zh-CN"/>
        </w:rPr>
      </w:pPr>
      <w:r>
        <w:rPr>
          <w:rFonts w:hint="default" w:ascii="Times New Roman" w:hAnsi="Times New Roman" w:eastAsia="宋体" w:cs="Times New Roman"/>
          <w:color w:val="auto"/>
          <w:spacing w:val="0"/>
          <w:w w:val="100"/>
          <w:sz w:val="24"/>
          <w:szCs w:val="24"/>
          <w:highlight w:val="none"/>
          <w:lang w:val="zh-CN" w:eastAsia="zh-CN"/>
        </w:rPr>
        <w:t>根据上述评价等级判定，本项目地表水评价等级为</w:t>
      </w:r>
      <w:r>
        <w:rPr>
          <w:rFonts w:hint="eastAsia" w:ascii="Times New Roman" w:hAnsi="Times New Roman" w:eastAsia="宋体" w:cs="Times New Roman"/>
          <w:color w:val="auto"/>
          <w:spacing w:val="0"/>
          <w:w w:val="100"/>
          <w:sz w:val="24"/>
          <w:szCs w:val="24"/>
          <w:highlight w:val="none"/>
          <w:lang w:val="zh-CN" w:eastAsia="zh-CN"/>
        </w:rPr>
        <w:t>二</w:t>
      </w:r>
      <w:r>
        <w:rPr>
          <w:rFonts w:hint="default" w:ascii="Times New Roman" w:hAnsi="Times New Roman" w:eastAsia="宋体" w:cs="Times New Roman"/>
          <w:color w:val="auto"/>
          <w:spacing w:val="0"/>
          <w:w w:val="100"/>
          <w:sz w:val="24"/>
          <w:szCs w:val="24"/>
          <w:highlight w:val="none"/>
          <w:lang w:val="zh-CN" w:eastAsia="zh-CN"/>
        </w:rPr>
        <w:t>级；按照导则要求，a）应根据主要污染物迁移转化情况，至少需要覆盖建设项目污染影响所及水域；b）受纳水体为河流时，应满足覆盖对照断面、控制断面与消减断面等关心断面的要求。</w:t>
      </w:r>
    </w:p>
    <w:p w14:paraId="3381E189">
      <w:pPr>
        <w:keepNext w:val="0"/>
        <w:keepLines w:val="0"/>
        <w:pageBreakBefore w:val="0"/>
        <w:kinsoku/>
        <w:wordWrap/>
        <w:overflowPunct/>
        <w:topLinePunct w:val="0"/>
        <w:autoSpaceDE/>
        <w:autoSpaceDN/>
        <w:bidi w:val="0"/>
        <w:adjustRightInd/>
        <w:snapToGrid w:val="0"/>
        <w:spacing w:line="460" w:lineRule="exact"/>
        <w:ind w:left="0" w:leftChars="0" w:firstLine="480" w:firstLineChars="200"/>
        <w:textAlignment w:val="auto"/>
        <w:rPr>
          <w:rFonts w:hint="default" w:ascii="Times New Roman" w:hAnsi="Times New Roman" w:eastAsia="宋体" w:cs="Times New Roman"/>
          <w:color w:val="auto"/>
          <w:spacing w:val="0"/>
          <w:w w:val="100"/>
          <w:sz w:val="24"/>
          <w:highlight w:val="none"/>
          <w:lang w:val="en-US" w:eastAsia="zh-CN"/>
        </w:rPr>
        <w:sectPr>
          <w:footerReference r:id="rId9" w:type="default"/>
          <w:pgSz w:w="11906" w:h="16838"/>
          <w:pgMar w:top="1440" w:right="1800" w:bottom="1440" w:left="1800" w:header="851" w:footer="992" w:gutter="0"/>
          <w:pgNumType w:fmt="decimal" w:start="1"/>
          <w:cols w:space="720" w:num="1"/>
          <w:docGrid w:type="lines" w:linePitch="312" w:charSpace="0"/>
        </w:sectPr>
      </w:pPr>
      <w:r>
        <w:rPr>
          <w:rFonts w:hint="default" w:ascii="Times New Roman" w:hAnsi="Times New Roman" w:eastAsia="宋体" w:cs="Times New Roman"/>
          <w:color w:val="auto"/>
          <w:spacing w:val="0"/>
          <w:w w:val="100"/>
          <w:sz w:val="24"/>
          <w:szCs w:val="24"/>
          <w:highlight w:val="none"/>
          <w:lang w:val="zh-CN" w:eastAsia="zh-CN"/>
        </w:rPr>
        <w:t>因此本项目评价范围为项目入河排污口上游</w:t>
      </w:r>
      <w:r>
        <w:rPr>
          <w:rFonts w:hint="default" w:ascii="Times New Roman" w:hAnsi="Times New Roman" w:eastAsia="宋体" w:cs="Times New Roman"/>
          <w:color w:val="auto"/>
          <w:spacing w:val="0"/>
          <w:w w:val="100"/>
          <w:sz w:val="24"/>
          <w:szCs w:val="24"/>
          <w:highlight w:val="none"/>
          <w:lang w:val="en-US" w:eastAsia="zh-CN"/>
        </w:rPr>
        <w:t>500m至下游</w:t>
      </w:r>
      <w:r>
        <w:rPr>
          <w:rFonts w:hint="eastAsia" w:ascii="Times New Roman" w:hAnsi="Times New Roman" w:eastAsia="宋体" w:cs="Times New Roman"/>
          <w:color w:val="auto"/>
          <w:spacing w:val="0"/>
          <w:w w:val="100"/>
          <w:sz w:val="24"/>
          <w:szCs w:val="24"/>
          <w:highlight w:val="none"/>
          <w:lang w:val="en-US" w:eastAsia="zh-CN"/>
        </w:rPr>
        <w:t>15</w:t>
      </w:r>
      <w:r>
        <w:rPr>
          <w:rFonts w:hint="default" w:ascii="Times New Roman" w:hAnsi="Times New Roman" w:eastAsia="宋体" w:cs="Times New Roman"/>
          <w:color w:val="auto"/>
          <w:spacing w:val="0"/>
          <w:w w:val="100"/>
          <w:sz w:val="24"/>
          <w:szCs w:val="24"/>
          <w:highlight w:val="none"/>
          <w:lang w:val="en-US" w:eastAsia="zh-CN"/>
        </w:rPr>
        <w:t>00m。</w:t>
      </w:r>
    </w:p>
    <w:p w14:paraId="2DB3D589">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32"/>
          <w:szCs w:val="32"/>
          <w:lang w:val="en-US" w:eastAsia="zh-CN" w:bidi="ar-SA"/>
        </w:rPr>
      </w:pPr>
      <w:bookmarkStart w:id="38" w:name="_Toc11894"/>
      <w:r>
        <w:rPr>
          <w:rFonts w:hint="default" w:ascii="Times New Roman" w:hAnsi="Times New Roman" w:eastAsia="宋体" w:cs="Times New Roman"/>
          <w:b/>
          <w:color w:val="auto"/>
          <w:spacing w:val="0"/>
          <w:w w:val="100"/>
          <w:kern w:val="2"/>
          <w:sz w:val="32"/>
          <w:szCs w:val="32"/>
          <w:lang w:val="en-US" w:eastAsia="zh-CN" w:bidi="ar-SA"/>
        </w:rPr>
        <w:t>第 2章</w:t>
      </w:r>
      <w:r>
        <w:rPr>
          <w:rFonts w:hint="default" w:ascii="Times New Roman" w:hAnsi="Times New Roman" w:eastAsia="宋体" w:cs="Times New Roman"/>
          <w:b/>
          <w:color w:val="auto"/>
          <w:spacing w:val="0"/>
          <w:w w:val="100"/>
          <w:kern w:val="2"/>
          <w:sz w:val="32"/>
          <w:szCs w:val="32"/>
          <w:lang w:val="en-US" w:eastAsia="zh-CN" w:bidi="ar-SA"/>
        </w:rPr>
        <w:tab/>
      </w:r>
      <w:r>
        <w:rPr>
          <w:rFonts w:hint="default" w:ascii="Times New Roman" w:hAnsi="Times New Roman" w:eastAsia="宋体" w:cs="Times New Roman"/>
          <w:b/>
          <w:color w:val="auto"/>
          <w:spacing w:val="0"/>
          <w:w w:val="100"/>
          <w:kern w:val="2"/>
          <w:sz w:val="32"/>
          <w:szCs w:val="32"/>
          <w:lang w:val="en-US" w:eastAsia="zh-CN" w:bidi="ar-SA"/>
        </w:rPr>
        <w:t>项目概况</w:t>
      </w:r>
      <w:bookmarkEnd w:id="38"/>
    </w:p>
    <w:p w14:paraId="5A743763">
      <w:pPr>
        <w:widowControl w:val="0"/>
        <w:spacing w:before="120" w:beforeLines="50" w:after="120" w:afterLines="50" w:line="240" w:lineRule="auto"/>
        <w:ind w:firstLine="0" w:firstLineChars="0"/>
        <w:jc w:val="both"/>
        <w:outlineLvl w:val="1"/>
        <w:rPr>
          <w:rFonts w:hint="default" w:ascii="Times New Roman" w:hAnsi="Times New Roman" w:eastAsia="宋体" w:cs="Times New Roman"/>
          <w:b/>
          <w:color w:val="auto"/>
          <w:spacing w:val="0"/>
          <w:w w:val="100"/>
          <w:kern w:val="2"/>
          <w:sz w:val="28"/>
          <w:szCs w:val="28"/>
          <w:lang w:val="en-US" w:eastAsia="zh-CN" w:bidi="ar-SA"/>
        </w:rPr>
      </w:pPr>
      <w:bookmarkStart w:id="39" w:name="_Toc30226"/>
      <w:r>
        <w:rPr>
          <w:rFonts w:hint="default" w:ascii="Times New Roman" w:hAnsi="Times New Roman" w:eastAsia="宋体" w:cs="Times New Roman"/>
          <w:b/>
          <w:color w:val="auto"/>
          <w:spacing w:val="0"/>
          <w:w w:val="100"/>
          <w:kern w:val="2"/>
          <w:sz w:val="28"/>
          <w:szCs w:val="28"/>
          <w:lang w:val="en-US" w:eastAsia="zh-CN" w:bidi="ar-SA"/>
        </w:rPr>
        <w:t>2.1工程进、出水水质</w:t>
      </w:r>
      <w:bookmarkEnd w:id="39"/>
    </w:p>
    <w:p w14:paraId="333A40CB">
      <w:pPr>
        <w:adjustRightInd w:val="0"/>
        <w:spacing w:line="360" w:lineRule="auto"/>
        <w:ind w:firstLine="480" w:firstLineChars="200"/>
        <w:jc w:val="both"/>
        <w:rPr>
          <w:rFonts w:hint="default" w:ascii="Times New Roman" w:hAnsi="Times New Roman" w:eastAsia="宋体" w:cs="Times New Roman"/>
          <w:b w:val="0"/>
          <w:bCs/>
          <w:color w:val="auto"/>
          <w:spacing w:val="0"/>
          <w:w w:val="100"/>
          <w:sz w:val="24"/>
          <w:szCs w:val="24"/>
          <w:lang w:eastAsia="zh-CN"/>
        </w:rPr>
      </w:pPr>
      <w:r>
        <w:rPr>
          <w:rFonts w:hint="default" w:ascii="Times New Roman" w:hAnsi="Times New Roman" w:eastAsia="宋体" w:cs="Times New Roman"/>
          <w:color w:val="auto"/>
          <w:spacing w:val="0"/>
          <w:w w:val="100"/>
          <w:sz w:val="24"/>
          <w:szCs w:val="24"/>
          <w:lang w:val="en-US" w:eastAsia="zh-CN"/>
        </w:rPr>
        <w:t>1、</w:t>
      </w:r>
      <w:r>
        <w:rPr>
          <w:rFonts w:hint="default" w:ascii="Times New Roman" w:hAnsi="Times New Roman" w:eastAsia="宋体" w:cs="Times New Roman"/>
          <w:color w:val="auto"/>
          <w:spacing w:val="0"/>
          <w:w w:val="100"/>
          <w:sz w:val="24"/>
          <w:szCs w:val="24"/>
          <w:lang w:eastAsia="zh-CN"/>
        </w:rPr>
        <w:t>设计进水水质</w:t>
      </w:r>
    </w:p>
    <w:p w14:paraId="2586C9E1">
      <w:pPr>
        <w:adjustRightInd w:val="0"/>
        <w:spacing w:line="360" w:lineRule="auto"/>
        <w:ind w:firstLine="480" w:firstLineChars="200"/>
        <w:jc w:val="both"/>
        <w:rPr>
          <w:rFonts w:hint="default" w:ascii="Times New Roman" w:hAnsi="Times New Roman" w:eastAsia="宋体" w:cs="Times New Roman"/>
          <w:b w:val="0"/>
          <w:bCs/>
          <w:color w:val="auto"/>
          <w:spacing w:val="0"/>
          <w:w w:val="100"/>
          <w:sz w:val="24"/>
          <w:szCs w:val="24"/>
          <w:lang w:eastAsia="zh-CN"/>
        </w:rPr>
      </w:pPr>
      <w:r>
        <w:rPr>
          <w:rFonts w:hint="eastAsia" w:ascii="Times New Roman" w:hAnsi="Times New Roman" w:eastAsia="宋体" w:cs="Times New Roman"/>
          <w:b w:val="0"/>
          <w:bCs/>
          <w:color w:val="auto"/>
          <w:spacing w:val="0"/>
          <w:w w:val="100"/>
          <w:sz w:val="24"/>
          <w:szCs w:val="24"/>
          <w:lang w:eastAsia="zh-CN"/>
        </w:rPr>
        <w:t>根据《污水综合排放标准》</w:t>
      </w:r>
      <w:r>
        <w:rPr>
          <w:rFonts w:hint="default" w:ascii="Times New Roman" w:hAnsi="Times New Roman" w:eastAsia="宋体" w:cs="Times New Roman"/>
          <w:b w:val="0"/>
          <w:bCs/>
          <w:color w:val="auto"/>
          <w:spacing w:val="0"/>
          <w:w w:val="100"/>
          <w:sz w:val="24"/>
          <w:szCs w:val="24"/>
          <w:lang w:eastAsia="zh-CN"/>
        </w:rPr>
        <w:t>（GB</w:t>
      </w:r>
      <w:r>
        <w:rPr>
          <w:rFonts w:hint="eastAsia" w:ascii="Times New Roman" w:hAnsi="Times New Roman" w:eastAsia="宋体" w:cs="Times New Roman"/>
          <w:b w:val="0"/>
          <w:bCs/>
          <w:color w:val="auto"/>
          <w:spacing w:val="0"/>
          <w:w w:val="100"/>
          <w:sz w:val="24"/>
          <w:szCs w:val="24"/>
          <w:lang w:val="en-US" w:eastAsia="zh-CN"/>
        </w:rPr>
        <w:t>8978</w:t>
      </w:r>
      <w:r>
        <w:rPr>
          <w:rFonts w:hint="default" w:ascii="Times New Roman" w:hAnsi="Times New Roman" w:eastAsia="宋体" w:cs="Times New Roman"/>
          <w:b w:val="0"/>
          <w:bCs/>
          <w:color w:val="auto"/>
          <w:spacing w:val="0"/>
          <w:w w:val="100"/>
          <w:sz w:val="24"/>
          <w:szCs w:val="24"/>
          <w:lang w:eastAsia="zh-CN"/>
        </w:rPr>
        <w:t>-</w:t>
      </w:r>
      <w:r>
        <w:rPr>
          <w:rFonts w:hint="eastAsia" w:ascii="Times New Roman" w:hAnsi="Times New Roman" w:eastAsia="宋体" w:cs="Times New Roman"/>
          <w:b w:val="0"/>
          <w:bCs/>
          <w:color w:val="auto"/>
          <w:spacing w:val="0"/>
          <w:w w:val="100"/>
          <w:sz w:val="24"/>
          <w:szCs w:val="24"/>
          <w:lang w:val="en-US" w:eastAsia="zh-CN"/>
        </w:rPr>
        <w:t>1996</w:t>
      </w:r>
      <w:r>
        <w:rPr>
          <w:rFonts w:hint="default" w:ascii="Times New Roman" w:hAnsi="Times New Roman" w:eastAsia="宋体" w:cs="Times New Roman"/>
          <w:b w:val="0"/>
          <w:bCs/>
          <w:color w:val="auto"/>
          <w:spacing w:val="0"/>
          <w:w w:val="100"/>
          <w:sz w:val="24"/>
          <w:szCs w:val="24"/>
          <w:lang w:eastAsia="zh-CN"/>
        </w:rPr>
        <w:t>）并结合《污水排入城镇下水道水质标准》（</w:t>
      </w:r>
      <w:r>
        <w:rPr>
          <w:rFonts w:hint="eastAsia" w:ascii="Times New Roman" w:hAnsi="Times New Roman" w:eastAsia="宋体" w:cs="Times New Roman"/>
          <w:b w:val="0"/>
          <w:bCs/>
          <w:color w:val="auto"/>
          <w:spacing w:val="0"/>
          <w:w w:val="100"/>
          <w:sz w:val="24"/>
          <w:szCs w:val="24"/>
          <w:lang w:eastAsia="zh-CN"/>
        </w:rPr>
        <w:t>GB31962-2015</w:t>
      </w:r>
      <w:r>
        <w:rPr>
          <w:rFonts w:hint="default" w:ascii="Times New Roman" w:hAnsi="Times New Roman" w:eastAsia="宋体" w:cs="Times New Roman"/>
          <w:b w:val="0"/>
          <w:bCs/>
          <w:color w:val="auto"/>
          <w:spacing w:val="0"/>
          <w:w w:val="100"/>
          <w:sz w:val="24"/>
          <w:szCs w:val="24"/>
          <w:lang w:eastAsia="zh-CN"/>
        </w:rPr>
        <w:t>）及</w:t>
      </w:r>
      <w:r>
        <w:rPr>
          <w:rFonts w:hint="eastAsia" w:ascii="Times New Roman" w:hAnsi="Times New Roman" w:eastAsia="宋体" w:cs="Times New Roman"/>
          <w:b w:val="0"/>
          <w:bCs/>
          <w:color w:val="auto"/>
          <w:spacing w:val="0"/>
          <w:w w:val="100"/>
          <w:sz w:val="24"/>
          <w:szCs w:val="24"/>
          <w:lang w:eastAsia="zh-CN"/>
        </w:rPr>
        <w:t>预测</w:t>
      </w:r>
      <w:r>
        <w:rPr>
          <w:rFonts w:hint="default" w:ascii="Times New Roman" w:hAnsi="Times New Roman" w:eastAsia="宋体" w:cs="Times New Roman"/>
          <w:b w:val="0"/>
          <w:bCs/>
          <w:color w:val="auto"/>
          <w:spacing w:val="0"/>
          <w:w w:val="100"/>
          <w:sz w:val="24"/>
          <w:szCs w:val="24"/>
          <w:lang w:eastAsia="zh-CN"/>
        </w:rPr>
        <w:t>水质指标综合考虑，得到水质指标如下表</w:t>
      </w:r>
      <w:r>
        <w:rPr>
          <w:rFonts w:hint="default" w:ascii="Times New Roman" w:hAnsi="Times New Roman" w:eastAsia="宋体" w:cs="Times New Roman"/>
          <w:b w:val="0"/>
          <w:bCs/>
          <w:color w:val="auto"/>
          <w:spacing w:val="0"/>
          <w:w w:val="100"/>
          <w:sz w:val="24"/>
          <w:szCs w:val="24"/>
          <w:lang w:val="en-US" w:eastAsia="zh-CN"/>
        </w:rPr>
        <w:t>2-1</w:t>
      </w:r>
      <w:r>
        <w:rPr>
          <w:rFonts w:hint="default" w:ascii="Times New Roman" w:hAnsi="Times New Roman" w:eastAsia="宋体" w:cs="Times New Roman"/>
          <w:b w:val="0"/>
          <w:bCs/>
          <w:color w:val="auto"/>
          <w:spacing w:val="0"/>
          <w:w w:val="100"/>
          <w:sz w:val="24"/>
          <w:szCs w:val="24"/>
          <w:lang w:eastAsia="zh-CN"/>
        </w:rPr>
        <w:t>。</w:t>
      </w:r>
    </w:p>
    <w:p w14:paraId="11FBAA76">
      <w:pPr>
        <w:adjustRightInd w:val="0"/>
        <w:spacing w:line="360" w:lineRule="auto"/>
        <w:ind w:firstLine="480" w:firstLineChars="200"/>
        <w:jc w:val="both"/>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rPr>
        <w:t>出水水质现状工程处理后尾水排入</w:t>
      </w:r>
      <w:r>
        <w:rPr>
          <w:rFonts w:hint="eastAsia" w:ascii="Times New Roman" w:hAnsi="Times New Roman" w:eastAsia="宋体" w:cs="Times New Roman"/>
          <w:b w:val="0"/>
          <w:bCs/>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，根据《陕西省黄河流域污水综合排放标准》（DB61/224-2018）中有关要求，集中式污水处理厂的排水应执行A标准，即准Ⅳ类</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b w:val="0"/>
          <w:bCs/>
          <w:color w:val="auto"/>
          <w:spacing w:val="0"/>
          <w:w w:val="100"/>
          <w:sz w:val="24"/>
          <w:szCs w:val="24"/>
          <w:lang w:eastAsia="zh-CN"/>
        </w:rPr>
        <w:t>得到出水水质指标如下表</w:t>
      </w:r>
      <w:r>
        <w:rPr>
          <w:rFonts w:hint="default" w:ascii="Times New Roman" w:hAnsi="Times New Roman" w:eastAsia="宋体" w:cs="Times New Roman"/>
          <w:b w:val="0"/>
          <w:bCs/>
          <w:color w:val="auto"/>
          <w:spacing w:val="0"/>
          <w:w w:val="100"/>
          <w:sz w:val="24"/>
          <w:szCs w:val="24"/>
          <w:lang w:val="en-US" w:eastAsia="zh-CN"/>
        </w:rPr>
        <w:t>2-1</w:t>
      </w:r>
      <w:r>
        <w:rPr>
          <w:rFonts w:hint="default" w:ascii="Times New Roman" w:hAnsi="Times New Roman" w:eastAsia="宋体" w:cs="Times New Roman"/>
          <w:b w:val="0"/>
          <w:bCs/>
          <w:color w:val="auto"/>
          <w:spacing w:val="0"/>
          <w:w w:val="100"/>
          <w:sz w:val="24"/>
          <w:szCs w:val="24"/>
          <w:lang w:eastAsia="zh-CN"/>
        </w:rPr>
        <w:t>。</w:t>
      </w:r>
    </w:p>
    <w:p w14:paraId="19BD13A1">
      <w:pPr>
        <w:spacing w:line="360" w:lineRule="auto"/>
        <w:jc w:val="center"/>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4"/>
          <w:szCs w:val="24"/>
        </w:rPr>
        <w:t>表</w:t>
      </w:r>
      <w:r>
        <w:rPr>
          <w:rFonts w:hint="default" w:ascii="Times New Roman" w:hAnsi="Times New Roman" w:eastAsia="宋体" w:cs="Times New Roman"/>
          <w:b/>
          <w:bCs/>
          <w:color w:val="auto"/>
          <w:spacing w:val="0"/>
          <w:w w:val="100"/>
          <w:sz w:val="24"/>
          <w:szCs w:val="24"/>
          <w:lang w:val="en-US" w:eastAsia="zh-CN"/>
        </w:rPr>
        <w:t xml:space="preserve">2-1  </w:t>
      </w:r>
      <w:r>
        <w:rPr>
          <w:rFonts w:hint="default" w:ascii="Times New Roman" w:hAnsi="Times New Roman" w:eastAsia="宋体" w:cs="Times New Roman"/>
          <w:b/>
          <w:bCs/>
          <w:color w:val="auto"/>
          <w:spacing w:val="0"/>
          <w:w w:val="100"/>
          <w:sz w:val="24"/>
          <w:szCs w:val="24"/>
        </w:rPr>
        <w:t>本工程</w:t>
      </w:r>
      <w:r>
        <w:rPr>
          <w:rFonts w:hint="default" w:ascii="Times New Roman" w:hAnsi="Times New Roman" w:eastAsia="宋体" w:cs="Times New Roman"/>
          <w:b/>
          <w:bCs/>
          <w:color w:val="auto"/>
          <w:spacing w:val="0"/>
          <w:w w:val="100"/>
          <w:sz w:val="24"/>
          <w:szCs w:val="24"/>
          <w:lang w:eastAsia="zh-CN"/>
        </w:rPr>
        <w:t>进出</w:t>
      </w:r>
      <w:r>
        <w:rPr>
          <w:rFonts w:hint="default" w:ascii="Times New Roman" w:hAnsi="Times New Roman" w:eastAsia="宋体" w:cs="Times New Roman"/>
          <w:b/>
          <w:bCs/>
          <w:color w:val="auto"/>
          <w:spacing w:val="0"/>
          <w:w w:val="100"/>
          <w:sz w:val="24"/>
          <w:szCs w:val="24"/>
        </w:rPr>
        <w:t>水水质指标</w:t>
      </w:r>
    </w:p>
    <w:tbl>
      <w:tblPr>
        <w:tblStyle w:val="58"/>
        <w:tblW w:w="852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96"/>
        <w:gridCol w:w="1015"/>
        <w:gridCol w:w="982"/>
        <w:gridCol w:w="905"/>
        <w:gridCol w:w="906"/>
        <w:gridCol w:w="1846"/>
        <w:gridCol w:w="976"/>
      </w:tblGrid>
      <w:tr w14:paraId="6C7EC7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5" w:hRule="atLeast"/>
          <w:jc w:val="center"/>
        </w:trPr>
        <w:tc>
          <w:tcPr>
            <w:tcW w:w="1896" w:type="dxa"/>
            <w:vAlign w:val="center"/>
          </w:tcPr>
          <w:p w14:paraId="4C0204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bookmarkStart w:id="40" w:name="_Toc16089"/>
            <w:r>
              <w:rPr>
                <w:rFonts w:hint="default" w:ascii="Times New Roman" w:hAnsi="Times New Roman" w:eastAsia="宋体" w:cs="Times New Roman"/>
                <w:b w:val="0"/>
                <w:bCs w:val="0"/>
                <w:color w:val="auto"/>
                <w:spacing w:val="0"/>
                <w:w w:val="100"/>
                <w:sz w:val="21"/>
                <w:szCs w:val="21"/>
              </w:rPr>
              <w:t>水质项目</w:t>
            </w:r>
          </w:p>
        </w:tc>
        <w:tc>
          <w:tcPr>
            <w:tcW w:w="1015" w:type="dxa"/>
            <w:vAlign w:val="center"/>
          </w:tcPr>
          <w:p w14:paraId="1518EF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CODcr</w:t>
            </w:r>
          </w:p>
        </w:tc>
        <w:tc>
          <w:tcPr>
            <w:tcW w:w="982" w:type="dxa"/>
            <w:vAlign w:val="center"/>
          </w:tcPr>
          <w:p w14:paraId="653C31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BOD</w:t>
            </w:r>
            <w:r>
              <w:rPr>
                <w:rFonts w:hint="default" w:ascii="Times New Roman" w:hAnsi="Times New Roman" w:eastAsia="宋体" w:cs="Times New Roman"/>
                <w:b w:val="0"/>
                <w:bCs w:val="0"/>
                <w:color w:val="auto"/>
                <w:spacing w:val="0"/>
                <w:w w:val="100"/>
                <w:sz w:val="21"/>
                <w:szCs w:val="21"/>
                <w:vertAlign w:val="subscript"/>
              </w:rPr>
              <w:t>5</w:t>
            </w:r>
          </w:p>
        </w:tc>
        <w:tc>
          <w:tcPr>
            <w:tcW w:w="905" w:type="dxa"/>
            <w:vAlign w:val="center"/>
          </w:tcPr>
          <w:p w14:paraId="4853B4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SS</w:t>
            </w:r>
          </w:p>
        </w:tc>
        <w:tc>
          <w:tcPr>
            <w:tcW w:w="906" w:type="dxa"/>
            <w:vAlign w:val="center"/>
          </w:tcPr>
          <w:p w14:paraId="0A6FA8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TN</w:t>
            </w:r>
          </w:p>
        </w:tc>
        <w:tc>
          <w:tcPr>
            <w:tcW w:w="1846" w:type="dxa"/>
            <w:vAlign w:val="center"/>
          </w:tcPr>
          <w:p w14:paraId="3C4E35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NH3-N</w:t>
            </w:r>
          </w:p>
        </w:tc>
        <w:tc>
          <w:tcPr>
            <w:tcW w:w="976" w:type="dxa"/>
            <w:vAlign w:val="center"/>
          </w:tcPr>
          <w:p w14:paraId="505E0E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TP</w:t>
            </w:r>
          </w:p>
        </w:tc>
      </w:tr>
      <w:tr w14:paraId="105CCB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896" w:type="dxa"/>
            <w:vAlign w:val="center"/>
          </w:tcPr>
          <w:p w14:paraId="771D7D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进水（mg/L）</w:t>
            </w:r>
          </w:p>
        </w:tc>
        <w:tc>
          <w:tcPr>
            <w:tcW w:w="1015" w:type="dxa"/>
            <w:vAlign w:val="center"/>
          </w:tcPr>
          <w:p w14:paraId="5B2524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eastAsia" w:ascii="Times New Roman" w:hAnsi="Times New Roman" w:eastAsia="宋体" w:cs="Times New Roman"/>
                <w:b w:val="0"/>
                <w:bCs w:val="0"/>
                <w:color w:val="auto"/>
                <w:spacing w:val="0"/>
                <w:w w:val="100"/>
                <w:sz w:val="21"/>
                <w:szCs w:val="21"/>
                <w:lang w:val="en-US" w:eastAsia="zh-CN"/>
              </w:rPr>
              <w:t>350</w:t>
            </w:r>
          </w:p>
        </w:tc>
        <w:tc>
          <w:tcPr>
            <w:tcW w:w="982" w:type="dxa"/>
            <w:vAlign w:val="center"/>
          </w:tcPr>
          <w:p w14:paraId="5338FE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eastAsia" w:ascii="Times New Roman" w:hAnsi="Times New Roman" w:eastAsia="宋体" w:cs="Times New Roman"/>
                <w:b w:val="0"/>
                <w:bCs w:val="0"/>
                <w:color w:val="auto"/>
                <w:spacing w:val="0"/>
                <w:w w:val="100"/>
                <w:sz w:val="21"/>
                <w:szCs w:val="21"/>
                <w:lang w:val="en-US" w:eastAsia="zh-CN"/>
              </w:rPr>
              <w:t>150</w:t>
            </w:r>
          </w:p>
        </w:tc>
        <w:tc>
          <w:tcPr>
            <w:tcW w:w="905" w:type="dxa"/>
            <w:vAlign w:val="center"/>
          </w:tcPr>
          <w:p w14:paraId="2D21BB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eastAsia" w:ascii="Times New Roman" w:hAnsi="Times New Roman" w:eastAsia="宋体" w:cs="Times New Roman"/>
                <w:b w:val="0"/>
                <w:bCs w:val="0"/>
                <w:color w:val="auto"/>
                <w:spacing w:val="0"/>
                <w:w w:val="100"/>
                <w:sz w:val="21"/>
                <w:szCs w:val="21"/>
                <w:lang w:val="en-US" w:eastAsia="zh-CN"/>
              </w:rPr>
              <w:t>250</w:t>
            </w:r>
          </w:p>
        </w:tc>
        <w:tc>
          <w:tcPr>
            <w:tcW w:w="906" w:type="dxa"/>
            <w:vAlign w:val="center"/>
          </w:tcPr>
          <w:p w14:paraId="12ADB6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eastAsia" w:ascii="Times New Roman" w:hAnsi="Times New Roman" w:eastAsia="宋体" w:cs="Times New Roman"/>
                <w:b w:val="0"/>
                <w:bCs w:val="0"/>
                <w:color w:val="auto"/>
                <w:spacing w:val="0"/>
                <w:w w:val="100"/>
                <w:sz w:val="21"/>
                <w:szCs w:val="21"/>
                <w:lang w:val="en-US" w:eastAsia="zh-CN"/>
              </w:rPr>
              <w:t>45</w:t>
            </w:r>
          </w:p>
        </w:tc>
        <w:tc>
          <w:tcPr>
            <w:tcW w:w="1846" w:type="dxa"/>
            <w:vAlign w:val="center"/>
          </w:tcPr>
          <w:p w14:paraId="582F49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lang w:val="en-US" w:eastAsia="zh-CN"/>
              </w:rPr>
            </w:pPr>
            <w:r>
              <w:rPr>
                <w:rFonts w:hint="eastAsia" w:ascii="Times New Roman" w:hAnsi="Times New Roman" w:eastAsia="宋体" w:cs="Times New Roman"/>
                <w:b w:val="0"/>
                <w:bCs w:val="0"/>
                <w:color w:val="auto"/>
                <w:spacing w:val="0"/>
                <w:w w:val="100"/>
                <w:sz w:val="21"/>
                <w:szCs w:val="21"/>
                <w:lang w:val="en-US" w:eastAsia="zh-CN"/>
              </w:rPr>
              <w:t>25</w:t>
            </w:r>
          </w:p>
        </w:tc>
        <w:tc>
          <w:tcPr>
            <w:tcW w:w="976" w:type="dxa"/>
            <w:vAlign w:val="center"/>
          </w:tcPr>
          <w:p w14:paraId="2FDB99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eastAsia" w:ascii="Times New Roman" w:hAnsi="Times New Roman" w:eastAsia="宋体" w:cs="Times New Roman"/>
                <w:b w:val="0"/>
                <w:bCs w:val="0"/>
                <w:color w:val="auto"/>
                <w:spacing w:val="0"/>
                <w:w w:val="100"/>
                <w:sz w:val="21"/>
                <w:szCs w:val="21"/>
                <w:lang w:val="en-US" w:eastAsia="zh-CN"/>
              </w:rPr>
              <w:t>2</w:t>
            </w:r>
            <w:r>
              <w:rPr>
                <w:rFonts w:hint="default" w:ascii="Times New Roman" w:hAnsi="Times New Roman" w:eastAsia="宋体" w:cs="Times New Roman"/>
                <w:b w:val="0"/>
                <w:bCs w:val="0"/>
                <w:color w:val="auto"/>
                <w:spacing w:val="0"/>
                <w:w w:val="100"/>
                <w:sz w:val="21"/>
                <w:szCs w:val="21"/>
              </w:rPr>
              <w:t>.5</w:t>
            </w:r>
          </w:p>
        </w:tc>
      </w:tr>
      <w:tr w14:paraId="2081E9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0" w:hRule="atLeast"/>
          <w:jc w:val="center"/>
        </w:trPr>
        <w:tc>
          <w:tcPr>
            <w:tcW w:w="1896" w:type="dxa"/>
            <w:vAlign w:val="center"/>
          </w:tcPr>
          <w:p w14:paraId="3F92AA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出水（mg/L）</w:t>
            </w:r>
          </w:p>
        </w:tc>
        <w:tc>
          <w:tcPr>
            <w:tcW w:w="1015" w:type="dxa"/>
            <w:vAlign w:val="center"/>
          </w:tcPr>
          <w:p w14:paraId="139178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≤30</w:t>
            </w:r>
          </w:p>
        </w:tc>
        <w:tc>
          <w:tcPr>
            <w:tcW w:w="982" w:type="dxa"/>
            <w:vAlign w:val="center"/>
          </w:tcPr>
          <w:p w14:paraId="032F96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≤6</w:t>
            </w:r>
          </w:p>
        </w:tc>
        <w:tc>
          <w:tcPr>
            <w:tcW w:w="905" w:type="dxa"/>
            <w:vAlign w:val="center"/>
          </w:tcPr>
          <w:p w14:paraId="5B037B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≤10</w:t>
            </w:r>
          </w:p>
        </w:tc>
        <w:tc>
          <w:tcPr>
            <w:tcW w:w="906" w:type="dxa"/>
            <w:vAlign w:val="center"/>
          </w:tcPr>
          <w:p w14:paraId="3E3331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≤12</w:t>
            </w:r>
          </w:p>
        </w:tc>
        <w:tc>
          <w:tcPr>
            <w:tcW w:w="1846" w:type="dxa"/>
            <w:vAlign w:val="center"/>
          </w:tcPr>
          <w:p w14:paraId="2AD3E9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≤1.5（3）</w:t>
            </w:r>
          </w:p>
        </w:tc>
        <w:tc>
          <w:tcPr>
            <w:tcW w:w="976" w:type="dxa"/>
            <w:vAlign w:val="center"/>
          </w:tcPr>
          <w:p w14:paraId="529872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≤0.3</w:t>
            </w:r>
          </w:p>
        </w:tc>
      </w:tr>
      <w:tr w14:paraId="4FEC8D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6" w:hRule="atLeast"/>
          <w:jc w:val="center"/>
        </w:trPr>
        <w:tc>
          <w:tcPr>
            <w:tcW w:w="1896" w:type="dxa"/>
            <w:vAlign w:val="center"/>
          </w:tcPr>
          <w:p w14:paraId="678FFE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去除率</w:t>
            </w:r>
          </w:p>
        </w:tc>
        <w:tc>
          <w:tcPr>
            <w:tcW w:w="1015" w:type="dxa"/>
            <w:vAlign w:val="center"/>
          </w:tcPr>
          <w:p w14:paraId="2F1DFE83">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i w:val="0"/>
                <w:iCs w:val="0"/>
                <w:color w:val="000000"/>
                <w:kern w:val="0"/>
                <w:sz w:val="21"/>
                <w:szCs w:val="21"/>
                <w:u w:val="none"/>
                <w:lang w:val="en-US" w:eastAsia="zh-CN" w:bidi="ar"/>
              </w:rPr>
              <w:t>91.43%</w:t>
            </w:r>
          </w:p>
        </w:tc>
        <w:tc>
          <w:tcPr>
            <w:tcW w:w="982" w:type="dxa"/>
            <w:vAlign w:val="center"/>
          </w:tcPr>
          <w:p w14:paraId="2995FBE7">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i w:val="0"/>
                <w:iCs w:val="0"/>
                <w:color w:val="000000"/>
                <w:kern w:val="0"/>
                <w:sz w:val="21"/>
                <w:szCs w:val="21"/>
                <w:u w:val="none"/>
                <w:lang w:val="en-US" w:eastAsia="zh-CN" w:bidi="ar"/>
              </w:rPr>
              <w:t>96.00%</w:t>
            </w:r>
          </w:p>
        </w:tc>
        <w:tc>
          <w:tcPr>
            <w:tcW w:w="905" w:type="dxa"/>
            <w:vAlign w:val="center"/>
          </w:tcPr>
          <w:p w14:paraId="619A3545">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i w:val="0"/>
                <w:iCs w:val="0"/>
                <w:color w:val="000000"/>
                <w:kern w:val="0"/>
                <w:sz w:val="21"/>
                <w:szCs w:val="21"/>
                <w:u w:val="none"/>
                <w:lang w:val="en-US" w:eastAsia="zh-CN" w:bidi="ar"/>
              </w:rPr>
              <w:t>96.00%</w:t>
            </w:r>
          </w:p>
        </w:tc>
        <w:tc>
          <w:tcPr>
            <w:tcW w:w="906" w:type="dxa"/>
            <w:vAlign w:val="center"/>
          </w:tcPr>
          <w:p w14:paraId="5EC10DAA">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i w:val="0"/>
                <w:iCs w:val="0"/>
                <w:color w:val="000000"/>
                <w:kern w:val="0"/>
                <w:sz w:val="21"/>
                <w:szCs w:val="21"/>
                <w:u w:val="none"/>
                <w:lang w:val="en-US" w:eastAsia="zh-CN" w:bidi="ar"/>
              </w:rPr>
              <w:t>73.33%</w:t>
            </w:r>
          </w:p>
        </w:tc>
        <w:tc>
          <w:tcPr>
            <w:tcW w:w="1846" w:type="dxa"/>
            <w:vAlign w:val="center"/>
          </w:tcPr>
          <w:p w14:paraId="39BC9B3B">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i w:val="0"/>
                <w:iCs w:val="0"/>
                <w:color w:val="000000"/>
                <w:kern w:val="0"/>
                <w:sz w:val="21"/>
                <w:szCs w:val="21"/>
                <w:u w:val="none"/>
                <w:lang w:val="en-US" w:eastAsia="zh-CN" w:bidi="ar"/>
              </w:rPr>
              <w:t>94.00%</w:t>
            </w:r>
            <w:r>
              <w:rPr>
                <w:rFonts w:hint="eastAsia" w:ascii="Times New Roman" w:hAnsi="Times New Roman" w:eastAsia="宋体" w:cs="Times New Roman"/>
                <w:i w:val="0"/>
                <w:iCs w:val="0"/>
                <w:color w:val="000000"/>
                <w:kern w:val="0"/>
                <w:sz w:val="21"/>
                <w:szCs w:val="21"/>
                <w:u w:val="none"/>
                <w:lang w:val="en-US" w:eastAsia="zh-CN" w:bidi="ar"/>
              </w:rPr>
              <w:t>(88%)</w:t>
            </w:r>
          </w:p>
        </w:tc>
        <w:tc>
          <w:tcPr>
            <w:tcW w:w="976" w:type="dxa"/>
            <w:vAlign w:val="center"/>
          </w:tcPr>
          <w:p w14:paraId="5820B6CB">
            <w:pPr>
              <w:keepNext w:val="0"/>
              <w:keepLines w:val="0"/>
              <w:widowControl/>
              <w:suppressLineNumbers w:val="0"/>
              <w:jc w:val="center"/>
              <w:textAlignment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i w:val="0"/>
                <w:iCs w:val="0"/>
                <w:color w:val="000000"/>
                <w:kern w:val="0"/>
                <w:sz w:val="21"/>
                <w:szCs w:val="21"/>
                <w:u w:val="none"/>
                <w:lang w:val="en-US" w:eastAsia="zh-CN" w:bidi="ar"/>
              </w:rPr>
              <w:t>88.00%</w:t>
            </w:r>
          </w:p>
        </w:tc>
      </w:tr>
      <w:tr w14:paraId="212900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jc w:val="center"/>
        </w:trPr>
        <w:tc>
          <w:tcPr>
            <w:tcW w:w="8526" w:type="dxa"/>
            <w:gridSpan w:val="7"/>
            <w:vAlign w:val="center"/>
          </w:tcPr>
          <w:p w14:paraId="578B88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210" w:firstLineChars="100"/>
              <w:jc w:val="left"/>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注：括号外数值为水温</w:t>
            </w:r>
            <w:r>
              <w:rPr>
                <w:rFonts w:hint="default" w:ascii="Times New Roman" w:hAnsi="Times New Roman" w:eastAsia="宋体" w:cs="Times New Roman"/>
                <w:color w:val="auto"/>
                <w:spacing w:val="0"/>
                <w:w w:val="100"/>
                <w:sz w:val="21"/>
                <w:szCs w:val="21"/>
                <w:highlight w:val="none"/>
              </w:rPr>
              <w:t>＞</w:t>
            </w:r>
            <w:r>
              <w:rPr>
                <w:rFonts w:hint="default" w:ascii="Times New Roman" w:hAnsi="Times New Roman" w:eastAsia="宋体" w:cs="Times New Roman"/>
                <w:color w:val="auto"/>
                <w:spacing w:val="0"/>
                <w:w w:val="100"/>
                <w:sz w:val="21"/>
                <w:szCs w:val="21"/>
              </w:rPr>
              <w:t>12℃控制指标，括号内数据为温度≤12℃时的控制指标。</w:t>
            </w:r>
          </w:p>
          <w:p w14:paraId="613D18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210" w:firstLineChars="100"/>
              <w:jc w:val="left"/>
              <w:textAlignment w:val="auto"/>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color w:val="auto"/>
                <w:spacing w:val="0"/>
                <w:w w:val="100"/>
                <w:sz w:val="21"/>
                <w:szCs w:val="21"/>
              </w:rPr>
              <w:t>污染物排放监测位置：污水处理厂</w:t>
            </w:r>
            <w:r>
              <w:rPr>
                <w:rFonts w:hint="eastAsia" w:ascii="Times New Roman" w:hAnsi="Times New Roman" w:eastAsia="宋体" w:cs="Times New Roman"/>
                <w:color w:val="auto"/>
                <w:spacing w:val="0"/>
                <w:w w:val="100"/>
                <w:sz w:val="21"/>
                <w:szCs w:val="21"/>
                <w:lang w:eastAsia="zh-CN"/>
              </w:rPr>
              <w:t>污水</w:t>
            </w:r>
            <w:r>
              <w:rPr>
                <w:rFonts w:hint="default" w:ascii="Times New Roman" w:hAnsi="Times New Roman" w:eastAsia="宋体" w:cs="Times New Roman"/>
                <w:color w:val="auto"/>
                <w:spacing w:val="0"/>
                <w:w w:val="100"/>
                <w:sz w:val="21"/>
                <w:szCs w:val="21"/>
              </w:rPr>
              <w:t>总排放口</w:t>
            </w:r>
          </w:p>
        </w:tc>
      </w:tr>
    </w:tbl>
    <w:p w14:paraId="46184FFA">
      <w:pPr>
        <w:widowControl w:val="0"/>
        <w:spacing w:before="120" w:beforeLines="50" w:after="120" w:afterLines="50" w:line="240" w:lineRule="auto"/>
        <w:ind w:firstLine="0" w:firstLineChars="0"/>
        <w:jc w:val="both"/>
        <w:outlineLvl w:val="1"/>
        <w:rPr>
          <w:rFonts w:hint="default" w:ascii="Times New Roman" w:hAnsi="Times New Roman" w:eastAsia="宋体" w:cs="Times New Roman"/>
          <w:b/>
          <w:color w:val="auto"/>
          <w:spacing w:val="0"/>
          <w:w w:val="100"/>
          <w:kern w:val="2"/>
          <w:sz w:val="28"/>
          <w:szCs w:val="28"/>
          <w:lang w:val="en-US" w:eastAsia="zh-CN" w:bidi="ar-SA"/>
        </w:rPr>
      </w:pPr>
      <w:r>
        <w:rPr>
          <w:rFonts w:hint="default" w:ascii="Times New Roman" w:hAnsi="Times New Roman" w:eastAsia="宋体" w:cs="Times New Roman"/>
          <w:b/>
          <w:color w:val="auto"/>
          <w:spacing w:val="0"/>
          <w:w w:val="100"/>
          <w:kern w:val="2"/>
          <w:sz w:val="28"/>
          <w:szCs w:val="28"/>
          <w:lang w:val="en-US" w:eastAsia="zh-CN" w:bidi="ar-SA"/>
        </w:rPr>
        <w:t>2.2工程污染源分析</w:t>
      </w:r>
      <w:bookmarkEnd w:id="40"/>
    </w:p>
    <w:p w14:paraId="75B28D00">
      <w:pPr>
        <w:numPr>
          <w:ilvl w:val="0"/>
          <w:numId w:val="7"/>
        </w:numPr>
        <w:spacing w:line="360" w:lineRule="auto"/>
        <w:ind w:firstLine="480" w:firstLineChars="200"/>
        <w:rPr>
          <w:rFonts w:hint="default" w:ascii="Times New Roman" w:hAnsi="Times New Roman" w:eastAsia="宋体" w:cs="Times New Roman"/>
          <w:color w:val="auto"/>
          <w:spacing w:val="0"/>
          <w:w w:val="100"/>
          <w:sz w:val="21"/>
          <w:szCs w:val="24"/>
        </w:rPr>
      </w:pPr>
      <w:r>
        <w:rPr>
          <w:rFonts w:hint="default" w:ascii="Times New Roman" w:hAnsi="Times New Roman" w:eastAsia="宋体" w:cs="Times New Roman"/>
          <w:color w:val="auto"/>
          <w:spacing w:val="0"/>
          <w:w w:val="100"/>
          <w:sz w:val="24"/>
          <w:szCs w:val="24"/>
        </w:rPr>
        <w:t>运营期工艺流程</w:t>
      </w:r>
      <w:r>
        <w:rPr>
          <w:rFonts w:hint="default" w:ascii="Times New Roman" w:hAnsi="Times New Roman" w:eastAsia="宋体" w:cs="Times New Roman"/>
          <w:color w:val="auto"/>
          <w:spacing w:val="0"/>
          <w:w w:val="100"/>
          <w:sz w:val="24"/>
          <w:szCs w:val="24"/>
          <w:lang w:val="en-US" w:eastAsia="zh-CN"/>
        </w:rPr>
        <w:t>及产污环节</w:t>
      </w:r>
    </w:p>
    <w:p w14:paraId="0BDA2E23">
      <w:pPr>
        <w:numPr>
          <w:ilvl w:val="0"/>
          <w:numId w:val="0"/>
        </w:numPr>
        <w:spacing w:line="360" w:lineRule="auto"/>
        <w:jc w:val="center"/>
        <w:rPr>
          <w:rFonts w:hint="default" w:ascii="Times New Roman" w:hAnsi="Times New Roman" w:eastAsia="宋体" w:cs="Times New Roman"/>
          <w:color w:val="auto"/>
          <w:spacing w:val="0"/>
          <w:w w:val="100"/>
          <w:sz w:val="21"/>
          <w:szCs w:val="24"/>
        </w:rPr>
      </w:pPr>
      <w:r>
        <w:drawing>
          <wp:inline distT="0" distB="0" distL="114300" distR="114300">
            <wp:extent cx="4953000" cy="6562725"/>
            <wp:effectExtent l="0" t="0" r="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24">
                      <a:clrChange>
                        <a:clrFrom>
                          <a:srgbClr val="F9F9F9">
                            <a:alpha val="100000"/>
                          </a:srgbClr>
                        </a:clrFrom>
                        <a:clrTo>
                          <a:srgbClr val="F9F9F9">
                            <a:alpha val="100000"/>
                            <a:alpha val="0"/>
                          </a:srgbClr>
                        </a:clrTo>
                      </a:clrChange>
                    </a:blip>
                    <a:stretch>
                      <a:fillRect/>
                    </a:stretch>
                  </pic:blipFill>
                  <pic:spPr>
                    <a:xfrm>
                      <a:off x="0" y="0"/>
                      <a:ext cx="4953000" cy="6562725"/>
                    </a:xfrm>
                    <a:prstGeom prst="rect">
                      <a:avLst/>
                    </a:prstGeom>
                    <a:noFill/>
                    <a:ln>
                      <a:noFill/>
                    </a:ln>
                  </pic:spPr>
                </pic:pic>
              </a:graphicData>
            </a:graphic>
          </wp:inline>
        </w:drawing>
      </w:r>
    </w:p>
    <w:p w14:paraId="4EA14014">
      <w:pPr>
        <w:keepNext w:val="0"/>
        <w:keepLines w:val="0"/>
        <w:suppressLineNumbers w:val="0"/>
        <w:spacing w:before="0" w:beforeAutospacing="0" w:after="0" w:afterAutospacing="0"/>
        <w:ind w:left="0" w:right="0"/>
        <w:jc w:val="center"/>
        <w:rPr>
          <w:rFonts w:hint="default" w:ascii="Times New Roman" w:hAnsi="Times New Roman" w:cs="Times New Roman"/>
          <w:color w:val="auto"/>
          <w:spacing w:val="0"/>
          <w:w w:val="100"/>
        </w:rPr>
      </w:pPr>
      <w:r>
        <w:rPr>
          <w:rFonts w:hint="default" w:ascii="Times New Roman" w:hAnsi="Times New Roman" w:cs="Times New Roman"/>
          <w:color w:val="auto"/>
          <w:spacing w:val="0"/>
          <w:w w:val="100"/>
        </w:rPr>
        <w:t>图</w:t>
      </w:r>
      <w:r>
        <w:rPr>
          <w:rFonts w:hint="eastAsia" w:ascii="Times New Roman" w:hAnsi="Times New Roman" w:cs="Times New Roman"/>
          <w:color w:val="auto"/>
          <w:spacing w:val="0"/>
          <w:w w:val="100"/>
          <w:lang w:val="en-US" w:eastAsia="zh-CN"/>
        </w:rPr>
        <w:t>2-1</w:t>
      </w:r>
      <w:r>
        <w:rPr>
          <w:rFonts w:hint="default" w:ascii="Times New Roman" w:hAnsi="Times New Roman" w:cs="Times New Roman"/>
          <w:color w:val="auto"/>
          <w:spacing w:val="0"/>
          <w:w w:val="100"/>
        </w:rPr>
        <w:t xml:space="preserve">  </w:t>
      </w:r>
      <w:r>
        <w:rPr>
          <w:rFonts w:hint="default" w:ascii="Times New Roman" w:hAnsi="Times New Roman" w:cs="Times New Roman"/>
          <w:color w:val="auto"/>
          <w:spacing w:val="0"/>
          <w:w w:val="100"/>
          <w:lang w:val="en-US" w:eastAsia="zh-CN"/>
        </w:rPr>
        <w:t xml:space="preserve"> </w:t>
      </w:r>
      <w:r>
        <w:rPr>
          <w:rFonts w:hint="eastAsia" w:ascii="Times New Roman" w:hAnsi="Times New Roman" w:cs="Times New Roman"/>
          <w:color w:val="auto"/>
          <w:spacing w:val="0"/>
          <w:w w:val="100"/>
          <w:lang w:val="en-US" w:eastAsia="zh-CN"/>
        </w:rPr>
        <w:t>污水处理</w:t>
      </w:r>
      <w:r>
        <w:rPr>
          <w:rFonts w:hint="default" w:ascii="Times New Roman" w:hAnsi="Times New Roman" w:cs="Times New Roman"/>
          <w:color w:val="auto"/>
          <w:spacing w:val="0"/>
          <w:w w:val="100"/>
        </w:rPr>
        <w:t>生产工艺流程及产污环节图</w:t>
      </w:r>
    </w:p>
    <w:p w14:paraId="79AD46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污水处理工艺简述如下：进水</w:t>
      </w:r>
      <w:r>
        <w:rPr>
          <w:rFonts w:hint="eastAsia" w:ascii="Times New Roman" w:hAnsi="Times New Roman" w:eastAsia="宋体" w:cs="Times New Roman"/>
          <w:color w:val="auto"/>
          <w:spacing w:val="0"/>
          <w:w w:val="100"/>
          <w:sz w:val="24"/>
          <w:szCs w:val="24"/>
          <w:lang w:val="en-US" w:eastAsia="zh-CN"/>
        </w:rPr>
        <w:t>分别为食品产业园进水及新材料产业园进水，分别经一套</w:t>
      </w:r>
      <w:r>
        <w:rPr>
          <w:rFonts w:hint="default" w:ascii="Times New Roman" w:hAnsi="Times New Roman" w:eastAsia="宋体" w:cs="Times New Roman"/>
          <w:color w:val="auto"/>
          <w:spacing w:val="0"/>
          <w:w w:val="100"/>
          <w:sz w:val="24"/>
          <w:szCs w:val="24"/>
          <w:lang w:eastAsia="zh-CN"/>
        </w:rPr>
        <w:t>格栅除渣后进入沉砂池进一步去除较大的颗粒物后，进入</w:t>
      </w:r>
      <w:r>
        <w:rPr>
          <w:rFonts w:hint="eastAsia" w:ascii="Times New Roman" w:hAnsi="Times New Roman" w:eastAsia="宋体" w:cs="Times New Roman"/>
          <w:color w:val="auto"/>
          <w:spacing w:val="0"/>
          <w:w w:val="100"/>
          <w:sz w:val="24"/>
          <w:szCs w:val="24"/>
          <w:lang w:eastAsia="zh-CN"/>
        </w:rPr>
        <w:t>调节池调节水量后</w:t>
      </w:r>
      <w:r>
        <w:rPr>
          <w:rFonts w:hint="default" w:ascii="Times New Roman" w:hAnsi="Times New Roman" w:eastAsia="宋体" w:cs="Times New Roman"/>
          <w:color w:val="auto"/>
          <w:spacing w:val="0"/>
          <w:w w:val="100"/>
          <w:sz w:val="24"/>
          <w:szCs w:val="24"/>
          <w:lang w:eastAsia="zh-CN"/>
        </w:rPr>
        <w:t>进入A</w:t>
      </w:r>
      <w:r>
        <w:rPr>
          <w:rFonts w:hint="eastAsia"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lang w:eastAsia="zh-CN"/>
        </w:rPr>
        <w:t>/O</w:t>
      </w:r>
      <w:r>
        <w:rPr>
          <w:rFonts w:hint="eastAsia" w:ascii="Times New Roman" w:hAnsi="Times New Roman" w:eastAsia="宋体" w:cs="Times New Roman"/>
          <w:color w:val="auto"/>
          <w:spacing w:val="0"/>
          <w:w w:val="100"/>
          <w:sz w:val="24"/>
          <w:szCs w:val="24"/>
          <w:lang w:val="en-US" w:eastAsia="zh-CN"/>
        </w:rPr>
        <w:t>+MBR</w:t>
      </w:r>
      <w:r>
        <w:rPr>
          <w:rFonts w:hint="default" w:ascii="Times New Roman" w:hAnsi="Times New Roman" w:eastAsia="宋体" w:cs="Times New Roman"/>
          <w:color w:val="auto"/>
          <w:spacing w:val="0"/>
          <w:w w:val="100"/>
          <w:sz w:val="24"/>
          <w:szCs w:val="24"/>
          <w:lang w:eastAsia="zh-CN"/>
        </w:rPr>
        <w:t>池，进行生物降解，去除COD、BOD和脱氮除磷之后进入</w:t>
      </w:r>
      <w:r>
        <w:rPr>
          <w:rFonts w:hint="eastAsia" w:ascii="Times New Roman" w:hAnsi="Times New Roman" w:eastAsia="宋体" w:cs="Times New Roman"/>
          <w:color w:val="auto"/>
          <w:spacing w:val="0"/>
          <w:w w:val="100"/>
          <w:sz w:val="24"/>
          <w:szCs w:val="24"/>
          <w:lang w:eastAsia="zh-CN"/>
        </w:rPr>
        <w:t>二沉池</w:t>
      </w:r>
      <w:r>
        <w:rPr>
          <w:rFonts w:hint="default" w:ascii="Times New Roman" w:hAnsi="Times New Roman" w:eastAsia="宋体" w:cs="Times New Roman"/>
          <w:color w:val="auto"/>
          <w:spacing w:val="0"/>
          <w:w w:val="100"/>
          <w:sz w:val="24"/>
          <w:szCs w:val="24"/>
          <w:lang w:eastAsia="zh-CN"/>
        </w:rPr>
        <w:t>进一步去除SS、COD、TP等污染物，然后进入</w:t>
      </w:r>
      <w:r>
        <w:rPr>
          <w:rFonts w:hint="eastAsia" w:ascii="Times New Roman" w:hAnsi="Times New Roman" w:eastAsia="宋体" w:cs="Times New Roman"/>
          <w:color w:val="auto"/>
          <w:spacing w:val="0"/>
          <w:w w:val="100"/>
          <w:sz w:val="24"/>
          <w:szCs w:val="24"/>
          <w:lang w:val="en-US" w:eastAsia="zh-CN"/>
        </w:rPr>
        <w:t>活性炭</w:t>
      </w:r>
      <w:r>
        <w:rPr>
          <w:rFonts w:hint="eastAsia" w:ascii="Times New Roman" w:hAnsi="Times New Roman" w:eastAsia="宋体" w:cs="Times New Roman"/>
          <w:color w:val="auto"/>
          <w:spacing w:val="0"/>
          <w:w w:val="100"/>
          <w:sz w:val="24"/>
          <w:szCs w:val="24"/>
        </w:rPr>
        <w:t>滤池</w:t>
      </w:r>
      <w:r>
        <w:rPr>
          <w:rFonts w:hint="default" w:ascii="Times New Roman" w:hAnsi="Times New Roman" w:eastAsia="宋体" w:cs="Times New Roman"/>
          <w:color w:val="auto"/>
          <w:spacing w:val="0"/>
          <w:w w:val="100"/>
          <w:sz w:val="24"/>
          <w:szCs w:val="24"/>
          <w:lang w:eastAsia="zh-CN"/>
        </w:rPr>
        <w:t>进一步去除SS、TN，确保出水达到《陕西省黄河流域污水综合排放标准》中的A标准，经</w:t>
      </w:r>
      <w:r>
        <w:rPr>
          <w:rFonts w:hint="eastAsia" w:ascii="Times New Roman" w:hAnsi="Times New Roman" w:eastAsia="宋体" w:cs="Times New Roman"/>
          <w:color w:val="auto"/>
          <w:spacing w:val="0"/>
          <w:w w:val="100"/>
          <w:sz w:val="24"/>
          <w:szCs w:val="24"/>
          <w:lang w:eastAsia="zh-CN"/>
        </w:rPr>
        <w:t>接触消毒池</w:t>
      </w:r>
      <w:r>
        <w:rPr>
          <w:rFonts w:hint="default" w:ascii="Times New Roman" w:hAnsi="Times New Roman" w:eastAsia="宋体" w:cs="Times New Roman"/>
          <w:color w:val="auto"/>
          <w:spacing w:val="0"/>
          <w:w w:val="100"/>
          <w:sz w:val="24"/>
          <w:szCs w:val="24"/>
          <w:lang w:eastAsia="zh-CN"/>
        </w:rPr>
        <w:t>消毒后</w:t>
      </w:r>
      <w:r>
        <w:rPr>
          <w:rFonts w:hint="eastAsia" w:ascii="Times New Roman" w:hAnsi="Times New Roman" w:eastAsia="宋体" w:cs="Times New Roman"/>
          <w:color w:val="auto"/>
          <w:spacing w:val="0"/>
          <w:w w:val="100"/>
          <w:sz w:val="24"/>
          <w:szCs w:val="24"/>
          <w:lang w:val="en-US" w:eastAsia="zh-CN"/>
        </w:rPr>
        <w:t>部分回用</w:t>
      </w:r>
      <w:r>
        <w:rPr>
          <w:rFonts w:hint="default" w:ascii="Times New Roman" w:hAnsi="Times New Roman" w:eastAsia="宋体" w:cs="Times New Roman"/>
          <w:color w:val="auto"/>
          <w:spacing w:val="0"/>
          <w:w w:val="100"/>
          <w:sz w:val="24"/>
          <w:szCs w:val="24"/>
          <w:lang w:eastAsia="zh-CN"/>
        </w:rPr>
        <w:t>，</w:t>
      </w:r>
      <w:r>
        <w:rPr>
          <w:rFonts w:hint="eastAsia" w:ascii="Times New Roman" w:hAnsi="Times New Roman" w:eastAsia="宋体" w:cs="Times New Roman"/>
          <w:color w:val="auto"/>
          <w:spacing w:val="0"/>
          <w:w w:val="100"/>
          <w:sz w:val="24"/>
          <w:szCs w:val="24"/>
          <w:lang w:val="en-US" w:eastAsia="zh-CN"/>
        </w:rPr>
        <w:t>剩余水量</w:t>
      </w:r>
      <w:r>
        <w:rPr>
          <w:rFonts w:hint="default" w:ascii="Times New Roman" w:hAnsi="Times New Roman" w:eastAsia="宋体" w:cs="Times New Roman"/>
          <w:color w:val="auto"/>
          <w:spacing w:val="0"/>
          <w:w w:val="100"/>
          <w:sz w:val="24"/>
          <w:szCs w:val="24"/>
          <w:lang w:eastAsia="zh-CN"/>
        </w:rPr>
        <w:t>最终排入</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lang w:eastAsia="zh-CN"/>
        </w:rPr>
        <w:t>。</w:t>
      </w:r>
    </w:p>
    <w:p w14:paraId="3B0CB7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eastAsia"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污泥处理工艺流程：A</w:t>
      </w:r>
      <w:r>
        <w:rPr>
          <w:rFonts w:hint="eastAsia"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lang w:eastAsia="zh-CN"/>
        </w:rPr>
        <w:t>/O</w:t>
      </w:r>
      <w:r>
        <w:rPr>
          <w:rFonts w:hint="eastAsia" w:ascii="Times New Roman" w:hAnsi="Times New Roman" w:eastAsia="宋体" w:cs="Times New Roman"/>
          <w:color w:val="auto"/>
          <w:spacing w:val="0"/>
          <w:w w:val="100"/>
          <w:sz w:val="24"/>
          <w:szCs w:val="24"/>
          <w:lang w:val="en-US" w:eastAsia="zh-CN"/>
        </w:rPr>
        <w:t>+MBR</w:t>
      </w:r>
      <w:r>
        <w:rPr>
          <w:rFonts w:hint="default" w:ascii="Times New Roman" w:hAnsi="Times New Roman" w:eastAsia="宋体" w:cs="Times New Roman"/>
          <w:color w:val="auto"/>
          <w:spacing w:val="0"/>
          <w:w w:val="100"/>
          <w:sz w:val="24"/>
          <w:szCs w:val="24"/>
          <w:lang w:eastAsia="zh-CN"/>
        </w:rPr>
        <w:t>池产生污水混合物，部分回流，剩余污泥经一起经</w:t>
      </w:r>
      <w:r>
        <w:rPr>
          <w:rFonts w:hint="eastAsia" w:ascii="Times New Roman" w:hAnsi="Times New Roman" w:eastAsia="宋体" w:cs="Times New Roman"/>
          <w:color w:val="auto"/>
          <w:spacing w:val="0"/>
          <w:w w:val="100"/>
          <w:sz w:val="24"/>
          <w:szCs w:val="24"/>
          <w:lang w:eastAsia="zh-CN"/>
        </w:rPr>
        <w:t>储泥池</w:t>
      </w:r>
      <w:r>
        <w:rPr>
          <w:rFonts w:hint="default" w:ascii="Times New Roman" w:hAnsi="Times New Roman" w:eastAsia="宋体" w:cs="Times New Roman"/>
          <w:color w:val="auto"/>
          <w:spacing w:val="0"/>
          <w:w w:val="100"/>
          <w:sz w:val="24"/>
          <w:szCs w:val="24"/>
          <w:lang w:eastAsia="zh-CN"/>
        </w:rPr>
        <w:t>进行</w:t>
      </w:r>
      <w:r>
        <w:rPr>
          <w:rFonts w:hint="eastAsia" w:ascii="Times New Roman" w:hAnsi="Times New Roman" w:eastAsia="宋体" w:cs="Times New Roman"/>
          <w:color w:val="auto"/>
          <w:spacing w:val="0"/>
          <w:w w:val="100"/>
          <w:sz w:val="24"/>
          <w:szCs w:val="24"/>
          <w:lang w:val="en-US" w:eastAsia="zh-CN"/>
        </w:rPr>
        <w:t>消化+浓缩</w:t>
      </w:r>
      <w:r>
        <w:rPr>
          <w:rFonts w:hint="default" w:ascii="Times New Roman" w:hAnsi="Times New Roman" w:eastAsia="宋体" w:cs="Times New Roman"/>
          <w:color w:val="auto"/>
          <w:spacing w:val="0"/>
          <w:w w:val="100"/>
          <w:sz w:val="24"/>
          <w:szCs w:val="24"/>
          <w:lang w:eastAsia="zh-CN"/>
        </w:rPr>
        <w:t>、泥水分离后，经</w:t>
      </w:r>
      <w:r>
        <w:rPr>
          <w:rFonts w:hint="eastAsia" w:ascii="Times New Roman" w:hAnsi="Times New Roman" w:eastAsia="宋体" w:cs="Times New Roman"/>
          <w:color w:val="auto"/>
          <w:spacing w:val="0"/>
          <w:w w:val="100"/>
          <w:sz w:val="24"/>
          <w:szCs w:val="24"/>
          <w:lang w:eastAsia="zh-CN"/>
        </w:rPr>
        <w:t>污泥浓缩</w:t>
      </w:r>
      <w:r>
        <w:rPr>
          <w:rFonts w:hint="default" w:ascii="Times New Roman" w:hAnsi="Times New Roman" w:eastAsia="宋体" w:cs="Times New Roman"/>
          <w:color w:val="auto"/>
          <w:spacing w:val="0"/>
          <w:w w:val="100"/>
          <w:sz w:val="24"/>
          <w:szCs w:val="24"/>
          <w:lang w:eastAsia="zh-CN"/>
        </w:rPr>
        <w:t>后由</w:t>
      </w:r>
      <w:r>
        <w:rPr>
          <w:rFonts w:hint="eastAsia" w:ascii="Times New Roman" w:hAnsi="Times New Roman" w:eastAsia="宋体" w:cs="Times New Roman"/>
          <w:color w:val="auto"/>
          <w:spacing w:val="0"/>
          <w:w w:val="100"/>
          <w:sz w:val="24"/>
          <w:szCs w:val="24"/>
          <w:lang w:val="en-US" w:eastAsia="zh-CN"/>
        </w:rPr>
        <w:t>污泥脱水机</w:t>
      </w:r>
      <w:r>
        <w:rPr>
          <w:rFonts w:hint="default" w:ascii="Times New Roman" w:hAnsi="Times New Roman" w:eastAsia="宋体" w:cs="Times New Roman"/>
          <w:color w:val="auto"/>
          <w:spacing w:val="0"/>
          <w:w w:val="100"/>
          <w:sz w:val="24"/>
          <w:szCs w:val="24"/>
          <w:lang w:eastAsia="zh-CN"/>
        </w:rPr>
        <w:t>处理后，泥饼外运，滤液回流至闸门井处重新处理</w:t>
      </w:r>
      <w:r>
        <w:rPr>
          <w:rFonts w:hint="eastAsia" w:ascii="Times New Roman" w:hAnsi="Times New Roman" w:eastAsia="宋体" w:cs="Times New Roman"/>
          <w:color w:val="auto"/>
          <w:spacing w:val="0"/>
          <w:w w:val="100"/>
          <w:sz w:val="24"/>
          <w:szCs w:val="24"/>
          <w:lang w:eastAsia="zh-CN"/>
        </w:rPr>
        <w:t>。</w:t>
      </w:r>
    </w:p>
    <w:p w14:paraId="5AE53B2D">
      <w:pPr>
        <w:spacing w:line="360" w:lineRule="auto"/>
        <w:ind w:firstLine="480" w:firstLineChars="200"/>
        <w:rPr>
          <w:rFonts w:hint="default" w:ascii="Times New Roman" w:hAnsi="Times New Roman" w:eastAsia="宋体" w:cs="Times New Roman"/>
          <w:color w:val="auto"/>
          <w:spacing w:val="0"/>
          <w:w w:val="100"/>
          <w:sz w:val="24"/>
          <w:szCs w:val="22"/>
          <w:lang w:val="en-US" w:eastAsia="zh-CN"/>
        </w:rPr>
      </w:pPr>
      <w:r>
        <w:rPr>
          <w:rFonts w:hint="default" w:ascii="Times New Roman" w:hAnsi="Times New Roman" w:eastAsia="宋体" w:cs="Times New Roman"/>
          <w:color w:val="auto"/>
          <w:spacing w:val="0"/>
          <w:w w:val="100"/>
          <w:sz w:val="24"/>
          <w:szCs w:val="22"/>
          <w:lang w:val="en-US" w:eastAsia="zh-CN"/>
        </w:rPr>
        <w:t>2、污水处理规模</w:t>
      </w:r>
    </w:p>
    <w:p w14:paraId="2F583B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72"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2"/>
          <w:sz w:val="24"/>
          <w:szCs w:val="24"/>
        </w:rPr>
        <w:t>现状园区入驻</w:t>
      </w:r>
      <w:r>
        <w:rPr>
          <w:rFonts w:hint="default" w:ascii="Times New Roman" w:hAnsi="Times New Roman" w:eastAsia="宋体" w:cs="Times New Roman"/>
          <w:color w:val="auto"/>
          <w:spacing w:val="0"/>
          <w:w w:val="100"/>
          <w:sz w:val="24"/>
          <w:szCs w:val="24"/>
          <w:lang w:eastAsia="zh-CN"/>
        </w:rPr>
        <w:t>企业</w:t>
      </w:r>
      <w:r>
        <w:rPr>
          <w:rFonts w:hint="default" w:ascii="Times New Roman" w:hAnsi="Times New Roman" w:eastAsia="宋体" w:cs="Times New Roman"/>
          <w:spacing w:val="-2"/>
          <w:sz w:val="24"/>
          <w:szCs w:val="24"/>
        </w:rPr>
        <w:t>80家，根据《</w:t>
      </w:r>
      <w:r>
        <w:rPr>
          <w:rFonts w:hint="default" w:ascii="Times New Roman" w:hAnsi="Times New Roman" w:cs="Times New Roman"/>
          <w:color w:val="auto"/>
          <w:spacing w:val="0"/>
          <w:w w:val="100"/>
          <w:sz w:val="24"/>
          <w:szCs w:val="24"/>
          <w:lang w:eastAsia="zh-CN"/>
        </w:rPr>
        <w:t>陕西陇县经济技术开发区总体规划（2022-2035）</w:t>
      </w:r>
      <w:r>
        <w:rPr>
          <w:rFonts w:hint="default" w:ascii="Times New Roman" w:hAnsi="Times New Roman" w:eastAsia="宋体" w:cs="Times New Roman"/>
          <w:spacing w:val="-2"/>
          <w:sz w:val="24"/>
          <w:szCs w:val="24"/>
        </w:rPr>
        <w:t>》</w:t>
      </w:r>
      <w:r>
        <w:rPr>
          <w:rFonts w:hint="default" w:ascii="Times New Roman" w:hAnsi="Times New Roman" w:eastAsia="宋体" w:cs="Times New Roman"/>
          <w:spacing w:val="0"/>
          <w:sz w:val="24"/>
          <w:szCs w:val="24"/>
        </w:rPr>
        <w:t>，到2035年，经济总量和质量全面提升，经开区总产值达到200亿元，入驻企业达300户以上，安置就业人数1.3万人。</w:t>
      </w:r>
    </w:p>
    <w:p w14:paraId="050DA390">
      <w:pPr>
        <w:keepNext w:val="0"/>
        <w:keepLines w:val="0"/>
        <w:suppressLineNumbers w:val="0"/>
        <w:spacing w:before="7" w:beforeAutospacing="0" w:after="0" w:afterAutospacing="0" w:line="376" w:lineRule="auto"/>
        <w:ind w:left="123" w:right="215" w:firstLine="561"/>
        <w:jc w:val="both"/>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按照规划，规划2035年经开区工业用地189.09h</w:t>
      </w:r>
      <w:r>
        <w:rPr>
          <w:rFonts w:hint="default" w:ascii="Times New Roman" w:hAnsi="Times New Roman" w:eastAsia="宋体" w:cs="Times New Roman"/>
          <w:b w:val="0"/>
          <w:bCs w:val="0"/>
          <w:color w:val="auto"/>
          <w:spacing w:val="0"/>
          <w:w w:val="100"/>
          <w:sz w:val="24"/>
          <w:szCs w:val="24"/>
          <w:lang w:val="en-US" w:eastAsia="zh-CN"/>
        </w:rPr>
        <w:t>m</w:t>
      </w:r>
      <w:r>
        <w:rPr>
          <w:rFonts w:hint="default" w:ascii="Times New Roman" w:hAnsi="Times New Roman" w:eastAsia="宋体" w:cs="Times New Roman"/>
          <w:b w:val="0"/>
          <w:bCs w:val="0"/>
          <w:color w:val="auto"/>
          <w:spacing w:val="0"/>
          <w:w w:val="100"/>
          <w:sz w:val="24"/>
          <w:szCs w:val="24"/>
          <w:vertAlign w:val="superscript"/>
          <w:lang w:val="en-US" w:eastAsia="zh-CN"/>
        </w:rPr>
        <w:t>2</w:t>
      </w:r>
      <w:r>
        <w:rPr>
          <w:rFonts w:hint="default" w:ascii="Times New Roman" w:hAnsi="Times New Roman" w:eastAsia="宋体" w:cs="Times New Roman"/>
          <w:spacing w:val="-4"/>
          <w:sz w:val="24"/>
          <w:szCs w:val="24"/>
        </w:rPr>
        <w:t>，《城市给水</w:t>
      </w:r>
      <w:r>
        <w:rPr>
          <w:rFonts w:hint="default" w:ascii="Times New Roman" w:hAnsi="Times New Roman" w:eastAsia="宋体" w:cs="Times New Roman"/>
          <w:sz w:val="24"/>
          <w:szCs w:val="24"/>
        </w:rPr>
        <w:t>工程规划规范》，规划年伴随工业节水技术的发展，工</w:t>
      </w:r>
      <w:r>
        <w:rPr>
          <w:rFonts w:hint="default" w:ascii="Times New Roman" w:hAnsi="Times New Roman" w:eastAsia="宋体" w:cs="Times New Roman"/>
          <w:spacing w:val="-1"/>
          <w:sz w:val="24"/>
          <w:szCs w:val="24"/>
        </w:rPr>
        <w:t>业用水指标取值</w:t>
      </w:r>
      <w:r>
        <w:rPr>
          <w:rFonts w:hint="default" w:ascii="Times New Roman" w:hAnsi="Times New Roman" w:eastAsia="宋体" w:cs="Times New Roman"/>
          <w:spacing w:val="-8"/>
          <w:sz w:val="24"/>
          <w:szCs w:val="24"/>
          <w:lang w:val="en-US" w:eastAsia="zh-CN"/>
        </w:rPr>
        <w:t>1</w:t>
      </w:r>
      <w:r>
        <w:rPr>
          <w:rFonts w:hint="default" w:ascii="Times New Roman" w:hAnsi="Times New Roman" w:eastAsia="宋体" w:cs="Times New Roman"/>
          <w:spacing w:val="-8"/>
          <w:sz w:val="24"/>
          <w:szCs w:val="24"/>
        </w:rPr>
        <w:t>0</w:t>
      </w:r>
      <w:r>
        <w:rPr>
          <w:rFonts w:hint="default" w:ascii="Times New Roman" w:hAnsi="Times New Roman" w:eastAsia="宋体" w:cs="Times New Roman"/>
          <w:b w:val="0"/>
          <w:bCs w:val="0"/>
          <w:color w:val="auto"/>
          <w:spacing w:val="0"/>
          <w:w w:val="100"/>
          <w:sz w:val="24"/>
          <w:szCs w:val="24"/>
          <w:lang w:val="en-US" w:eastAsia="zh-CN"/>
        </w:rPr>
        <w:t>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spacing w:val="-8"/>
          <w:sz w:val="24"/>
          <w:szCs w:val="24"/>
        </w:rPr>
        <w:t>/（h</w:t>
      </w:r>
      <w:r>
        <w:rPr>
          <w:rFonts w:hint="default" w:ascii="Times New Roman" w:hAnsi="Times New Roman" w:eastAsia="宋体" w:cs="Times New Roman"/>
          <w:b w:val="0"/>
          <w:bCs w:val="0"/>
          <w:color w:val="auto"/>
          <w:spacing w:val="0"/>
          <w:w w:val="100"/>
          <w:sz w:val="24"/>
          <w:szCs w:val="24"/>
          <w:lang w:val="en-US" w:eastAsia="zh-CN"/>
        </w:rPr>
        <w:t>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spacing w:val="-8"/>
          <w:sz w:val="24"/>
          <w:szCs w:val="24"/>
        </w:rPr>
        <w:t>·d</w:t>
      </w:r>
      <w:r>
        <w:rPr>
          <w:rFonts w:hint="default" w:ascii="Times New Roman" w:hAnsi="Times New Roman" w:eastAsia="宋体" w:cs="Times New Roman"/>
          <w:spacing w:val="-1"/>
          <w:sz w:val="24"/>
          <w:szCs w:val="24"/>
        </w:rPr>
        <w:t>），</w:t>
      </w:r>
      <w:r>
        <w:rPr>
          <w:rFonts w:hint="default" w:ascii="Times New Roman" w:hAnsi="Times New Roman" w:eastAsia="宋体" w:cs="Times New Roman"/>
          <w:spacing w:val="-8"/>
          <w:sz w:val="24"/>
          <w:szCs w:val="24"/>
        </w:rPr>
        <w:t>日变化系数取值1.1。</w:t>
      </w:r>
      <w:r>
        <w:rPr>
          <w:rFonts w:hint="default" w:ascii="Times New Roman" w:hAnsi="Times New Roman" w:eastAsia="宋体" w:cs="Times New Roman"/>
          <w:spacing w:val="-8"/>
          <w:sz w:val="24"/>
          <w:szCs w:val="24"/>
          <w:lang w:val="en-US" w:eastAsia="zh-CN"/>
        </w:rPr>
        <w:t>污</w:t>
      </w:r>
      <w:r>
        <w:rPr>
          <w:rFonts w:hint="default" w:ascii="Times New Roman" w:hAnsi="Times New Roman" w:eastAsia="宋体" w:cs="Times New Roman"/>
          <w:spacing w:val="-9"/>
          <w:sz w:val="24"/>
          <w:szCs w:val="24"/>
        </w:rPr>
        <w:t>水排放量按用水量的70%估算，日污水排放量为1947.61</w:t>
      </w:r>
      <w:r>
        <w:rPr>
          <w:rFonts w:hint="default" w:ascii="Times New Roman" w:hAnsi="Times New Roman" w:eastAsia="宋体" w:cs="Times New Roman"/>
          <w:b w:val="0"/>
          <w:bCs w:val="0"/>
          <w:color w:val="auto"/>
          <w:spacing w:val="0"/>
          <w:w w:val="100"/>
          <w:sz w:val="24"/>
          <w:szCs w:val="24"/>
          <w:lang w:val="en-US" w:eastAsia="zh-CN"/>
        </w:rPr>
        <w:t>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spacing w:val="-9"/>
          <w:sz w:val="24"/>
          <w:szCs w:val="24"/>
        </w:rPr>
        <w:t>/d。因此，本项目污水处理厂日设计污水处理规模按2000</w:t>
      </w:r>
      <w:r>
        <w:rPr>
          <w:rFonts w:hint="default" w:ascii="Times New Roman" w:hAnsi="Times New Roman" w:eastAsia="宋体" w:cs="Times New Roman"/>
          <w:b w:val="0"/>
          <w:bCs w:val="0"/>
          <w:color w:val="auto"/>
          <w:spacing w:val="0"/>
          <w:w w:val="100"/>
          <w:sz w:val="24"/>
          <w:szCs w:val="24"/>
          <w:lang w:val="en-US" w:eastAsia="zh-CN"/>
        </w:rPr>
        <w:t>m</w:t>
      </w:r>
      <w:r>
        <w:rPr>
          <w:rFonts w:hint="default" w:ascii="Times New Roman" w:hAnsi="Times New Roman" w:eastAsia="宋体" w:cs="Times New Roman"/>
          <w:b w:val="0"/>
          <w:bCs w:val="0"/>
          <w:color w:val="auto"/>
          <w:spacing w:val="0"/>
          <w:w w:val="100"/>
          <w:sz w:val="24"/>
          <w:szCs w:val="24"/>
          <w:vertAlign w:val="superscript"/>
          <w:lang w:val="en-US" w:eastAsia="zh-CN"/>
        </w:rPr>
        <w:t>3</w:t>
      </w:r>
      <w:r>
        <w:rPr>
          <w:rFonts w:hint="default" w:ascii="Times New Roman" w:hAnsi="Times New Roman" w:eastAsia="宋体" w:cs="Times New Roman"/>
          <w:spacing w:val="-9"/>
          <w:sz w:val="24"/>
          <w:szCs w:val="24"/>
        </w:rPr>
        <w:t>/d考虑</w:t>
      </w:r>
      <w:r>
        <w:rPr>
          <w:rFonts w:hint="default" w:ascii="Times New Roman" w:hAnsi="Times New Roman" w:eastAsia="宋体" w:cs="Times New Roman"/>
          <w:spacing w:val="-2"/>
          <w:sz w:val="24"/>
          <w:szCs w:val="24"/>
        </w:rPr>
        <w:t>。</w:t>
      </w:r>
    </w:p>
    <w:p w14:paraId="1B435005">
      <w:pPr>
        <w:spacing w:line="360" w:lineRule="auto"/>
        <w:ind w:firstLine="480" w:firstLineChars="200"/>
        <w:rPr>
          <w:rFonts w:hint="default" w:ascii="Times New Roman" w:hAnsi="Times New Roman" w:eastAsia="宋体" w:cs="Times New Roman"/>
          <w:color w:val="auto"/>
          <w:spacing w:val="0"/>
          <w:w w:val="100"/>
          <w:sz w:val="24"/>
          <w:szCs w:val="22"/>
          <w:lang w:val="en-US" w:eastAsia="zh-CN"/>
        </w:rPr>
      </w:pPr>
      <w:r>
        <w:rPr>
          <w:rFonts w:hint="default" w:ascii="Times New Roman" w:hAnsi="Times New Roman" w:eastAsia="宋体" w:cs="Times New Roman"/>
          <w:color w:val="auto"/>
          <w:spacing w:val="0"/>
          <w:w w:val="100"/>
          <w:sz w:val="24"/>
          <w:szCs w:val="22"/>
          <w:lang w:val="en-US" w:eastAsia="zh-CN"/>
        </w:rPr>
        <w:t>3、尾水污染物排放量</w:t>
      </w:r>
    </w:p>
    <w:p w14:paraId="0FCEDC06">
      <w:pPr>
        <w:keepNext w:val="0"/>
        <w:keepLines w:val="0"/>
        <w:pageBreakBefore w:val="0"/>
        <w:widowControl w:val="0"/>
        <w:kinsoku/>
        <w:wordWrap/>
        <w:overflowPunct/>
        <w:topLinePunct w:val="0"/>
        <w:autoSpaceDE/>
        <w:autoSpaceDN/>
        <w:bidi w:val="0"/>
        <w:adjustRightInd w:val="0"/>
        <w:snapToGrid/>
        <w:spacing w:line="360" w:lineRule="auto"/>
        <w:ind w:right="0" w:rightChars="0" w:firstLine="480" w:firstLineChars="200"/>
        <w:jc w:val="left"/>
        <w:textAlignment w:val="auto"/>
        <w:outlineLvl w:val="9"/>
        <w:rPr>
          <w:rFonts w:hint="default" w:ascii="Times New Roman" w:hAnsi="Times New Roman" w:eastAsia="宋体" w:cs="Times New Roman"/>
          <w:color w:val="auto"/>
          <w:spacing w:val="0"/>
          <w:w w:val="100"/>
          <w:sz w:val="24"/>
          <w:szCs w:val="24"/>
        </w:rPr>
      </w:pPr>
      <w:r>
        <w:rPr>
          <w:rFonts w:hint="eastAsia" w:ascii="Times New Roman" w:hAnsi="Times New Roman" w:eastAsia="宋体" w:cs="Times New Roman"/>
          <w:color w:val="auto"/>
          <w:spacing w:val="0"/>
          <w:w w:val="100"/>
          <w:sz w:val="24"/>
          <w:szCs w:val="22"/>
          <w:lang w:eastAsia="zh-CN"/>
        </w:rPr>
        <w:t>项目建成</w:t>
      </w:r>
      <w:r>
        <w:rPr>
          <w:rFonts w:hint="default" w:ascii="Times New Roman" w:hAnsi="Times New Roman" w:eastAsia="宋体" w:cs="Times New Roman"/>
          <w:color w:val="auto"/>
          <w:spacing w:val="0"/>
          <w:w w:val="100"/>
          <w:sz w:val="24"/>
          <w:szCs w:val="22"/>
        </w:rPr>
        <w:t>后</w:t>
      </w:r>
      <w:r>
        <w:rPr>
          <w:rFonts w:hint="default" w:ascii="Times New Roman" w:hAnsi="Times New Roman" w:eastAsia="宋体" w:cs="Times New Roman"/>
          <w:color w:val="auto"/>
          <w:spacing w:val="0"/>
          <w:w w:val="100"/>
          <w:sz w:val="24"/>
          <w:szCs w:val="22"/>
          <w:lang w:eastAsia="zh-CN"/>
        </w:rPr>
        <w:t>，</w:t>
      </w:r>
      <w:r>
        <w:rPr>
          <w:rFonts w:hint="eastAsia" w:ascii="Times New Roman" w:hAnsi="Times New Roman" w:eastAsia="宋体" w:cs="Times New Roman"/>
          <w:color w:val="auto"/>
          <w:spacing w:val="0"/>
          <w:w w:val="100"/>
          <w:sz w:val="24"/>
          <w:szCs w:val="22"/>
          <w:lang w:val="en-US" w:eastAsia="zh-CN"/>
        </w:rPr>
        <w:t>尾水依托</w:t>
      </w:r>
      <w:r>
        <w:rPr>
          <w:rFonts w:hint="eastAsia" w:ascii="Times New Roman" w:hAnsi="Times New Roman" w:eastAsia="宋体" w:cs="Times New Roman"/>
          <w:color w:val="auto"/>
          <w:spacing w:val="0"/>
          <w:w w:val="100"/>
          <w:sz w:val="24"/>
          <w:szCs w:val="24"/>
          <w:lang w:val="en-US" w:eastAsia="zh-CN"/>
        </w:rPr>
        <w:t>陇县千河南岸新城污水处理厂排放口排放，</w:t>
      </w:r>
      <w:r>
        <w:rPr>
          <w:rFonts w:hint="default" w:ascii="Times New Roman" w:hAnsi="Times New Roman" w:eastAsia="宋体" w:cs="Times New Roman"/>
          <w:color w:val="auto"/>
          <w:spacing w:val="0"/>
          <w:w w:val="100"/>
          <w:sz w:val="24"/>
          <w:szCs w:val="22"/>
        </w:rPr>
        <w:t>排放水达到</w:t>
      </w:r>
      <w:r>
        <w:rPr>
          <w:rFonts w:hint="default" w:ascii="Times New Roman" w:hAnsi="Times New Roman" w:eastAsia="宋体" w:cs="Times New Roman"/>
          <w:color w:val="auto"/>
          <w:spacing w:val="0"/>
          <w:w w:val="100"/>
          <w:sz w:val="24"/>
          <w:szCs w:val="24"/>
        </w:rPr>
        <w:t>《陕西省黄河流域污水综合排放标准》（DB61/224-2018）</w:t>
      </w:r>
      <w:r>
        <w:rPr>
          <w:rFonts w:hint="default" w:ascii="Times New Roman" w:hAnsi="Times New Roman" w:eastAsia="宋体" w:cs="Times New Roman"/>
          <w:color w:val="auto"/>
          <w:spacing w:val="0"/>
          <w:w w:val="100"/>
          <w:sz w:val="24"/>
          <w:szCs w:val="24"/>
          <w:lang w:val="en-US" w:eastAsia="zh-CN"/>
        </w:rPr>
        <w:t>中A</w:t>
      </w:r>
      <w:r>
        <w:rPr>
          <w:rFonts w:hint="default" w:ascii="Times New Roman" w:hAnsi="Times New Roman" w:eastAsia="宋体" w:cs="Times New Roman"/>
          <w:color w:val="auto"/>
          <w:spacing w:val="0"/>
          <w:w w:val="100"/>
          <w:sz w:val="24"/>
          <w:szCs w:val="24"/>
        </w:rPr>
        <w:t>标准</w:t>
      </w:r>
      <w:r>
        <w:rPr>
          <w:rFonts w:hint="default" w:ascii="Times New Roman" w:hAnsi="Times New Roman" w:eastAsia="宋体" w:cs="Times New Roman"/>
          <w:color w:val="auto"/>
          <w:spacing w:val="0"/>
          <w:w w:val="100"/>
          <w:sz w:val="24"/>
          <w:szCs w:val="22"/>
        </w:rPr>
        <w:t>排入</w:t>
      </w:r>
      <w:r>
        <w:rPr>
          <w:rFonts w:hint="eastAsia" w:ascii="Times New Roman" w:hAnsi="Times New Roman" w:eastAsia="宋体" w:cs="Times New Roman"/>
          <w:color w:val="auto"/>
          <w:spacing w:val="0"/>
          <w:w w:val="100"/>
          <w:sz w:val="24"/>
          <w:szCs w:val="22"/>
          <w:lang w:eastAsia="zh-CN"/>
        </w:rPr>
        <w:t>千河</w:t>
      </w:r>
      <w:r>
        <w:rPr>
          <w:rFonts w:hint="default" w:ascii="Times New Roman" w:hAnsi="Times New Roman" w:eastAsia="宋体" w:cs="Times New Roman"/>
          <w:color w:val="auto"/>
          <w:spacing w:val="0"/>
          <w:w w:val="100"/>
          <w:sz w:val="24"/>
          <w:szCs w:val="22"/>
        </w:rPr>
        <w:t>。</w:t>
      </w:r>
    </w:p>
    <w:p w14:paraId="498E1FE9">
      <w:pPr>
        <w:keepNext w:val="0"/>
        <w:keepLines w:val="0"/>
        <w:pageBreakBefore w:val="0"/>
        <w:widowControl w:val="0"/>
        <w:kinsoku/>
        <w:wordWrap/>
        <w:overflowPunct/>
        <w:topLinePunct w:val="0"/>
        <w:autoSpaceDE/>
        <w:autoSpaceDN/>
        <w:bidi w:val="0"/>
        <w:adjustRightInd w:val="0"/>
        <w:snapToGrid/>
        <w:spacing w:line="360" w:lineRule="auto"/>
        <w:ind w:right="0" w:rightChars="0" w:firstLine="480" w:firstLineChars="200"/>
        <w:jc w:val="left"/>
        <w:textAlignment w:val="auto"/>
        <w:outlineLvl w:val="9"/>
        <w:rPr>
          <w:rFonts w:hint="default" w:ascii="Times New Roman" w:hAnsi="Times New Roman" w:eastAsia="宋体" w:cs="Times New Roman"/>
          <w:b/>
          <w:color w:val="auto"/>
          <w:spacing w:val="0"/>
          <w:w w:val="100"/>
          <w:sz w:val="21"/>
          <w:szCs w:val="21"/>
        </w:rPr>
      </w:pPr>
      <w:r>
        <w:rPr>
          <w:rFonts w:hint="default" w:ascii="Times New Roman" w:hAnsi="Times New Roman" w:eastAsia="宋体" w:cs="Times New Roman"/>
          <w:color w:val="auto"/>
          <w:spacing w:val="0"/>
          <w:w w:val="100"/>
          <w:sz w:val="24"/>
          <w:szCs w:val="24"/>
        </w:rPr>
        <w:t>项目</w:t>
      </w:r>
      <w:r>
        <w:rPr>
          <w:rFonts w:hint="default" w:ascii="Times New Roman" w:hAnsi="Times New Roman" w:eastAsia="宋体" w:cs="Times New Roman"/>
          <w:color w:val="auto"/>
          <w:spacing w:val="0"/>
          <w:w w:val="100"/>
          <w:sz w:val="24"/>
          <w:szCs w:val="24"/>
          <w:lang w:eastAsia="zh-CN"/>
        </w:rPr>
        <w:t>运行期</w:t>
      </w:r>
      <w:r>
        <w:rPr>
          <w:rFonts w:hint="default" w:ascii="Times New Roman" w:hAnsi="Times New Roman" w:eastAsia="宋体" w:cs="Times New Roman"/>
          <w:color w:val="auto"/>
          <w:spacing w:val="0"/>
          <w:w w:val="100"/>
          <w:sz w:val="24"/>
          <w:szCs w:val="24"/>
        </w:rPr>
        <w:t>污水源强核算结果见表</w:t>
      </w:r>
      <w:r>
        <w:rPr>
          <w:rFonts w:hint="default" w:ascii="Times New Roman" w:hAnsi="Times New Roman" w:eastAsia="宋体" w:cs="Times New Roman"/>
          <w:color w:val="auto"/>
          <w:spacing w:val="0"/>
          <w:w w:val="100"/>
          <w:sz w:val="24"/>
          <w:szCs w:val="24"/>
          <w:lang w:val="en-US" w:eastAsia="zh-CN"/>
        </w:rPr>
        <w:t>2-2</w:t>
      </w:r>
      <w:r>
        <w:rPr>
          <w:rFonts w:hint="default" w:ascii="Times New Roman" w:hAnsi="Times New Roman" w:eastAsia="宋体" w:cs="Times New Roman"/>
          <w:color w:val="auto"/>
          <w:spacing w:val="0"/>
          <w:w w:val="100"/>
          <w:sz w:val="24"/>
          <w:szCs w:val="24"/>
        </w:rPr>
        <w:t>。</w:t>
      </w:r>
    </w:p>
    <w:p w14:paraId="6F1FA7A4">
      <w:pPr>
        <w:spacing w:line="240" w:lineRule="auto"/>
        <w:jc w:val="center"/>
        <w:rPr>
          <w:rFonts w:hint="default" w:ascii="Times New Roman" w:hAnsi="Times New Roman" w:eastAsia="宋体" w:cs="Times New Roman"/>
          <w:b/>
          <w:bCs/>
          <w:color w:val="auto"/>
          <w:spacing w:val="0"/>
          <w:w w:val="100"/>
          <w:sz w:val="21"/>
          <w:szCs w:val="21"/>
          <w:lang w:eastAsia="zh-CN"/>
        </w:rPr>
      </w:pPr>
      <w:r>
        <w:rPr>
          <w:rFonts w:hint="default" w:ascii="Times New Roman" w:hAnsi="Times New Roman" w:eastAsia="宋体" w:cs="Times New Roman"/>
          <w:b/>
          <w:bCs/>
          <w:color w:val="auto"/>
          <w:spacing w:val="0"/>
          <w:w w:val="100"/>
          <w:sz w:val="21"/>
          <w:szCs w:val="21"/>
        </w:rPr>
        <w:t>表</w:t>
      </w:r>
      <w:r>
        <w:rPr>
          <w:rFonts w:hint="default" w:ascii="Times New Roman" w:hAnsi="Times New Roman" w:eastAsia="宋体" w:cs="Times New Roman"/>
          <w:b/>
          <w:bCs/>
          <w:color w:val="auto"/>
          <w:spacing w:val="0"/>
          <w:w w:val="100"/>
          <w:sz w:val="21"/>
          <w:szCs w:val="21"/>
          <w:lang w:val="en-US" w:eastAsia="zh-CN"/>
        </w:rPr>
        <w:t>2-</w:t>
      </w:r>
      <w:r>
        <w:rPr>
          <w:rFonts w:hint="eastAsia" w:ascii="Times New Roman" w:hAnsi="Times New Roman" w:eastAsia="宋体" w:cs="Times New Roman"/>
          <w:b/>
          <w:bCs/>
          <w:color w:val="auto"/>
          <w:spacing w:val="0"/>
          <w:w w:val="100"/>
          <w:sz w:val="21"/>
          <w:szCs w:val="21"/>
          <w:lang w:val="en-US" w:eastAsia="zh-CN"/>
        </w:rPr>
        <w:t>2</w:t>
      </w:r>
      <w:r>
        <w:rPr>
          <w:rFonts w:hint="default" w:ascii="Times New Roman" w:hAnsi="Times New Roman" w:eastAsia="宋体" w:cs="Times New Roman"/>
          <w:b/>
          <w:bCs/>
          <w:color w:val="auto"/>
          <w:spacing w:val="0"/>
          <w:w w:val="100"/>
          <w:sz w:val="21"/>
          <w:szCs w:val="21"/>
          <w:lang w:val="en-US" w:eastAsia="zh-CN"/>
        </w:rPr>
        <w:t xml:space="preserve">  </w:t>
      </w:r>
      <w:r>
        <w:rPr>
          <w:rFonts w:hint="default" w:ascii="Times New Roman" w:hAnsi="Times New Roman" w:eastAsia="宋体" w:cs="Times New Roman"/>
          <w:b/>
          <w:bCs/>
          <w:color w:val="auto"/>
          <w:spacing w:val="0"/>
          <w:w w:val="100"/>
          <w:sz w:val="21"/>
          <w:szCs w:val="21"/>
        </w:rPr>
        <w:t>废水污染源源强核算结果一览表</w:t>
      </w:r>
      <w:r>
        <w:rPr>
          <w:rFonts w:hint="default" w:ascii="Times New Roman" w:hAnsi="Times New Roman" w:eastAsia="宋体" w:cs="Times New Roman"/>
          <w:b/>
          <w:bCs/>
          <w:color w:val="auto"/>
          <w:spacing w:val="0"/>
          <w:w w:val="100"/>
          <w:sz w:val="21"/>
          <w:szCs w:val="21"/>
          <w:lang w:eastAsia="zh-CN"/>
        </w:rPr>
        <w:t>（以全厂计）</w:t>
      </w:r>
    </w:p>
    <w:tbl>
      <w:tblPr>
        <w:tblStyle w:val="21"/>
        <w:tblW w:w="481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31"/>
        <w:gridCol w:w="1053"/>
        <w:gridCol w:w="1173"/>
        <w:gridCol w:w="1191"/>
        <w:gridCol w:w="1065"/>
        <w:gridCol w:w="1517"/>
        <w:gridCol w:w="1182"/>
      </w:tblGrid>
      <w:tr w14:paraId="1006D57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58" w:type="pct"/>
            <w:vMerge w:val="restart"/>
            <w:tcBorders>
              <w:tl2br w:val="nil"/>
              <w:tr2bl w:val="nil"/>
            </w:tcBorders>
            <w:noWrap w:val="0"/>
            <w:vAlign w:val="center"/>
          </w:tcPr>
          <w:p w14:paraId="147005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污水</w:t>
            </w:r>
          </w:p>
        </w:tc>
        <w:tc>
          <w:tcPr>
            <w:tcW w:w="653" w:type="pct"/>
            <w:vMerge w:val="restart"/>
            <w:tcBorders>
              <w:tl2br w:val="nil"/>
              <w:tr2bl w:val="nil"/>
            </w:tcBorders>
            <w:noWrap w:val="0"/>
            <w:vAlign w:val="center"/>
          </w:tcPr>
          <w:p w14:paraId="39EA93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污染物</w:t>
            </w:r>
          </w:p>
        </w:tc>
        <w:tc>
          <w:tcPr>
            <w:tcW w:w="1463" w:type="pct"/>
            <w:gridSpan w:val="2"/>
            <w:tcBorders>
              <w:tl2br w:val="nil"/>
              <w:tr2bl w:val="nil"/>
            </w:tcBorders>
            <w:noWrap w:val="0"/>
            <w:vAlign w:val="center"/>
          </w:tcPr>
          <w:p w14:paraId="27E6C9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产生情况</w:t>
            </w:r>
          </w:p>
        </w:tc>
        <w:tc>
          <w:tcPr>
            <w:tcW w:w="660" w:type="pct"/>
            <w:vMerge w:val="restart"/>
            <w:tcBorders>
              <w:tl2br w:val="nil"/>
              <w:tr2bl w:val="nil"/>
            </w:tcBorders>
            <w:noWrap w:val="0"/>
            <w:vAlign w:val="center"/>
          </w:tcPr>
          <w:p w14:paraId="7C3E2F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处理措施</w:t>
            </w:r>
          </w:p>
        </w:tc>
        <w:tc>
          <w:tcPr>
            <w:tcW w:w="1664" w:type="pct"/>
            <w:gridSpan w:val="2"/>
            <w:tcBorders>
              <w:tl2br w:val="nil"/>
              <w:tr2bl w:val="nil"/>
            </w:tcBorders>
            <w:noWrap w:val="0"/>
            <w:vAlign w:val="center"/>
          </w:tcPr>
          <w:p w14:paraId="4202E6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排放情况</w:t>
            </w:r>
          </w:p>
        </w:tc>
      </w:tr>
      <w:tr w14:paraId="76F664D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558" w:type="pct"/>
            <w:vMerge w:val="continue"/>
            <w:tcBorders>
              <w:tl2br w:val="nil"/>
              <w:tr2bl w:val="nil"/>
            </w:tcBorders>
            <w:noWrap w:val="0"/>
            <w:vAlign w:val="center"/>
          </w:tcPr>
          <w:p w14:paraId="3D8264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653" w:type="pct"/>
            <w:vMerge w:val="continue"/>
            <w:tcBorders>
              <w:tl2br w:val="nil"/>
              <w:tr2bl w:val="nil"/>
            </w:tcBorders>
            <w:noWrap w:val="0"/>
            <w:vAlign w:val="center"/>
          </w:tcPr>
          <w:p w14:paraId="752E0A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726" w:type="pct"/>
            <w:tcBorders>
              <w:tl2br w:val="nil"/>
              <w:tr2bl w:val="nil"/>
            </w:tcBorders>
            <w:noWrap w:val="0"/>
            <w:vAlign w:val="center"/>
          </w:tcPr>
          <w:p w14:paraId="091DDEE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rPr>
            </w:pPr>
            <w:r>
              <w:rPr>
                <w:rFonts w:hint="eastAsia" w:ascii="宋体" w:hAnsi="宋体" w:eastAsia="宋体" w:cs="宋体"/>
                <w:i w:val="0"/>
                <w:iCs w:val="0"/>
                <w:color w:val="000000"/>
                <w:kern w:val="0"/>
                <w:sz w:val="21"/>
                <w:szCs w:val="21"/>
                <w:u w:val="none"/>
                <w:lang w:val="en-US" w:eastAsia="zh-CN" w:bidi="ar"/>
              </w:rPr>
              <w:t>产生浓度</w:t>
            </w:r>
            <w:r>
              <w:rPr>
                <w:rFonts w:hint="default" w:ascii="Times New Roman" w:hAnsi="Times New Roman" w:eastAsia="宋体" w:cs="Times New Roman"/>
                <w:i w:val="0"/>
                <w:iCs w:val="0"/>
                <w:color w:val="000000"/>
                <w:kern w:val="0"/>
                <w:sz w:val="21"/>
                <w:szCs w:val="21"/>
                <w:u w:val="none"/>
                <w:lang w:val="en-US" w:eastAsia="zh-CN" w:bidi="ar"/>
              </w:rPr>
              <w:t>mg/L</w:t>
            </w:r>
          </w:p>
        </w:tc>
        <w:tc>
          <w:tcPr>
            <w:tcW w:w="737" w:type="pct"/>
            <w:tcBorders>
              <w:tl2br w:val="nil"/>
              <w:tr2bl w:val="nil"/>
            </w:tcBorders>
            <w:noWrap w:val="0"/>
            <w:vAlign w:val="center"/>
          </w:tcPr>
          <w:p w14:paraId="1803D3A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eastAsia" w:ascii="宋体" w:hAnsi="宋体" w:eastAsia="宋体" w:cs="宋体"/>
                <w:i w:val="0"/>
                <w:iCs w:val="0"/>
                <w:color w:val="000000"/>
                <w:kern w:val="0"/>
                <w:sz w:val="21"/>
                <w:szCs w:val="21"/>
                <w:u w:val="none"/>
                <w:lang w:val="en-US" w:eastAsia="zh-CN" w:bidi="ar"/>
              </w:rPr>
              <w:t>产生量</w:t>
            </w:r>
            <w:r>
              <w:rPr>
                <w:rFonts w:hint="default" w:ascii="Times New Roman" w:hAnsi="Times New Roman" w:eastAsia="宋体" w:cs="Times New Roman"/>
                <w:i w:val="0"/>
                <w:iCs w:val="0"/>
                <w:color w:val="000000"/>
                <w:kern w:val="0"/>
                <w:sz w:val="21"/>
                <w:szCs w:val="21"/>
                <w:u w:val="none"/>
                <w:lang w:val="en-US" w:eastAsia="zh-CN" w:bidi="ar"/>
              </w:rPr>
              <w:t>t/a</w:t>
            </w:r>
          </w:p>
        </w:tc>
        <w:tc>
          <w:tcPr>
            <w:tcW w:w="660" w:type="pct"/>
            <w:vMerge w:val="continue"/>
            <w:tcBorders>
              <w:tl2br w:val="nil"/>
              <w:tr2bl w:val="nil"/>
            </w:tcBorders>
            <w:noWrap w:val="0"/>
            <w:vAlign w:val="center"/>
          </w:tcPr>
          <w:p w14:paraId="633DC6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935" w:type="pct"/>
            <w:tcBorders>
              <w:tl2br w:val="nil"/>
              <w:tr2bl w:val="nil"/>
            </w:tcBorders>
            <w:noWrap w:val="0"/>
            <w:vAlign w:val="center"/>
          </w:tcPr>
          <w:p w14:paraId="0A78F8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rPr>
            </w:pPr>
            <w:r>
              <w:rPr>
                <w:rFonts w:hint="eastAsia" w:ascii="宋体" w:hAnsi="宋体" w:eastAsia="宋体" w:cs="宋体"/>
                <w:i w:val="0"/>
                <w:iCs w:val="0"/>
                <w:color w:val="000000"/>
                <w:kern w:val="0"/>
                <w:sz w:val="21"/>
                <w:szCs w:val="21"/>
                <w:u w:val="none"/>
                <w:lang w:val="en-US" w:eastAsia="zh-CN" w:bidi="ar"/>
              </w:rPr>
              <w:t>排放浓度</w:t>
            </w:r>
            <w:r>
              <w:rPr>
                <w:rFonts w:hint="default" w:ascii="Times New Roman" w:hAnsi="Times New Roman" w:eastAsia="宋体" w:cs="Times New Roman"/>
                <w:i w:val="0"/>
                <w:iCs w:val="0"/>
                <w:color w:val="000000"/>
                <w:kern w:val="0"/>
                <w:sz w:val="21"/>
                <w:szCs w:val="21"/>
                <w:u w:val="none"/>
                <w:lang w:val="en-US" w:eastAsia="zh-CN" w:bidi="ar"/>
              </w:rPr>
              <w:t>mg/L</w:t>
            </w:r>
          </w:p>
        </w:tc>
        <w:tc>
          <w:tcPr>
            <w:tcW w:w="728" w:type="pct"/>
            <w:tcBorders>
              <w:tl2br w:val="nil"/>
              <w:tr2bl w:val="nil"/>
            </w:tcBorders>
            <w:noWrap w:val="0"/>
            <w:vAlign w:val="center"/>
          </w:tcPr>
          <w:p w14:paraId="38C5FE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rPr>
            </w:pPr>
            <w:r>
              <w:rPr>
                <w:rFonts w:hint="eastAsia" w:ascii="宋体" w:hAnsi="宋体" w:eastAsia="宋体" w:cs="宋体"/>
                <w:i w:val="0"/>
                <w:iCs w:val="0"/>
                <w:color w:val="000000"/>
                <w:kern w:val="0"/>
                <w:sz w:val="21"/>
                <w:szCs w:val="21"/>
                <w:u w:val="none"/>
                <w:lang w:val="en-US" w:eastAsia="zh-CN" w:bidi="ar"/>
              </w:rPr>
              <w:t>排放量</w:t>
            </w:r>
            <w:r>
              <w:rPr>
                <w:rFonts w:hint="default" w:ascii="Times New Roman" w:hAnsi="Times New Roman" w:eastAsia="宋体" w:cs="Times New Roman"/>
                <w:i w:val="0"/>
                <w:iCs w:val="0"/>
                <w:color w:val="000000"/>
                <w:kern w:val="0"/>
                <w:sz w:val="21"/>
                <w:szCs w:val="21"/>
                <w:u w:val="none"/>
                <w:lang w:val="en-US" w:eastAsia="zh-CN" w:bidi="ar"/>
              </w:rPr>
              <w:t>t/a</w:t>
            </w:r>
          </w:p>
        </w:tc>
      </w:tr>
      <w:tr w14:paraId="557A6D1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58" w:type="pct"/>
            <w:vMerge w:val="restart"/>
            <w:tcBorders>
              <w:tl2br w:val="nil"/>
              <w:tr2bl w:val="nil"/>
            </w:tcBorders>
            <w:noWrap w:val="0"/>
            <w:vAlign w:val="center"/>
          </w:tcPr>
          <w:p w14:paraId="495746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eastAsia="zh-CN"/>
              </w:rPr>
            </w:pPr>
            <w:r>
              <w:rPr>
                <w:rFonts w:hint="default" w:ascii="Times New Roman" w:hAnsi="Times New Roman" w:eastAsia="宋体" w:cs="Times New Roman"/>
                <w:b w:val="0"/>
                <w:bCs/>
                <w:color w:val="auto"/>
                <w:spacing w:val="0"/>
                <w:w w:val="100"/>
                <w:sz w:val="21"/>
                <w:szCs w:val="21"/>
                <w:highlight w:val="none"/>
                <w:lang w:eastAsia="zh-CN"/>
              </w:rPr>
              <w:t>尾水</w:t>
            </w:r>
          </w:p>
          <w:p w14:paraId="3201EC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eastAsia" w:ascii="Times New Roman" w:hAnsi="Times New Roman" w:eastAsia="宋体" w:cs="Times New Roman"/>
                <w:color w:val="auto"/>
                <w:spacing w:val="0"/>
                <w:w w:val="100"/>
                <w:sz w:val="21"/>
                <w:szCs w:val="21"/>
                <w:lang w:val="en-US" w:eastAsia="zh-CN"/>
              </w:rPr>
              <w:t>1600m</w:t>
            </w:r>
            <w:r>
              <w:rPr>
                <w:rFonts w:hint="eastAsia" w:ascii="Times New Roman" w:hAnsi="Times New Roman" w:eastAsia="宋体" w:cs="Times New Roman"/>
                <w:color w:val="auto"/>
                <w:spacing w:val="0"/>
                <w:w w:val="100"/>
                <w:sz w:val="21"/>
                <w:szCs w:val="21"/>
                <w:vertAlign w:val="superscript"/>
                <w:lang w:val="en-US" w:eastAsia="zh-CN"/>
              </w:rPr>
              <w:t>3</w:t>
            </w:r>
            <w:r>
              <w:rPr>
                <w:rFonts w:hint="eastAsia" w:ascii="Times New Roman" w:hAnsi="Times New Roman" w:eastAsia="宋体" w:cs="Times New Roman"/>
                <w:color w:val="auto"/>
                <w:spacing w:val="0"/>
                <w:w w:val="100"/>
                <w:sz w:val="21"/>
                <w:szCs w:val="21"/>
                <w:lang w:val="en-US" w:eastAsia="zh-CN"/>
              </w:rPr>
              <w:t>/d</w:t>
            </w:r>
            <w:r>
              <w:rPr>
                <w:rFonts w:hint="default" w:ascii="Times New Roman" w:hAnsi="Times New Roman" w:eastAsia="宋体" w:cs="Times New Roman"/>
                <w:b w:val="0"/>
                <w:bCs/>
                <w:color w:val="auto"/>
                <w:spacing w:val="0"/>
                <w:w w:val="100"/>
                <w:sz w:val="21"/>
                <w:szCs w:val="21"/>
                <w:lang w:eastAsia="zh-CN"/>
              </w:rPr>
              <w:t>（</w:t>
            </w:r>
            <w:r>
              <w:rPr>
                <w:rFonts w:hint="eastAsia" w:ascii="Times New Roman" w:hAnsi="Times New Roman" w:eastAsia="宋体" w:cs="Times New Roman"/>
                <w:b w:val="0"/>
                <w:bCs/>
                <w:color w:val="auto"/>
                <w:spacing w:val="0"/>
                <w:w w:val="100"/>
                <w:sz w:val="21"/>
                <w:szCs w:val="21"/>
                <w:lang w:val="en-US" w:eastAsia="zh-CN"/>
              </w:rPr>
              <w:t>58.4万</w:t>
            </w:r>
            <w:r>
              <w:rPr>
                <w:rFonts w:hint="default" w:ascii="Times New Roman" w:hAnsi="Times New Roman" w:eastAsia="宋体" w:cs="Times New Roman"/>
                <w:b w:val="0"/>
                <w:bCs/>
                <w:color w:val="auto"/>
                <w:spacing w:val="0"/>
                <w:w w:val="100"/>
                <w:sz w:val="21"/>
                <w:szCs w:val="21"/>
              </w:rPr>
              <w:t>t/a</w:t>
            </w:r>
            <w:r>
              <w:rPr>
                <w:rFonts w:hint="default" w:ascii="Times New Roman" w:hAnsi="Times New Roman" w:eastAsia="宋体" w:cs="Times New Roman"/>
                <w:b w:val="0"/>
                <w:bCs/>
                <w:color w:val="auto"/>
                <w:spacing w:val="0"/>
                <w:w w:val="100"/>
                <w:sz w:val="21"/>
                <w:szCs w:val="21"/>
                <w:lang w:eastAsia="zh-CN"/>
              </w:rPr>
              <w:t>）</w:t>
            </w:r>
          </w:p>
        </w:tc>
        <w:tc>
          <w:tcPr>
            <w:tcW w:w="653" w:type="pct"/>
            <w:tcBorders>
              <w:tl2br w:val="nil"/>
              <w:tr2bl w:val="nil"/>
            </w:tcBorders>
            <w:noWrap w:val="0"/>
            <w:vAlign w:val="center"/>
          </w:tcPr>
          <w:p w14:paraId="6552E4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COD</w:t>
            </w:r>
          </w:p>
        </w:tc>
        <w:tc>
          <w:tcPr>
            <w:tcW w:w="726" w:type="pct"/>
            <w:tcBorders>
              <w:tl2br w:val="nil"/>
              <w:tr2bl w:val="nil"/>
            </w:tcBorders>
            <w:noWrap w:val="0"/>
            <w:vAlign w:val="center"/>
          </w:tcPr>
          <w:p w14:paraId="62C442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350</w:t>
            </w:r>
          </w:p>
        </w:tc>
        <w:tc>
          <w:tcPr>
            <w:tcW w:w="737" w:type="pct"/>
            <w:tcBorders>
              <w:tl2br w:val="nil"/>
              <w:tr2bl w:val="nil"/>
            </w:tcBorders>
            <w:noWrap w:val="0"/>
            <w:vAlign w:val="center"/>
          </w:tcPr>
          <w:p w14:paraId="2F7A40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204.4</w:t>
            </w:r>
          </w:p>
        </w:tc>
        <w:tc>
          <w:tcPr>
            <w:tcW w:w="660" w:type="pct"/>
            <w:vMerge w:val="restart"/>
            <w:tcBorders>
              <w:tl2br w:val="nil"/>
              <w:tr2bl w:val="nil"/>
            </w:tcBorders>
            <w:noWrap w:val="0"/>
            <w:vAlign w:val="center"/>
          </w:tcPr>
          <w:p w14:paraId="0D2C77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eastAsia="zh-CN"/>
              </w:rPr>
            </w:pPr>
            <w:r>
              <w:rPr>
                <w:rFonts w:hint="default" w:ascii="Times New Roman" w:hAnsi="Times New Roman" w:eastAsia="宋体" w:cs="Times New Roman"/>
                <w:b w:val="0"/>
                <w:bCs/>
                <w:color w:val="auto"/>
                <w:spacing w:val="0"/>
                <w:w w:val="100"/>
                <w:sz w:val="21"/>
                <w:szCs w:val="21"/>
                <w:lang w:val="en-US" w:eastAsia="zh-CN"/>
              </w:rPr>
              <w:t>A</w:t>
            </w:r>
            <w:r>
              <w:rPr>
                <w:rFonts w:hint="default" w:ascii="Times New Roman" w:hAnsi="Times New Roman" w:eastAsia="宋体" w:cs="Times New Roman"/>
                <w:b w:val="0"/>
                <w:bCs/>
                <w:color w:val="auto"/>
                <w:spacing w:val="0"/>
                <w:w w:val="100"/>
                <w:sz w:val="21"/>
                <w:szCs w:val="21"/>
                <w:vertAlign w:val="superscript"/>
                <w:lang w:val="en-US" w:eastAsia="zh-CN"/>
              </w:rPr>
              <w:t>2</w:t>
            </w:r>
            <w:r>
              <w:rPr>
                <w:rFonts w:hint="default" w:ascii="Times New Roman" w:hAnsi="Times New Roman" w:eastAsia="宋体" w:cs="Times New Roman"/>
                <w:b w:val="0"/>
                <w:bCs/>
                <w:color w:val="auto"/>
                <w:spacing w:val="0"/>
                <w:w w:val="100"/>
                <w:sz w:val="21"/>
                <w:szCs w:val="21"/>
                <w:lang w:val="en-US" w:eastAsia="zh-CN"/>
              </w:rPr>
              <w:t>/O工艺</w:t>
            </w:r>
          </w:p>
        </w:tc>
        <w:tc>
          <w:tcPr>
            <w:tcW w:w="935" w:type="pct"/>
            <w:tcBorders>
              <w:tl2br w:val="nil"/>
              <w:tr2bl w:val="nil"/>
            </w:tcBorders>
            <w:noWrap w:val="0"/>
            <w:vAlign w:val="center"/>
          </w:tcPr>
          <w:p w14:paraId="4DB11D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728" w:type="pct"/>
            <w:tcBorders>
              <w:tl2br w:val="nil"/>
              <w:tr2bl w:val="nil"/>
            </w:tcBorders>
            <w:noWrap w:val="0"/>
            <w:vAlign w:val="center"/>
          </w:tcPr>
          <w:p w14:paraId="2C57BA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17.52</w:t>
            </w:r>
          </w:p>
        </w:tc>
      </w:tr>
      <w:tr w14:paraId="4FC3244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58" w:type="pct"/>
            <w:vMerge w:val="continue"/>
            <w:tcBorders>
              <w:tl2br w:val="nil"/>
              <w:tr2bl w:val="nil"/>
            </w:tcBorders>
            <w:noWrap w:val="0"/>
            <w:vAlign w:val="center"/>
          </w:tcPr>
          <w:p w14:paraId="011828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653" w:type="pct"/>
            <w:tcBorders>
              <w:tl2br w:val="nil"/>
              <w:tr2bl w:val="nil"/>
            </w:tcBorders>
            <w:noWrap w:val="0"/>
            <w:vAlign w:val="center"/>
          </w:tcPr>
          <w:p w14:paraId="20FFCE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rPr>
              <w:t>BOD</w:t>
            </w:r>
            <w:r>
              <w:rPr>
                <w:rFonts w:hint="default" w:ascii="Times New Roman" w:hAnsi="Times New Roman" w:eastAsia="宋体" w:cs="Times New Roman"/>
                <w:b w:val="0"/>
                <w:bCs/>
                <w:color w:val="auto"/>
                <w:spacing w:val="0"/>
                <w:w w:val="100"/>
                <w:sz w:val="21"/>
                <w:szCs w:val="21"/>
                <w:vertAlign w:val="subscript"/>
                <w:lang w:val="en-US" w:eastAsia="zh-CN"/>
              </w:rPr>
              <w:t>5</w:t>
            </w:r>
          </w:p>
        </w:tc>
        <w:tc>
          <w:tcPr>
            <w:tcW w:w="726" w:type="pct"/>
            <w:tcBorders>
              <w:tl2br w:val="nil"/>
              <w:tr2bl w:val="nil"/>
            </w:tcBorders>
            <w:noWrap w:val="0"/>
            <w:vAlign w:val="center"/>
          </w:tcPr>
          <w:p w14:paraId="086C0E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150</w:t>
            </w:r>
          </w:p>
        </w:tc>
        <w:tc>
          <w:tcPr>
            <w:tcW w:w="737" w:type="pct"/>
            <w:tcBorders>
              <w:tl2br w:val="nil"/>
              <w:tr2bl w:val="nil"/>
            </w:tcBorders>
            <w:noWrap w:val="0"/>
            <w:vAlign w:val="center"/>
          </w:tcPr>
          <w:p w14:paraId="37C98F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87.6</w:t>
            </w:r>
          </w:p>
        </w:tc>
        <w:tc>
          <w:tcPr>
            <w:tcW w:w="660" w:type="pct"/>
            <w:vMerge w:val="continue"/>
            <w:tcBorders>
              <w:tl2br w:val="nil"/>
              <w:tr2bl w:val="nil"/>
            </w:tcBorders>
            <w:noWrap w:val="0"/>
            <w:vAlign w:val="center"/>
          </w:tcPr>
          <w:p w14:paraId="7C43AD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935" w:type="pct"/>
            <w:tcBorders>
              <w:tl2br w:val="nil"/>
              <w:tr2bl w:val="nil"/>
            </w:tcBorders>
            <w:noWrap w:val="0"/>
            <w:vAlign w:val="center"/>
          </w:tcPr>
          <w:p w14:paraId="40F132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728" w:type="pct"/>
            <w:tcBorders>
              <w:tl2br w:val="nil"/>
              <w:tr2bl w:val="nil"/>
            </w:tcBorders>
            <w:noWrap w:val="0"/>
            <w:vAlign w:val="center"/>
          </w:tcPr>
          <w:p w14:paraId="73D0FF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3.504</w:t>
            </w:r>
          </w:p>
        </w:tc>
      </w:tr>
      <w:tr w14:paraId="2BB09AC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58" w:type="pct"/>
            <w:vMerge w:val="continue"/>
            <w:tcBorders>
              <w:tl2br w:val="nil"/>
              <w:tr2bl w:val="nil"/>
            </w:tcBorders>
            <w:noWrap w:val="0"/>
            <w:vAlign w:val="center"/>
          </w:tcPr>
          <w:p w14:paraId="328C86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653" w:type="pct"/>
            <w:tcBorders>
              <w:tl2br w:val="nil"/>
              <w:tr2bl w:val="nil"/>
            </w:tcBorders>
            <w:noWrap w:val="0"/>
            <w:vAlign w:val="center"/>
          </w:tcPr>
          <w:p w14:paraId="226EFD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rPr>
              <w:t>NH</w:t>
            </w:r>
            <w:r>
              <w:rPr>
                <w:rFonts w:hint="default" w:ascii="Times New Roman" w:hAnsi="Times New Roman" w:eastAsia="宋体" w:cs="Times New Roman"/>
                <w:b w:val="0"/>
                <w:bCs/>
                <w:color w:val="auto"/>
                <w:spacing w:val="0"/>
                <w:w w:val="100"/>
                <w:sz w:val="21"/>
                <w:szCs w:val="21"/>
                <w:vertAlign w:val="subscript"/>
              </w:rPr>
              <w:t>3</w:t>
            </w:r>
            <w:r>
              <w:rPr>
                <w:rFonts w:hint="default" w:ascii="Times New Roman" w:hAnsi="Times New Roman" w:eastAsia="宋体" w:cs="Times New Roman"/>
                <w:b w:val="0"/>
                <w:bCs/>
                <w:color w:val="auto"/>
                <w:spacing w:val="0"/>
                <w:w w:val="100"/>
                <w:sz w:val="21"/>
                <w:szCs w:val="21"/>
              </w:rPr>
              <w:t>-N</w:t>
            </w:r>
          </w:p>
        </w:tc>
        <w:tc>
          <w:tcPr>
            <w:tcW w:w="726" w:type="pct"/>
            <w:tcBorders>
              <w:tl2br w:val="nil"/>
              <w:tr2bl w:val="nil"/>
            </w:tcBorders>
            <w:noWrap w:val="0"/>
            <w:vAlign w:val="center"/>
          </w:tcPr>
          <w:p w14:paraId="221E3E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737" w:type="pct"/>
            <w:tcBorders>
              <w:tl2br w:val="nil"/>
              <w:tr2bl w:val="nil"/>
            </w:tcBorders>
            <w:noWrap w:val="0"/>
            <w:vAlign w:val="center"/>
          </w:tcPr>
          <w:p w14:paraId="6970FD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14.6</w:t>
            </w:r>
          </w:p>
        </w:tc>
        <w:tc>
          <w:tcPr>
            <w:tcW w:w="660" w:type="pct"/>
            <w:vMerge w:val="continue"/>
            <w:tcBorders>
              <w:tl2br w:val="nil"/>
              <w:tr2bl w:val="nil"/>
            </w:tcBorders>
            <w:noWrap w:val="0"/>
            <w:vAlign w:val="center"/>
          </w:tcPr>
          <w:p w14:paraId="327D75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935" w:type="pct"/>
            <w:tcBorders>
              <w:tl2br w:val="nil"/>
              <w:tr2bl w:val="nil"/>
            </w:tcBorders>
            <w:noWrap w:val="0"/>
            <w:vAlign w:val="center"/>
          </w:tcPr>
          <w:p w14:paraId="744D8A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3</w:t>
            </w:r>
            <w:r>
              <w:rPr>
                <w:rFonts w:hint="eastAsia" w:ascii="Times New Roman" w:hAnsi="Times New Roman" w:eastAsia="宋体" w:cs="Times New Roman"/>
                <w:i w:val="0"/>
                <w:iCs w:val="0"/>
                <w:color w:val="000000"/>
                <w:kern w:val="0"/>
                <w:sz w:val="21"/>
                <w:szCs w:val="21"/>
                <w:u w:val="none"/>
                <w:lang w:val="en-US" w:eastAsia="zh-CN" w:bidi="ar"/>
              </w:rPr>
              <w:t>)</w:t>
            </w:r>
          </w:p>
        </w:tc>
        <w:tc>
          <w:tcPr>
            <w:tcW w:w="728" w:type="pct"/>
            <w:tcBorders>
              <w:tl2br w:val="nil"/>
              <w:tr2bl w:val="nil"/>
            </w:tcBorders>
            <w:noWrap w:val="0"/>
            <w:vAlign w:val="center"/>
          </w:tcPr>
          <w:p w14:paraId="1A7054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eastAsia" w:ascii="Times New Roman" w:hAnsi="Times New Roman" w:eastAsia="宋体" w:cs="Times New Roman"/>
                <w:i w:val="0"/>
                <w:iCs w:val="0"/>
                <w:color w:val="000000"/>
                <w:kern w:val="0"/>
                <w:sz w:val="21"/>
                <w:szCs w:val="21"/>
                <w:u w:val="none"/>
                <w:lang w:val="en-US" w:eastAsia="zh-CN" w:bidi="ar"/>
              </w:rPr>
              <w:t>1.164</w:t>
            </w:r>
          </w:p>
        </w:tc>
      </w:tr>
      <w:tr w14:paraId="14AD2FB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8" w:hRule="atLeast"/>
          <w:jc w:val="center"/>
        </w:trPr>
        <w:tc>
          <w:tcPr>
            <w:tcW w:w="558" w:type="pct"/>
            <w:vMerge w:val="continue"/>
            <w:tcBorders>
              <w:tl2br w:val="nil"/>
              <w:tr2bl w:val="nil"/>
            </w:tcBorders>
            <w:noWrap w:val="0"/>
            <w:vAlign w:val="center"/>
          </w:tcPr>
          <w:p w14:paraId="648E5A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653" w:type="pct"/>
            <w:tcBorders>
              <w:tl2br w:val="nil"/>
              <w:tr2bl w:val="nil"/>
            </w:tcBorders>
            <w:noWrap w:val="0"/>
            <w:vAlign w:val="center"/>
          </w:tcPr>
          <w:p w14:paraId="04270E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SS</w:t>
            </w:r>
          </w:p>
        </w:tc>
        <w:tc>
          <w:tcPr>
            <w:tcW w:w="726" w:type="pct"/>
            <w:tcBorders>
              <w:tl2br w:val="nil"/>
              <w:tr2bl w:val="nil"/>
            </w:tcBorders>
            <w:noWrap w:val="0"/>
            <w:vAlign w:val="center"/>
          </w:tcPr>
          <w:p w14:paraId="62B97A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250</w:t>
            </w:r>
          </w:p>
        </w:tc>
        <w:tc>
          <w:tcPr>
            <w:tcW w:w="737" w:type="pct"/>
            <w:tcBorders>
              <w:tl2br w:val="nil"/>
              <w:tr2bl w:val="nil"/>
            </w:tcBorders>
            <w:noWrap w:val="0"/>
            <w:vAlign w:val="center"/>
          </w:tcPr>
          <w:p w14:paraId="25E8A4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146</w:t>
            </w:r>
          </w:p>
        </w:tc>
        <w:tc>
          <w:tcPr>
            <w:tcW w:w="660" w:type="pct"/>
            <w:vMerge w:val="continue"/>
            <w:tcBorders>
              <w:tl2br w:val="nil"/>
              <w:tr2bl w:val="nil"/>
            </w:tcBorders>
            <w:noWrap w:val="0"/>
            <w:vAlign w:val="center"/>
          </w:tcPr>
          <w:p w14:paraId="02DEA3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935" w:type="pct"/>
            <w:tcBorders>
              <w:tl2br w:val="nil"/>
              <w:tr2bl w:val="nil"/>
            </w:tcBorders>
            <w:noWrap w:val="0"/>
            <w:vAlign w:val="center"/>
          </w:tcPr>
          <w:p w14:paraId="4ED6E9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728" w:type="pct"/>
            <w:tcBorders>
              <w:tl2br w:val="nil"/>
              <w:tr2bl w:val="nil"/>
            </w:tcBorders>
            <w:noWrap w:val="0"/>
            <w:vAlign w:val="center"/>
          </w:tcPr>
          <w:p w14:paraId="43083D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5.84</w:t>
            </w:r>
          </w:p>
        </w:tc>
      </w:tr>
      <w:tr w14:paraId="26BD89C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558" w:type="pct"/>
            <w:vMerge w:val="continue"/>
            <w:tcBorders>
              <w:tl2br w:val="nil"/>
              <w:tr2bl w:val="nil"/>
            </w:tcBorders>
            <w:noWrap w:val="0"/>
            <w:vAlign w:val="center"/>
          </w:tcPr>
          <w:p w14:paraId="47B807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653" w:type="pct"/>
            <w:tcBorders>
              <w:tl2br w:val="nil"/>
              <w:tr2bl w:val="nil"/>
            </w:tcBorders>
            <w:noWrap w:val="0"/>
            <w:vAlign w:val="center"/>
          </w:tcPr>
          <w:p w14:paraId="757229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lang w:val="en-US" w:eastAsia="zh-CN"/>
              </w:rPr>
              <w:t>TP</w:t>
            </w:r>
          </w:p>
        </w:tc>
        <w:tc>
          <w:tcPr>
            <w:tcW w:w="726" w:type="pct"/>
            <w:tcBorders>
              <w:tl2br w:val="nil"/>
              <w:tr2bl w:val="nil"/>
            </w:tcBorders>
            <w:noWrap w:val="0"/>
            <w:vAlign w:val="center"/>
          </w:tcPr>
          <w:p w14:paraId="46FFC6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737" w:type="pct"/>
            <w:tcBorders>
              <w:tl2br w:val="nil"/>
              <w:tr2bl w:val="nil"/>
            </w:tcBorders>
            <w:noWrap w:val="0"/>
            <w:vAlign w:val="center"/>
          </w:tcPr>
          <w:p w14:paraId="779E2E9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2.92</w:t>
            </w:r>
          </w:p>
        </w:tc>
        <w:tc>
          <w:tcPr>
            <w:tcW w:w="660" w:type="pct"/>
            <w:vMerge w:val="continue"/>
            <w:tcBorders>
              <w:tl2br w:val="nil"/>
              <w:tr2bl w:val="nil"/>
            </w:tcBorders>
            <w:noWrap w:val="0"/>
            <w:vAlign w:val="center"/>
          </w:tcPr>
          <w:p w14:paraId="3D286F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935" w:type="pct"/>
            <w:tcBorders>
              <w:tl2br w:val="nil"/>
              <w:tr2bl w:val="nil"/>
            </w:tcBorders>
            <w:noWrap w:val="0"/>
            <w:vAlign w:val="center"/>
          </w:tcPr>
          <w:p w14:paraId="2ABD8E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w:t>
            </w:r>
          </w:p>
        </w:tc>
        <w:tc>
          <w:tcPr>
            <w:tcW w:w="728" w:type="pct"/>
            <w:tcBorders>
              <w:tl2br w:val="nil"/>
              <w:tr2bl w:val="nil"/>
            </w:tcBorders>
            <w:noWrap w:val="0"/>
            <w:vAlign w:val="center"/>
          </w:tcPr>
          <w:p w14:paraId="368D74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0.175</w:t>
            </w:r>
          </w:p>
        </w:tc>
      </w:tr>
      <w:tr w14:paraId="5A8E6A8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58" w:type="pct"/>
            <w:vMerge w:val="continue"/>
            <w:tcBorders>
              <w:tl2br w:val="nil"/>
              <w:tr2bl w:val="nil"/>
            </w:tcBorders>
            <w:noWrap w:val="0"/>
            <w:vAlign w:val="center"/>
          </w:tcPr>
          <w:p w14:paraId="4656D4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653" w:type="pct"/>
            <w:tcBorders>
              <w:tl2br w:val="nil"/>
              <w:tr2bl w:val="nil"/>
            </w:tcBorders>
            <w:noWrap w:val="0"/>
            <w:vAlign w:val="center"/>
          </w:tcPr>
          <w:p w14:paraId="2E9ADF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r>
              <w:rPr>
                <w:rFonts w:hint="default" w:ascii="Times New Roman" w:hAnsi="Times New Roman" w:eastAsia="宋体" w:cs="Times New Roman"/>
                <w:b w:val="0"/>
                <w:bCs/>
                <w:color w:val="auto"/>
                <w:spacing w:val="0"/>
                <w:w w:val="100"/>
                <w:sz w:val="21"/>
                <w:szCs w:val="21"/>
                <w:lang w:val="en-US" w:eastAsia="zh-CN"/>
              </w:rPr>
              <w:t>TN</w:t>
            </w:r>
          </w:p>
        </w:tc>
        <w:tc>
          <w:tcPr>
            <w:tcW w:w="726" w:type="pct"/>
            <w:tcBorders>
              <w:tl2br w:val="nil"/>
              <w:tr2bl w:val="nil"/>
            </w:tcBorders>
            <w:noWrap w:val="0"/>
            <w:vAlign w:val="center"/>
          </w:tcPr>
          <w:p w14:paraId="5A1285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737" w:type="pct"/>
            <w:tcBorders>
              <w:tl2br w:val="nil"/>
              <w:tr2bl w:val="nil"/>
            </w:tcBorders>
            <w:noWrap w:val="0"/>
            <w:vAlign w:val="center"/>
          </w:tcPr>
          <w:p w14:paraId="340EEB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26.28</w:t>
            </w:r>
          </w:p>
        </w:tc>
        <w:tc>
          <w:tcPr>
            <w:tcW w:w="660" w:type="pct"/>
            <w:vMerge w:val="continue"/>
            <w:tcBorders>
              <w:tl2br w:val="nil"/>
              <w:tr2bl w:val="nil"/>
            </w:tcBorders>
            <w:noWrap w:val="0"/>
            <w:vAlign w:val="center"/>
          </w:tcPr>
          <w:p w14:paraId="3D19A3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pacing w:val="0"/>
                <w:w w:val="100"/>
                <w:sz w:val="21"/>
                <w:szCs w:val="21"/>
              </w:rPr>
            </w:pPr>
          </w:p>
        </w:tc>
        <w:tc>
          <w:tcPr>
            <w:tcW w:w="935" w:type="pct"/>
            <w:tcBorders>
              <w:tl2br w:val="nil"/>
              <w:tr2bl w:val="nil"/>
            </w:tcBorders>
            <w:noWrap w:val="0"/>
            <w:vAlign w:val="center"/>
          </w:tcPr>
          <w:p w14:paraId="6FDC80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728" w:type="pct"/>
            <w:tcBorders>
              <w:tl2br w:val="nil"/>
              <w:tr2bl w:val="nil"/>
            </w:tcBorders>
            <w:noWrap w:val="0"/>
            <w:vAlign w:val="center"/>
          </w:tcPr>
          <w:p w14:paraId="3DC943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7.008</w:t>
            </w:r>
          </w:p>
        </w:tc>
      </w:tr>
      <w:tr w14:paraId="72B0107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7"/>
            <w:tcBorders>
              <w:tl2br w:val="nil"/>
              <w:tr2bl w:val="nil"/>
            </w:tcBorders>
            <w:noWrap w:val="0"/>
            <w:vAlign w:val="center"/>
          </w:tcPr>
          <w:p w14:paraId="244849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b w:val="0"/>
                <w:bCs/>
                <w:color w:val="auto"/>
                <w:spacing w:val="0"/>
                <w:w w:val="100"/>
                <w:sz w:val="21"/>
                <w:szCs w:val="21"/>
                <w:lang w:val="en-US" w:eastAsia="zh-CN"/>
              </w:rPr>
            </w:pPr>
            <w:r>
              <w:rPr>
                <w:rFonts w:hint="default" w:ascii="Times New Roman" w:hAnsi="Times New Roman" w:eastAsia="宋体" w:cs="Times New Roman"/>
                <w:b w:val="0"/>
                <w:bCs/>
                <w:color w:val="auto"/>
                <w:spacing w:val="0"/>
                <w:w w:val="100"/>
                <w:sz w:val="21"/>
                <w:szCs w:val="21"/>
                <w:lang w:val="en-US" w:eastAsia="zh-CN"/>
              </w:rPr>
              <w:t>注：根据企业提供资料，项目每年11月15日至3月15日（4个月，120天）总排口水温</w:t>
            </w:r>
            <w:r>
              <w:rPr>
                <w:rFonts w:hint="default" w:ascii="Times New Roman" w:hAnsi="Times New Roman" w:eastAsia="宋体" w:cs="Times New Roman"/>
                <w:b w:val="0"/>
                <w:bCs/>
                <w:color w:val="auto"/>
                <w:spacing w:val="0"/>
                <w:w w:val="100"/>
                <w:sz w:val="21"/>
                <w:szCs w:val="21"/>
                <w:vertAlign w:val="baseline"/>
                <w:lang w:val="en-US" w:eastAsia="zh-CN"/>
              </w:rPr>
              <w:t>≤12℃，</w:t>
            </w:r>
            <w:r>
              <w:rPr>
                <w:rFonts w:hint="default" w:ascii="Times New Roman" w:hAnsi="Times New Roman" w:eastAsia="宋体" w:cs="Times New Roman"/>
                <w:b w:val="0"/>
                <w:bCs/>
                <w:color w:val="auto"/>
                <w:spacing w:val="0"/>
                <w:w w:val="100"/>
                <w:sz w:val="21"/>
                <w:szCs w:val="21"/>
              </w:rPr>
              <w:t>NH</w:t>
            </w:r>
            <w:r>
              <w:rPr>
                <w:rFonts w:hint="default" w:ascii="Times New Roman" w:hAnsi="Times New Roman" w:eastAsia="宋体" w:cs="Times New Roman"/>
                <w:b w:val="0"/>
                <w:bCs/>
                <w:color w:val="auto"/>
                <w:spacing w:val="0"/>
                <w:w w:val="100"/>
                <w:sz w:val="21"/>
                <w:szCs w:val="21"/>
                <w:vertAlign w:val="subscript"/>
              </w:rPr>
              <w:t>3</w:t>
            </w:r>
            <w:r>
              <w:rPr>
                <w:rFonts w:hint="default" w:ascii="Times New Roman" w:hAnsi="Times New Roman" w:eastAsia="宋体" w:cs="Times New Roman"/>
                <w:b w:val="0"/>
                <w:bCs/>
                <w:color w:val="auto"/>
                <w:spacing w:val="0"/>
                <w:w w:val="100"/>
                <w:sz w:val="21"/>
                <w:szCs w:val="21"/>
              </w:rPr>
              <w:t>-N</w:t>
            </w:r>
            <w:r>
              <w:rPr>
                <w:rFonts w:hint="default" w:ascii="Times New Roman" w:hAnsi="Times New Roman" w:eastAsia="宋体" w:cs="Times New Roman"/>
                <w:b w:val="0"/>
                <w:bCs/>
                <w:color w:val="auto"/>
                <w:spacing w:val="0"/>
                <w:w w:val="100"/>
                <w:sz w:val="21"/>
                <w:szCs w:val="21"/>
                <w:lang w:eastAsia="zh-CN"/>
              </w:rPr>
              <w:t>排放指标执行括号内排放浓度限值（</w:t>
            </w:r>
            <w:r>
              <w:rPr>
                <w:rFonts w:hint="default" w:ascii="Times New Roman" w:hAnsi="Times New Roman" w:eastAsia="宋体" w:cs="Times New Roman"/>
                <w:b w:val="0"/>
                <w:bCs/>
                <w:color w:val="auto"/>
                <w:spacing w:val="0"/>
                <w:w w:val="100"/>
                <w:sz w:val="21"/>
                <w:szCs w:val="21"/>
                <w:lang w:val="en-US" w:eastAsia="zh-CN"/>
              </w:rPr>
              <w:t>3mg/L</w:t>
            </w:r>
            <w:r>
              <w:rPr>
                <w:rFonts w:hint="default" w:ascii="Times New Roman" w:hAnsi="Times New Roman" w:eastAsia="宋体" w:cs="Times New Roman"/>
                <w:b w:val="0"/>
                <w:bCs/>
                <w:color w:val="auto"/>
                <w:spacing w:val="0"/>
                <w:w w:val="100"/>
                <w:sz w:val="21"/>
                <w:szCs w:val="21"/>
                <w:lang w:eastAsia="zh-CN"/>
              </w:rPr>
              <w:t>）。</w:t>
            </w:r>
          </w:p>
        </w:tc>
      </w:tr>
    </w:tbl>
    <w:p w14:paraId="5EB13EF1">
      <w:pPr>
        <w:spacing w:line="240" w:lineRule="auto"/>
        <w:jc w:val="center"/>
        <w:rPr>
          <w:rFonts w:hint="default" w:ascii="Times New Roman" w:hAnsi="Times New Roman" w:eastAsia="宋体" w:cs="Times New Roman"/>
          <w:b/>
          <w:bCs/>
          <w:color w:val="auto"/>
          <w:spacing w:val="0"/>
          <w:w w:val="100"/>
          <w:sz w:val="21"/>
          <w:szCs w:val="21"/>
          <w:lang w:eastAsia="zh-CN"/>
        </w:rPr>
      </w:pPr>
    </w:p>
    <w:p w14:paraId="0685B3FB">
      <w:pPr>
        <w:tabs>
          <w:tab w:val="left" w:pos="1685"/>
        </w:tabs>
        <w:ind w:right="11"/>
        <w:jc w:val="both"/>
        <w:outlineLvl w:val="9"/>
        <w:rPr>
          <w:rFonts w:hint="default" w:ascii="Times New Roman" w:hAnsi="Times New Roman" w:eastAsia="宋体" w:cs="Times New Roman"/>
          <w:color w:val="auto"/>
          <w:spacing w:val="0"/>
          <w:w w:val="100"/>
        </w:rPr>
        <w:sectPr>
          <w:pgSz w:w="11906" w:h="16838"/>
          <w:pgMar w:top="1440" w:right="1800" w:bottom="1440" w:left="1800" w:header="851" w:footer="992" w:gutter="0"/>
          <w:pgNumType w:fmt="decimal"/>
          <w:cols w:space="720" w:num="1"/>
          <w:docGrid w:type="lines" w:linePitch="312" w:charSpace="0"/>
        </w:sectPr>
      </w:pPr>
    </w:p>
    <w:p w14:paraId="24B87422">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32"/>
          <w:szCs w:val="32"/>
          <w:lang w:val="en-US" w:eastAsia="zh-CN" w:bidi="ar-SA"/>
        </w:rPr>
      </w:pPr>
      <w:bookmarkStart w:id="41" w:name="_Toc22111"/>
      <w:r>
        <w:rPr>
          <w:rFonts w:hint="default" w:ascii="Times New Roman" w:hAnsi="Times New Roman" w:eastAsia="宋体" w:cs="Times New Roman"/>
          <w:b/>
          <w:color w:val="auto"/>
          <w:spacing w:val="0"/>
          <w:w w:val="100"/>
          <w:kern w:val="2"/>
          <w:sz w:val="32"/>
          <w:szCs w:val="32"/>
          <w:lang w:val="en-US" w:eastAsia="zh-CN" w:bidi="ar-SA"/>
        </w:rPr>
        <w:t>第 3章</w:t>
      </w:r>
      <w:r>
        <w:rPr>
          <w:rFonts w:hint="default" w:ascii="Times New Roman" w:hAnsi="Times New Roman" w:eastAsia="宋体" w:cs="Times New Roman"/>
          <w:b/>
          <w:color w:val="auto"/>
          <w:spacing w:val="0"/>
          <w:w w:val="100"/>
          <w:kern w:val="2"/>
          <w:sz w:val="32"/>
          <w:szCs w:val="32"/>
          <w:lang w:val="en-US" w:eastAsia="zh-CN" w:bidi="ar-SA"/>
        </w:rPr>
        <w:tab/>
      </w:r>
      <w:r>
        <w:rPr>
          <w:rFonts w:hint="default" w:ascii="Times New Roman" w:hAnsi="Times New Roman" w:eastAsia="宋体" w:cs="Times New Roman"/>
          <w:b/>
          <w:color w:val="auto"/>
          <w:spacing w:val="0"/>
          <w:w w:val="100"/>
          <w:kern w:val="2"/>
          <w:sz w:val="32"/>
          <w:szCs w:val="32"/>
          <w:lang w:val="en-US" w:eastAsia="zh-CN" w:bidi="ar-SA"/>
        </w:rPr>
        <w:t>环境质量现状</w:t>
      </w:r>
      <w:bookmarkEnd w:id="41"/>
    </w:p>
    <w:p w14:paraId="3CCFBA12">
      <w:pPr>
        <w:widowControl w:val="0"/>
        <w:spacing w:before="120" w:beforeLines="50" w:after="120" w:afterLines="50" w:line="240" w:lineRule="auto"/>
        <w:ind w:firstLine="0" w:firstLineChars="0"/>
        <w:jc w:val="both"/>
        <w:outlineLvl w:val="1"/>
        <w:rPr>
          <w:rFonts w:hint="default" w:ascii="Times New Roman" w:hAnsi="Times New Roman" w:eastAsia="宋体" w:cs="Times New Roman"/>
          <w:b/>
          <w:color w:val="auto"/>
          <w:spacing w:val="0"/>
          <w:w w:val="100"/>
          <w:kern w:val="2"/>
          <w:sz w:val="28"/>
          <w:szCs w:val="28"/>
          <w:lang w:val="en-US" w:eastAsia="zh-CN" w:bidi="ar-SA"/>
        </w:rPr>
      </w:pPr>
      <w:bookmarkStart w:id="42" w:name="_Toc2093"/>
      <w:r>
        <w:rPr>
          <w:rFonts w:hint="default" w:ascii="Times New Roman" w:hAnsi="Times New Roman" w:eastAsia="宋体" w:cs="Times New Roman"/>
          <w:b/>
          <w:color w:val="auto"/>
          <w:spacing w:val="0"/>
          <w:w w:val="100"/>
          <w:kern w:val="2"/>
          <w:sz w:val="28"/>
          <w:szCs w:val="28"/>
          <w:lang w:val="en-US" w:eastAsia="zh-CN" w:bidi="ar-SA"/>
        </w:rPr>
        <w:t>3.1 污染源调查</w:t>
      </w:r>
      <w:bookmarkEnd w:id="42"/>
    </w:p>
    <w:p w14:paraId="6C5FA676">
      <w:pPr>
        <w:spacing w:line="360" w:lineRule="auto"/>
        <w:ind w:firstLine="480" w:firstLineChars="200"/>
      </w:pPr>
      <w:r>
        <w:rPr>
          <w:rFonts w:hint="default" w:ascii="Times New Roman" w:hAnsi="Times New Roman" w:eastAsia="宋体" w:cs="Times New Roman"/>
          <w:color w:val="auto"/>
          <w:spacing w:val="0"/>
          <w:w w:val="100"/>
          <w:sz w:val="24"/>
          <w:szCs w:val="24"/>
          <w:lang w:val="en-US" w:eastAsia="zh-CN"/>
        </w:rPr>
        <w:t>根据</w:t>
      </w:r>
      <w:r>
        <w:rPr>
          <w:rFonts w:hint="eastAsia" w:ascii="Times New Roman" w:hAnsi="Times New Roman" w:eastAsia="宋体" w:cs="Times New Roman"/>
          <w:color w:val="auto"/>
          <w:spacing w:val="0"/>
          <w:w w:val="100"/>
          <w:sz w:val="24"/>
          <w:szCs w:val="24"/>
          <w:lang w:val="en-US" w:eastAsia="zh-CN"/>
        </w:rPr>
        <w:t>查询排污许可登记数据及现场调查资料，</w:t>
      </w:r>
      <w:r>
        <w:rPr>
          <w:rFonts w:hint="default" w:ascii="Times New Roman" w:hAnsi="Times New Roman" w:eastAsia="宋体" w:cs="Times New Roman"/>
          <w:color w:val="auto"/>
          <w:sz w:val="24"/>
          <w:szCs w:val="24"/>
          <w:lang w:val="en-US" w:eastAsia="zh-CN"/>
        </w:rPr>
        <w:t>本项目排污口上游500m</w:t>
      </w:r>
      <w:r>
        <w:rPr>
          <w:rFonts w:hint="eastAsia" w:ascii="Times New Roman" w:hAnsi="Times New Roman" w:eastAsia="宋体" w:cs="Times New Roman"/>
          <w:color w:val="auto"/>
          <w:sz w:val="24"/>
          <w:szCs w:val="24"/>
          <w:lang w:val="en-US" w:eastAsia="zh-CN"/>
        </w:rPr>
        <w:t>，无污染源</w:t>
      </w:r>
      <w:r>
        <w:rPr>
          <w:rFonts w:hint="default" w:ascii="Times New Roman" w:hAnsi="Times New Roman" w:eastAsia="宋体" w:cs="Times New Roman"/>
          <w:color w:val="auto"/>
          <w:sz w:val="24"/>
          <w:szCs w:val="24"/>
          <w:lang w:val="en-US" w:eastAsia="zh-CN"/>
        </w:rPr>
        <w:t>，下游1500m范围内存在污染</w:t>
      </w:r>
      <w:r>
        <w:rPr>
          <w:rFonts w:hint="default" w:ascii="Times New Roman" w:hAnsi="Times New Roman" w:eastAsia="宋体" w:cs="Times New Roman"/>
          <w:color w:val="auto"/>
          <w:spacing w:val="0"/>
          <w:w w:val="100"/>
          <w:sz w:val="24"/>
          <w:szCs w:val="24"/>
          <w:lang w:val="en-US" w:eastAsia="zh-CN"/>
        </w:rPr>
        <w:t>源为</w:t>
      </w:r>
      <w:r>
        <w:rPr>
          <w:rFonts w:hint="eastAsia" w:ascii="Times New Roman" w:hAnsi="Times New Roman" w:eastAsia="宋体" w:cs="Times New Roman"/>
          <w:color w:val="auto"/>
          <w:spacing w:val="0"/>
          <w:w w:val="100"/>
          <w:sz w:val="24"/>
          <w:szCs w:val="24"/>
          <w:lang w:val="en-US" w:eastAsia="zh-CN"/>
        </w:rPr>
        <w:t>陇县千河南岸新城污水处理厂</w:t>
      </w:r>
      <w:r>
        <w:rPr>
          <w:rFonts w:hint="default" w:ascii="Times New Roman" w:hAnsi="Times New Roman" w:eastAsia="宋体" w:cs="Times New Roman"/>
          <w:color w:val="auto"/>
          <w:spacing w:val="0"/>
          <w:w w:val="100"/>
          <w:sz w:val="24"/>
          <w:szCs w:val="24"/>
          <w:lang w:val="en-US" w:eastAsia="zh-CN"/>
        </w:rPr>
        <w:t>，</w:t>
      </w:r>
      <w:r>
        <w:rPr>
          <w:rFonts w:hint="eastAsia" w:ascii="Times New Roman" w:hAnsi="Times New Roman" w:eastAsia="宋体" w:cs="Times New Roman"/>
          <w:color w:val="auto"/>
          <w:spacing w:val="0"/>
          <w:w w:val="100"/>
          <w:sz w:val="24"/>
          <w:szCs w:val="24"/>
          <w:lang w:val="en-US" w:eastAsia="zh-CN"/>
        </w:rPr>
        <w:t>陇县千河南岸新城污水处理厂位于陇县千河北岸、城关镇堡子身村，2015年开始建设，2015年8月一期工程竣工验收并投入试运行。收水范围主要包括县城东区、南岸新城片区和工业园。污水处理规模为1万m</w:t>
      </w:r>
      <w:r>
        <w:rPr>
          <w:rFonts w:hint="eastAsia" w:ascii="Times New Roman" w:hAnsi="Times New Roman" w:eastAsia="宋体" w:cs="Times New Roman"/>
          <w:color w:val="auto"/>
          <w:spacing w:val="0"/>
          <w:w w:val="100"/>
          <w:sz w:val="24"/>
          <w:szCs w:val="24"/>
          <w:vertAlign w:val="superscript"/>
          <w:lang w:val="en-US" w:eastAsia="zh-CN"/>
        </w:rPr>
        <w:t>3</w:t>
      </w:r>
      <w:r>
        <w:rPr>
          <w:rFonts w:hint="eastAsia" w:ascii="Times New Roman" w:hAnsi="Times New Roman" w:eastAsia="宋体" w:cs="Times New Roman"/>
          <w:color w:val="auto"/>
          <w:spacing w:val="0"/>
          <w:w w:val="100"/>
          <w:sz w:val="24"/>
          <w:szCs w:val="24"/>
          <w:lang w:val="en-US" w:eastAsia="zh-CN"/>
        </w:rPr>
        <w:t>/d，出水水质均达到国家污水处理排放一级A标准，采用工艺为“粗格栅+细格栅及漩流沉沙+初沉池+BioDopp生化反应+过滤+消毒”。2020年陇县千河南岸新城污水处理厂进行提标改造，改造后处理规模为1万m</w:t>
      </w:r>
      <w:r>
        <w:rPr>
          <w:rFonts w:hint="eastAsia" w:ascii="Times New Roman" w:hAnsi="Times New Roman" w:eastAsia="宋体" w:cs="Times New Roman"/>
          <w:color w:val="auto"/>
          <w:spacing w:val="0"/>
          <w:w w:val="100"/>
          <w:sz w:val="24"/>
          <w:szCs w:val="24"/>
          <w:vertAlign w:val="superscript"/>
          <w:lang w:val="en-US" w:eastAsia="zh-CN"/>
        </w:rPr>
        <w:t>3</w:t>
      </w:r>
      <w:r>
        <w:rPr>
          <w:rFonts w:hint="eastAsia" w:ascii="Times New Roman" w:hAnsi="Times New Roman" w:eastAsia="宋体" w:cs="Times New Roman"/>
          <w:color w:val="auto"/>
          <w:spacing w:val="0"/>
          <w:w w:val="100"/>
          <w:sz w:val="24"/>
          <w:szCs w:val="24"/>
          <w:lang w:val="en-US" w:eastAsia="zh-CN"/>
        </w:rPr>
        <w:t>/d不变，改造后污水处理工艺采用“A</w:t>
      </w:r>
      <w:r>
        <w:rPr>
          <w:rFonts w:hint="eastAsia" w:ascii="Times New Roman" w:hAnsi="Times New Roman" w:eastAsia="宋体" w:cs="Times New Roman"/>
          <w:color w:val="auto"/>
          <w:spacing w:val="0"/>
          <w:w w:val="100"/>
          <w:sz w:val="24"/>
          <w:szCs w:val="24"/>
          <w:vertAlign w:val="superscript"/>
          <w:lang w:val="en-US" w:eastAsia="zh-CN"/>
        </w:rPr>
        <w:t>2</w:t>
      </w:r>
      <w:r>
        <w:rPr>
          <w:rFonts w:hint="eastAsia" w:ascii="Times New Roman" w:hAnsi="Times New Roman" w:eastAsia="宋体" w:cs="Times New Roman"/>
          <w:color w:val="auto"/>
          <w:spacing w:val="0"/>
          <w:w w:val="100"/>
          <w:sz w:val="24"/>
          <w:szCs w:val="24"/>
          <w:lang w:val="en-US" w:eastAsia="zh-CN"/>
        </w:rPr>
        <w:t>/O+纤维转盘滤池+紫外线消毒”。污泥全部运送至宝鸡大地农业科技有限公司有机肥肥料厂再利用。出水水质执行《陕西省黄河流域污水综合排放标准》（DB61/224-2018）中的A标准。目前提标改造工程已完成。</w:t>
      </w:r>
    </w:p>
    <w:p w14:paraId="4D4308BA">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入河排污口</w:t>
      </w:r>
      <w:r>
        <w:rPr>
          <w:rFonts w:hint="eastAsia" w:ascii="Times New Roman" w:hAnsi="Times New Roman" w:eastAsia="宋体" w:cs="Times New Roman"/>
          <w:color w:val="auto"/>
          <w:sz w:val="24"/>
          <w:szCs w:val="24"/>
          <w:lang w:val="en-US" w:eastAsia="zh-CN"/>
        </w:rPr>
        <w:t>编号为</w:t>
      </w:r>
      <w:r>
        <w:rPr>
          <w:rFonts w:hint="default" w:ascii="Times New Roman" w:hAnsi="Times New Roman" w:eastAsia="宋体" w:cs="Times New Roman"/>
          <w:color w:val="auto"/>
          <w:sz w:val="24"/>
          <w:szCs w:val="24"/>
          <w:lang w:val="en-US" w:eastAsia="zh-CN"/>
        </w:rPr>
        <w:t>WS14010</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坐标为东经106°54'45</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，北纬34°54’4</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排污许可证编号916103273386063095001R</w:t>
      </w:r>
      <w:r>
        <w:rPr>
          <w:rFonts w:hint="default" w:ascii="Times New Roman" w:hAnsi="Times New Roman" w:eastAsia="宋体" w:cs="Times New Roman"/>
          <w:color w:val="auto"/>
          <w:sz w:val="24"/>
          <w:szCs w:val="24"/>
          <w:lang w:val="en-US" w:eastAsia="zh-CN"/>
        </w:rPr>
        <w:t>，化学需氧量排放量</w:t>
      </w:r>
      <w:r>
        <w:rPr>
          <w:rFonts w:hint="eastAsia" w:ascii="Times New Roman" w:hAnsi="Times New Roman" w:eastAsia="宋体" w:cs="Times New Roman"/>
          <w:color w:val="auto"/>
          <w:sz w:val="24"/>
          <w:szCs w:val="24"/>
          <w:lang w:val="en-US" w:eastAsia="zh-CN"/>
        </w:rPr>
        <w:t>109.5</w:t>
      </w:r>
      <w:r>
        <w:rPr>
          <w:rFonts w:hint="default" w:ascii="Times New Roman" w:hAnsi="Times New Roman" w:eastAsia="宋体" w:cs="Times New Roman"/>
          <w:color w:val="auto"/>
          <w:sz w:val="24"/>
          <w:szCs w:val="24"/>
          <w:lang w:val="en-US" w:eastAsia="zh-CN"/>
        </w:rPr>
        <w:t>t，氨氮排放量为</w:t>
      </w:r>
      <w:r>
        <w:rPr>
          <w:rFonts w:hint="eastAsia" w:ascii="Times New Roman" w:hAnsi="Times New Roman" w:eastAsia="宋体" w:cs="Times New Roman"/>
          <w:color w:val="auto"/>
          <w:sz w:val="24"/>
          <w:szCs w:val="24"/>
          <w:lang w:val="en-US" w:eastAsia="zh-CN"/>
        </w:rPr>
        <w:t>5.475</w:t>
      </w:r>
      <w:r>
        <w:rPr>
          <w:rFonts w:hint="default" w:ascii="Times New Roman" w:hAnsi="Times New Roman" w:eastAsia="宋体" w:cs="Times New Roman"/>
          <w:color w:val="auto"/>
          <w:sz w:val="24"/>
          <w:szCs w:val="24"/>
          <w:lang w:val="en-US" w:eastAsia="zh-CN"/>
        </w:rPr>
        <w:t>t</w:t>
      </w:r>
      <w:r>
        <w:rPr>
          <w:rFonts w:hint="eastAsia" w:ascii="Times New Roman" w:hAnsi="Times New Roman" w:eastAsia="宋体" w:cs="Times New Roman"/>
          <w:color w:val="auto"/>
          <w:sz w:val="24"/>
          <w:szCs w:val="24"/>
          <w:lang w:val="en-US" w:eastAsia="zh-CN"/>
        </w:rPr>
        <w:t>，总氮</w:t>
      </w:r>
      <w:r>
        <w:rPr>
          <w:rFonts w:hint="default" w:ascii="Times New Roman" w:hAnsi="Times New Roman" w:eastAsia="宋体" w:cs="Times New Roman"/>
          <w:color w:val="auto"/>
          <w:sz w:val="24"/>
          <w:szCs w:val="24"/>
          <w:lang w:val="en-US" w:eastAsia="zh-CN"/>
        </w:rPr>
        <w:t>排放量为</w:t>
      </w:r>
      <w:r>
        <w:rPr>
          <w:rFonts w:hint="eastAsia" w:ascii="Times New Roman" w:hAnsi="Times New Roman" w:eastAsia="宋体" w:cs="Times New Roman"/>
          <w:color w:val="auto"/>
          <w:sz w:val="24"/>
          <w:szCs w:val="24"/>
          <w:lang w:val="en-US" w:eastAsia="zh-CN"/>
        </w:rPr>
        <w:t>54.75，总磷</w:t>
      </w:r>
      <w:r>
        <w:rPr>
          <w:rFonts w:hint="default" w:ascii="Times New Roman" w:hAnsi="Times New Roman" w:eastAsia="宋体" w:cs="Times New Roman"/>
          <w:color w:val="auto"/>
          <w:sz w:val="24"/>
          <w:szCs w:val="24"/>
          <w:lang w:val="en-US" w:eastAsia="zh-CN"/>
        </w:rPr>
        <w:t>排放量为</w:t>
      </w:r>
      <w:r>
        <w:rPr>
          <w:rFonts w:hint="eastAsia" w:ascii="Times New Roman" w:hAnsi="Times New Roman" w:eastAsia="宋体" w:cs="Times New Roman"/>
          <w:color w:val="auto"/>
          <w:sz w:val="24"/>
          <w:szCs w:val="24"/>
          <w:lang w:val="en-US" w:eastAsia="zh-CN"/>
        </w:rPr>
        <w:t>1.095</w:t>
      </w:r>
      <w:r>
        <w:rPr>
          <w:rFonts w:hint="default" w:ascii="Times New Roman" w:hAnsi="Times New Roman" w:eastAsia="宋体" w:cs="Times New Roman"/>
          <w:color w:val="auto"/>
          <w:sz w:val="24"/>
          <w:szCs w:val="24"/>
          <w:lang w:val="en-US" w:eastAsia="zh-CN"/>
        </w:rPr>
        <w:t>。</w:t>
      </w:r>
    </w:p>
    <w:p w14:paraId="6C5E304E">
      <w:pPr>
        <w:widowControl w:val="0"/>
        <w:spacing w:before="120" w:beforeLines="50" w:after="120" w:afterLines="50" w:line="240" w:lineRule="auto"/>
        <w:ind w:firstLine="0" w:firstLineChars="0"/>
        <w:jc w:val="both"/>
        <w:outlineLvl w:val="1"/>
        <w:rPr>
          <w:rFonts w:hint="default" w:ascii="Times New Roman" w:hAnsi="Times New Roman" w:eastAsia="宋体" w:cs="Times New Roman"/>
          <w:b/>
          <w:color w:val="auto"/>
          <w:spacing w:val="0"/>
          <w:w w:val="100"/>
          <w:kern w:val="2"/>
          <w:sz w:val="28"/>
          <w:szCs w:val="28"/>
          <w:lang w:val="en-US" w:eastAsia="zh-CN" w:bidi="ar-SA"/>
        </w:rPr>
      </w:pPr>
      <w:bookmarkStart w:id="43" w:name="_Toc24533"/>
      <w:r>
        <w:rPr>
          <w:rFonts w:hint="default" w:ascii="Times New Roman" w:hAnsi="Times New Roman" w:eastAsia="宋体" w:cs="Times New Roman"/>
          <w:b/>
          <w:color w:val="auto"/>
          <w:spacing w:val="0"/>
          <w:w w:val="100"/>
          <w:kern w:val="2"/>
          <w:sz w:val="28"/>
          <w:szCs w:val="28"/>
          <w:lang w:val="en-US" w:eastAsia="zh-CN" w:bidi="ar-SA"/>
        </w:rPr>
        <w:t>3.2项目所在区域达标区判定</w:t>
      </w:r>
      <w:bookmarkEnd w:id="43"/>
    </w:p>
    <w:p w14:paraId="32D1371B">
      <w:pPr>
        <w:spacing w:line="360" w:lineRule="auto"/>
        <w:ind w:firstLine="480" w:firstLineChars="200"/>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根据宝鸡市生态环境局发布的《宝鸡市环境质量状况年报》2</w:t>
      </w:r>
      <w:r>
        <w:rPr>
          <w:rFonts w:hint="eastAsia" w:ascii="Times New Roman" w:hAnsi="Times New Roman" w:eastAsia="宋体" w:cs="Times New Roman"/>
          <w:color w:val="auto"/>
          <w:spacing w:val="0"/>
          <w:w w:val="100"/>
          <w:sz w:val="24"/>
          <w:szCs w:val="24"/>
          <w:lang w:val="en-US" w:eastAsia="zh-CN"/>
        </w:rPr>
        <w:t>022</w:t>
      </w:r>
      <w:r>
        <w:rPr>
          <w:rFonts w:hint="default" w:ascii="Times New Roman" w:hAnsi="Times New Roman" w:eastAsia="宋体" w:cs="Times New Roman"/>
          <w:color w:val="auto"/>
          <w:spacing w:val="0"/>
          <w:w w:val="100"/>
          <w:sz w:val="24"/>
          <w:szCs w:val="24"/>
          <w:lang w:val="en-US" w:eastAsia="zh-CN"/>
        </w:rPr>
        <w:t>年、20</w:t>
      </w:r>
      <w:r>
        <w:rPr>
          <w:rFonts w:hint="eastAsia" w:ascii="Times New Roman" w:hAnsi="Times New Roman" w:eastAsia="宋体" w:cs="Times New Roman"/>
          <w:color w:val="auto"/>
          <w:spacing w:val="0"/>
          <w:w w:val="100"/>
          <w:sz w:val="24"/>
          <w:szCs w:val="24"/>
          <w:lang w:val="en-US" w:eastAsia="zh-CN"/>
        </w:rPr>
        <w:t>23</w:t>
      </w:r>
      <w:r>
        <w:rPr>
          <w:rFonts w:hint="default" w:ascii="Times New Roman" w:hAnsi="Times New Roman" w:eastAsia="宋体" w:cs="Times New Roman"/>
          <w:color w:val="auto"/>
          <w:spacing w:val="0"/>
          <w:w w:val="100"/>
          <w:sz w:val="24"/>
          <w:szCs w:val="24"/>
          <w:lang w:val="en-US" w:eastAsia="zh-CN"/>
        </w:rPr>
        <w:t>年、20</w:t>
      </w:r>
      <w:r>
        <w:rPr>
          <w:rFonts w:hint="eastAsia" w:ascii="Times New Roman" w:hAnsi="Times New Roman" w:eastAsia="宋体" w:cs="Times New Roman"/>
          <w:color w:val="auto"/>
          <w:spacing w:val="0"/>
          <w:w w:val="100"/>
          <w:sz w:val="24"/>
          <w:szCs w:val="24"/>
          <w:lang w:val="en-US" w:eastAsia="zh-CN"/>
        </w:rPr>
        <w:t>24</w:t>
      </w:r>
      <w:r>
        <w:rPr>
          <w:rFonts w:hint="default" w:ascii="Times New Roman" w:hAnsi="Times New Roman" w:eastAsia="宋体" w:cs="Times New Roman"/>
          <w:color w:val="auto"/>
          <w:spacing w:val="0"/>
          <w:w w:val="100"/>
          <w:sz w:val="24"/>
          <w:szCs w:val="24"/>
          <w:lang w:val="en-US" w:eastAsia="zh-CN"/>
        </w:rPr>
        <w:t>年，共</w:t>
      </w:r>
      <w:r>
        <w:rPr>
          <w:rFonts w:hint="default" w:ascii="Times New Roman" w:hAnsi="Times New Roman" w:eastAsia="宋体" w:cs="Times New Roman"/>
          <w:color w:val="auto"/>
          <w:spacing w:val="0"/>
          <w:w w:val="100"/>
          <w:sz w:val="24"/>
          <w:szCs w:val="24"/>
          <w:lang w:eastAsia="zh-CN"/>
        </w:rPr>
        <w:t>三年数据，</w:t>
      </w:r>
      <w:r>
        <w:rPr>
          <w:rFonts w:hint="eastAsia" w:ascii="Times New Roman" w:hAnsi="Times New Roman" w:eastAsia="宋体" w:cs="Times New Roman"/>
          <w:color w:val="auto"/>
          <w:spacing w:val="0"/>
          <w:w w:val="100"/>
          <w:sz w:val="24"/>
          <w:szCs w:val="24"/>
          <w:lang w:val="en-US" w:eastAsia="zh-CN"/>
        </w:rPr>
        <w:t>千河水沟桥</w:t>
      </w:r>
      <w:r>
        <w:rPr>
          <w:rFonts w:hint="default" w:ascii="Times New Roman" w:hAnsi="Times New Roman" w:eastAsia="宋体" w:cs="Times New Roman"/>
          <w:color w:val="auto"/>
          <w:spacing w:val="0"/>
          <w:w w:val="100"/>
          <w:sz w:val="24"/>
          <w:szCs w:val="24"/>
          <w:lang w:eastAsia="zh-CN"/>
        </w:rPr>
        <w:t>境断面数据汇总选取水环境质量中化学需氧量、</w:t>
      </w:r>
      <w:r>
        <w:rPr>
          <w:rFonts w:hint="eastAsia" w:ascii="Times New Roman" w:hAnsi="Times New Roman" w:eastAsia="宋体" w:cs="Times New Roman"/>
          <w:color w:val="auto"/>
          <w:spacing w:val="0"/>
          <w:w w:val="100"/>
          <w:sz w:val="24"/>
          <w:szCs w:val="24"/>
          <w:lang w:val="en-US" w:eastAsia="zh-CN"/>
        </w:rPr>
        <w:t>五日生化需氧量、</w:t>
      </w:r>
      <w:r>
        <w:rPr>
          <w:rFonts w:hint="default" w:ascii="Times New Roman" w:hAnsi="Times New Roman" w:eastAsia="宋体" w:cs="Times New Roman"/>
          <w:color w:val="auto"/>
          <w:spacing w:val="0"/>
          <w:w w:val="100"/>
          <w:sz w:val="24"/>
          <w:szCs w:val="24"/>
          <w:lang w:eastAsia="zh-CN"/>
        </w:rPr>
        <w:t>氨氮、总磷、</w:t>
      </w:r>
      <w:r>
        <w:rPr>
          <w:rFonts w:hint="eastAsia" w:ascii="Times New Roman" w:hAnsi="Times New Roman" w:eastAsia="宋体" w:cs="Times New Roman"/>
          <w:color w:val="auto"/>
          <w:spacing w:val="0"/>
          <w:w w:val="100"/>
          <w:sz w:val="24"/>
          <w:szCs w:val="24"/>
          <w:lang w:eastAsia="zh-CN"/>
        </w:rPr>
        <w:t>溶解氧、</w:t>
      </w:r>
      <w:r>
        <w:rPr>
          <w:rFonts w:hint="eastAsia" w:ascii="Times New Roman" w:hAnsi="Times New Roman" w:eastAsia="宋体" w:cs="Times New Roman"/>
          <w:color w:val="auto"/>
          <w:spacing w:val="0"/>
          <w:w w:val="100"/>
          <w:sz w:val="24"/>
          <w:szCs w:val="24"/>
          <w:lang w:val="en-US" w:eastAsia="zh-CN"/>
        </w:rPr>
        <w:t>高锰酸盐指数</w:t>
      </w:r>
      <w:r>
        <w:rPr>
          <w:rFonts w:hint="default" w:ascii="Times New Roman" w:hAnsi="Times New Roman" w:eastAsia="宋体" w:cs="Times New Roman"/>
          <w:color w:val="auto"/>
          <w:spacing w:val="0"/>
          <w:w w:val="100"/>
          <w:sz w:val="24"/>
          <w:szCs w:val="24"/>
          <w:lang w:eastAsia="zh-CN"/>
        </w:rPr>
        <w:t>为评价因子，进行年水质状况评价。</w:t>
      </w:r>
    </w:p>
    <w:p w14:paraId="27264B6E">
      <w:pPr>
        <w:spacing w:line="360" w:lineRule="auto"/>
        <w:ind w:firstLine="480" w:firstLineChars="200"/>
        <w:rPr>
          <w:rFonts w:hint="default" w:ascii="Times New Roman" w:hAnsi="Times New Roman" w:eastAsia="宋体" w:cs="Times New Roman"/>
          <w:color w:val="auto"/>
          <w:spacing w:val="0"/>
          <w:w w:val="100"/>
          <w:sz w:val="24"/>
          <w:szCs w:val="24"/>
          <w:lang w:eastAsia="zh-CN"/>
        </w:rPr>
      </w:pP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lang w:eastAsia="zh-CN"/>
        </w:rPr>
        <w:t>主要污染物评价结果见表3-</w:t>
      </w:r>
      <w:r>
        <w:rPr>
          <w:rFonts w:hint="default" w:ascii="Times New Roman" w:hAnsi="Times New Roman" w:eastAsia="宋体" w:cs="Times New Roman"/>
          <w:color w:val="auto"/>
          <w:spacing w:val="0"/>
          <w:w w:val="100"/>
          <w:sz w:val="24"/>
          <w:szCs w:val="24"/>
          <w:lang w:val="en-US" w:eastAsia="zh-CN"/>
        </w:rPr>
        <w:t>1</w:t>
      </w:r>
      <w:r>
        <w:rPr>
          <w:rFonts w:hint="default" w:ascii="Times New Roman" w:hAnsi="Times New Roman" w:eastAsia="宋体" w:cs="Times New Roman"/>
          <w:color w:val="auto"/>
          <w:spacing w:val="0"/>
          <w:w w:val="100"/>
          <w:sz w:val="24"/>
          <w:szCs w:val="24"/>
          <w:lang w:eastAsia="zh-CN"/>
        </w:rPr>
        <w:t>，河流水质比较见图3-1、</w:t>
      </w:r>
      <w:r>
        <w:rPr>
          <w:rFonts w:hint="default" w:ascii="Times New Roman" w:hAnsi="Times New Roman" w:eastAsia="宋体" w:cs="Times New Roman"/>
          <w:color w:val="auto"/>
          <w:spacing w:val="0"/>
          <w:w w:val="100"/>
          <w:sz w:val="24"/>
          <w:szCs w:val="24"/>
          <w:lang w:val="en-US" w:eastAsia="zh-CN"/>
        </w:rPr>
        <w:t>3-2</w:t>
      </w:r>
      <w:r>
        <w:rPr>
          <w:rFonts w:hint="default" w:ascii="Times New Roman" w:hAnsi="Times New Roman" w:eastAsia="宋体" w:cs="Times New Roman"/>
          <w:color w:val="auto"/>
          <w:spacing w:val="0"/>
          <w:w w:val="100"/>
          <w:sz w:val="24"/>
          <w:szCs w:val="24"/>
          <w:lang w:eastAsia="zh-CN"/>
        </w:rPr>
        <w:t>。</w:t>
      </w:r>
    </w:p>
    <w:p w14:paraId="65A946F9">
      <w:pPr>
        <w:tabs>
          <w:tab w:val="left" w:pos="4536"/>
        </w:tabs>
        <w:spacing w:line="520" w:lineRule="exact"/>
        <w:ind w:firstLine="1687" w:firstLineChars="700"/>
        <w:rPr>
          <w:rFonts w:hint="default" w:ascii="Times New Roman" w:hAnsi="Times New Roman" w:eastAsia="华文仿宋" w:cs="Times New Roman"/>
          <w:b/>
          <w:bCs/>
          <w:color w:val="auto"/>
          <w:spacing w:val="0"/>
          <w:w w:val="100"/>
          <w:sz w:val="24"/>
          <w:szCs w:val="24"/>
        </w:rPr>
      </w:pPr>
      <w:r>
        <w:rPr>
          <w:rFonts w:hint="default" w:ascii="Times New Roman" w:hAnsi="Times New Roman" w:eastAsia="宋体" w:cs="Times New Roman"/>
          <w:b/>
          <w:bCs/>
          <w:color w:val="auto"/>
          <w:spacing w:val="0"/>
          <w:w w:val="100"/>
          <w:sz w:val="24"/>
          <w:szCs w:val="24"/>
        </w:rPr>
        <w:t>表</w:t>
      </w:r>
      <w:r>
        <w:rPr>
          <w:rFonts w:hint="default" w:ascii="Times New Roman" w:hAnsi="Times New Roman" w:eastAsia="宋体" w:cs="Times New Roman"/>
          <w:b/>
          <w:bCs/>
          <w:color w:val="auto"/>
          <w:spacing w:val="0"/>
          <w:w w:val="100"/>
          <w:sz w:val="24"/>
          <w:szCs w:val="24"/>
          <w:lang w:val="en-US" w:eastAsia="zh-CN"/>
        </w:rPr>
        <w:t>3-1</w:t>
      </w:r>
      <w:r>
        <w:rPr>
          <w:rFonts w:hint="default" w:ascii="Times New Roman" w:hAnsi="Times New Roman" w:eastAsia="宋体" w:cs="Times New Roman"/>
          <w:b/>
          <w:bCs/>
          <w:color w:val="auto"/>
          <w:spacing w:val="0"/>
          <w:w w:val="100"/>
          <w:sz w:val="24"/>
          <w:szCs w:val="24"/>
        </w:rPr>
        <w:t xml:space="preserve">   </w:t>
      </w:r>
      <w:r>
        <w:rPr>
          <w:rFonts w:hint="eastAsia" w:ascii="Times New Roman" w:hAnsi="Times New Roman" w:eastAsia="宋体" w:cs="Times New Roman"/>
          <w:b/>
          <w:bCs/>
          <w:color w:val="auto"/>
          <w:spacing w:val="0"/>
          <w:w w:val="100"/>
          <w:sz w:val="24"/>
          <w:szCs w:val="24"/>
          <w:lang w:eastAsia="zh-CN"/>
        </w:rPr>
        <w:t>千陇交界（水沟桥）</w:t>
      </w:r>
      <w:r>
        <w:rPr>
          <w:rFonts w:hint="default" w:ascii="Times New Roman" w:hAnsi="Times New Roman" w:eastAsia="宋体" w:cs="Times New Roman"/>
          <w:b/>
          <w:bCs/>
          <w:color w:val="auto"/>
          <w:spacing w:val="0"/>
          <w:w w:val="100"/>
          <w:sz w:val="24"/>
          <w:szCs w:val="24"/>
          <w:lang w:eastAsia="zh-CN"/>
        </w:rPr>
        <w:t>断面</w:t>
      </w:r>
      <w:r>
        <w:rPr>
          <w:rFonts w:hint="default" w:ascii="Times New Roman" w:hAnsi="Times New Roman" w:eastAsia="宋体" w:cs="Times New Roman"/>
          <w:b/>
          <w:bCs/>
          <w:color w:val="auto"/>
          <w:spacing w:val="0"/>
          <w:w w:val="100"/>
          <w:sz w:val="24"/>
          <w:szCs w:val="24"/>
        </w:rPr>
        <w:t>污染物统计汇总表</w:t>
      </w:r>
    </w:p>
    <w:tbl>
      <w:tblPr>
        <w:tblStyle w:val="21"/>
        <w:tblW w:w="49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4"/>
        <w:gridCol w:w="1814"/>
        <w:gridCol w:w="982"/>
        <w:gridCol w:w="978"/>
        <w:gridCol w:w="1091"/>
        <w:gridCol w:w="1108"/>
        <w:gridCol w:w="1200"/>
      </w:tblGrid>
      <w:tr w14:paraId="1F6D9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5" w:type="pct"/>
            <w:vMerge w:val="restart"/>
            <w:noWrap w:val="0"/>
            <w:vAlign w:val="center"/>
          </w:tcPr>
          <w:p w14:paraId="3530B868">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断面名称</w:t>
            </w:r>
          </w:p>
        </w:tc>
        <w:tc>
          <w:tcPr>
            <w:tcW w:w="1085" w:type="pct"/>
            <w:vMerge w:val="restart"/>
            <w:noWrap w:val="0"/>
            <w:vAlign w:val="center"/>
          </w:tcPr>
          <w:p w14:paraId="7710EC18">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rPr>
              <w:t>监测项目</w:t>
            </w:r>
          </w:p>
        </w:tc>
        <w:tc>
          <w:tcPr>
            <w:tcW w:w="588" w:type="pct"/>
            <w:vMerge w:val="restart"/>
            <w:noWrap w:val="0"/>
            <w:vAlign w:val="center"/>
          </w:tcPr>
          <w:p w14:paraId="2FEF87CA">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2022年</w:t>
            </w:r>
          </w:p>
        </w:tc>
        <w:tc>
          <w:tcPr>
            <w:tcW w:w="585" w:type="pct"/>
            <w:vMerge w:val="restart"/>
            <w:noWrap w:val="0"/>
            <w:vAlign w:val="center"/>
          </w:tcPr>
          <w:p w14:paraId="73EBAAB8">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2023年</w:t>
            </w:r>
          </w:p>
        </w:tc>
        <w:tc>
          <w:tcPr>
            <w:tcW w:w="643" w:type="pct"/>
            <w:vMerge w:val="restart"/>
            <w:noWrap w:val="0"/>
            <w:vAlign w:val="center"/>
          </w:tcPr>
          <w:p w14:paraId="119EAD8C">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标准值</w:t>
            </w:r>
            <w:r>
              <w:rPr>
                <w:rFonts w:hint="eastAsia" w:ascii="Times New Roman" w:hAnsi="Times New Roman" w:eastAsia="宋体" w:cs="Times New Roman"/>
                <w:b w:val="0"/>
                <w:bCs w:val="0"/>
                <w:color w:val="auto"/>
                <w:spacing w:val="0"/>
                <w:w w:val="100"/>
                <w:sz w:val="21"/>
                <w:szCs w:val="21"/>
                <w:lang w:val="en-US" w:eastAsia="zh-CN"/>
              </w:rPr>
              <w:t>（</w:t>
            </w:r>
            <w:r>
              <w:rPr>
                <w:rFonts w:hint="default" w:ascii="Times New Roman" w:hAnsi="Times New Roman" w:cs="Times New Roman"/>
                <w:color w:val="auto"/>
                <w:spacing w:val="0"/>
                <w:w w:val="100"/>
                <w:sz w:val="21"/>
                <w:szCs w:val="21"/>
              </w:rPr>
              <w:t>mg/L</w:t>
            </w:r>
            <w:r>
              <w:rPr>
                <w:rFonts w:hint="eastAsia" w:ascii="Times New Roman" w:hAnsi="Times New Roman" w:cs="Times New Roman"/>
                <w:color w:val="auto"/>
                <w:spacing w:val="0"/>
                <w:w w:val="100"/>
                <w:sz w:val="21"/>
                <w:szCs w:val="21"/>
                <w:lang w:eastAsia="zh-CN"/>
              </w:rPr>
              <w:t>）</w:t>
            </w:r>
          </w:p>
        </w:tc>
        <w:tc>
          <w:tcPr>
            <w:tcW w:w="1381" w:type="pct"/>
            <w:gridSpan w:val="2"/>
            <w:noWrap w:val="0"/>
            <w:vAlign w:val="center"/>
          </w:tcPr>
          <w:p w14:paraId="1931CF3A">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污染物指数</w:t>
            </w:r>
          </w:p>
        </w:tc>
      </w:tr>
      <w:tr w14:paraId="42D49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715" w:type="pct"/>
            <w:vMerge w:val="continue"/>
            <w:noWrap w:val="0"/>
            <w:vAlign w:val="center"/>
          </w:tcPr>
          <w:p w14:paraId="27D11E0E">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rPr>
                <w:rFonts w:hint="default" w:ascii="Times New Roman" w:hAnsi="Times New Roman" w:eastAsia="宋体" w:cs="Times New Roman"/>
                <w:b w:val="0"/>
                <w:bCs w:val="0"/>
                <w:color w:val="auto"/>
                <w:spacing w:val="0"/>
                <w:w w:val="100"/>
                <w:sz w:val="21"/>
                <w:szCs w:val="21"/>
              </w:rPr>
            </w:pPr>
          </w:p>
        </w:tc>
        <w:tc>
          <w:tcPr>
            <w:tcW w:w="1085" w:type="pct"/>
            <w:vMerge w:val="continue"/>
            <w:noWrap w:val="0"/>
            <w:vAlign w:val="center"/>
          </w:tcPr>
          <w:p w14:paraId="2D126A04">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rPr>
            </w:pPr>
          </w:p>
        </w:tc>
        <w:tc>
          <w:tcPr>
            <w:tcW w:w="588" w:type="pct"/>
            <w:vMerge w:val="continue"/>
            <w:noWrap w:val="0"/>
            <w:vAlign w:val="center"/>
          </w:tcPr>
          <w:p w14:paraId="66B8745F">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p>
        </w:tc>
        <w:tc>
          <w:tcPr>
            <w:tcW w:w="585" w:type="pct"/>
            <w:vMerge w:val="continue"/>
            <w:noWrap w:val="0"/>
            <w:vAlign w:val="center"/>
          </w:tcPr>
          <w:p w14:paraId="4E11C27D">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p>
        </w:tc>
        <w:tc>
          <w:tcPr>
            <w:tcW w:w="643" w:type="pct"/>
            <w:vMerge w:val="continue"/>
            <w:noWrap w:val="0"/>
            <w:vAlign w:val="center"/>
          </w:tcPr>
          <w:p w14:paraId="51AE589F">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p>
        </w:tc>
        <w:tc>
          <w:tcPr>
            <w:tcW w:w="663" w:type="pct"/>
            <w:noWrap w:val="0"/>
            <w:vAlign w:val="center"/>
          </w:tcPr>
          <w:p w14:paraId="0B5D43BD">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2022年</w:t>
            </w:r>
          </w:p>
        </w:tc>
        <w:tc>
          <w:tcPr>
            <w:tcW w:w="717" w:type="pct"/>
            <w:noWrap w:val="0"/>
            <w:vAlign w:val="center"/>
          </w:tcPr>
          <w:p w14:paraId="57588519">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2023年</w:t>
            </w:r>
          </w:p>
        </w:tc>
      </w:tr>
      <w:tr w14:paraId="1A323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15" w:type="pct"/>
            <w:vMerge w:val="restart"/>
            <w:noWrap w:val="0"/>
            <w:vAlign w:val="center"/>
          </w:tcPr>
          <w:p w14:paraId="39117332">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千陇交界（水沟桥）</w:t>
            </w:r>
          </w:p>
        </w:tc>
        <w:tc>
          <w:tcPr>
            <w:tcW w:w="1085" w:type="pct"/>
            <w:noWrap w:val="0"/>
            <w:vAlign w:val="center"/>
          </w:tcPr>
          <w:p w14:paraId="7C03BE26">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eastAsia="zh-CN"/>
              </w:rPr>
              <w:t>化学需氧量</w:t>
            </w:r>
          </w:p>
        </w:tc>
        <w:tc>
          <w:tcPr>
            <w:tcW w:w="588" w:type="pct"/>
            <w:noWrap w:val="0"/>
            <w:vAlign w:val="center"/>
          </w:tcPr>
          <w:p w14:paraId="3247B0E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8.9</w:t>
            </w:r>
          </w:p>
        </w:tc>
        <w:tc>
          <w:tcPr>
            <w:tcW w:w="585" w:type="pct"/>
            <w:noWrap w:val="0"/>
            <w:vAlign w:val="center"/>
          </w:tcPr>
          <w:p w14:paraId="43CFAF6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10.6</w:t>
            </w:r>
          </w:p>
        </w:tc>
        <w:tc>
          <w:tcPr>
            <w:tcW w:w="643" w:type="pct"/>
            <w:noWrap w:val="0"/>
            <w:vAlign w:val="center"/>
          </w:tcPr>
          <w:p w14:paraId="762C350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cs="Times New Roman"/>
                <w:color w:val="auto"/>
                <w:spacing w:val="0"/>
                <w:w w:val="100"/>
                <w:szCs w:val="21"/>
              </w:rPr>
              <w:t>20</w:t>
            </w:r>
          </w:p>
        </w:tc>
        <w:tc>
          <w:tcPr>
            <w:tcW w:w="663" w:type="pct"/>
            <w:noWrap w:val="0"/>
            <w:vAlign w:val="center"/>
          </w:tcPr>
          <w:p w14:paraId="680B6E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0.445</w:t>
            </w:r>
          </w:p>
        </w:tc>
        <w:tc>
          <w:tcPr>
            <w:tcW w:w="717" w:type="pct"/>
            <w:noWrap w:val="0"/>
            <w:vAlign w:val="center"/>
          </w:tcPr>
          <w:p w14:paraId="24EB6D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0.53</w:t>
            </w:r>
          </w:p>
        </w:tc>
      </w:tr>
      <w:tr w14:paraId="031CA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pct"/>
            <w:vMerge w:val="continue"/>
            <w:noWrap w:val="0"/>
            <w:vAlign w:val="center"/>
          </w:tcPr>
          <w:p w14:paraId="5E1ADB2C">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p>
        </w:tc>
        <w:tc>
          <w:tcPr>
            <w:tcW w:w="1085" w:type="pct"/>
            <w:noWrap w:val="0"/>
            <w:vAlign w:val="center"/>
          </w:tcPr>
          <w:p w14:paraId="131C079E">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五日生化需氧量</w:t>
            </w:r>
          </w:p>
        </w:tc>
        <w:tc>
          <w:tcPr>
            <w:tcW w:w="588" w:type="pct"/>
            <w:noWrap w:val="0"/>
            <w:vAlign w:val="center"/>
          </w:tcPr>
          <w:p w14:paraId="671439A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1.1</w:t>
            </w:r>
          </w:p>
        </w:tc>
        <w:tc>
          <w:tcPr>
            <w:tcW w:w="585" w:type="pct"/>
            <w:noWrap w:val="0"/>
            <w:vAlign w:val="center"/>
          </w:tcPr>
          <w:p w14:paraId="0C376E5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1.1</w:t>
            </w:r>
          </w:p>
        </w:tc>
        <w:tc>
          <w:tcPr>
            <w:tcW w:w="643" w:type="pct"/>
            <w:noWrap w:val="0"/>
            <w:vAlign w:val="center"/>
          </w:tcPr>
          <w:p w14:paraId="36BC1DA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eastAsiaTheme="minorEastAsia"/>
                <w:color w:val="auto"/>
                <w:spacing w:val="0"/>
                <w:w w:val="100"/>
                <w:szCs w:val="21"/>
                <w:lang w:val="en-US" w:eastAsia="zh-CN"/>
              </w:rPr>
            </w:pPr>
            <w:r>
              <w:rPr>
                <w:rFonts w:hint="default" w:ascii="Times New Roman" w:hAnsi="Times New Roman" w:cs="Times New Roman"/>
                <w:color w:val="auto"/>
                <w:spacing w:val="0"/>
                <w:w w:val="100"/>
                <w:szCs w:val="21"/>
                <w:lang w:val="en-US" w:eastAsia="zh-CN"/>
              </w:rPr>
              <w:t>4</w:t>
            </w:r>
          </w:p>
        </w:tc>
        <w:tc>
          <w:tcPr>
            <w:tcW w:w="663" w:type="pct"/>
            <w:noWrap w:val="0"/>
            <w:vAlign w:val="center"/>
          </w:tcPr>
          <w:p w14:paraId="60BC13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0.275</w:t>
            </w:r>
          </w:p>
        </w:tc>
        <w:tc>
          <w:tcPr>
            <w:tcW w:w="717" w:type="pct"/>
            <w:noWrap w:val="0"/>
            <w:vAlign w:val="center"/>
          </w:tcPr>
          <w:p w14:paraId="1ED094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0.275</w:t>
            </w:r>
          </w:p>
        </w:tc>
      </w:tr>
      <w:tr w14:paraId="3B7FB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715" w:type="pct"/>
            <w:vMerge w:val="continue"/>
            <w:noWrap w:val="0"/>
            <w:vAlign w:val="center"/>
          </w:tcPr>
          <w:p w14:paraId="5030FC78">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rPr>
            </w:pPr>
          </w:p>
        </w:tc>
        <w:tc>
          <w:tcPr>
            <w:tcW w:w="1085" w:type="pct"/>
            <w:noWrap w:val="0"/>
            <w:vAlign w:val="center"/>
          </w:tcPr>
          <w:p w14:paraId="622A6CFA">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lang w:eastAsia="zh-CN"/>
              </w:rPr>
              <w:t>氨氮</w:t>
            </w:r>
          </w:p>
        </w:tc>
        <w:tc>
          <w:tcPr>
            <w:tcW w:w="588" w:type="pct"/>
            <w:noWrap w:val="0"/>
            <w:vAlign w:val="center"/>
          </w:tcPr>
          <w:p w14:paraId="4250F57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0.15</w:t>
            </w:r>
          </w:p>
        </w:tc>
        <w:tc>
          <w:tcPr>
            <w:tcW w:w="585" w:type="pct"/>
            <w:noWrap w:val="0"/>
            <w:vAlign w:val="center"/>
          </w:tcPr>
          <w:p w14:paraId="09D9706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0.15</w:t>
            </w:r>
          </w:p>
        </w:tc>
        <w:tc>
          <w:tcPr>
            <w:tcW w:w="643" w:type="pct"/>
            <w:noWrap w:val="0"/>
            <w:vAlign w:val="center"/>
          </w:tcPr>
          <w:p w14:paraId="1033519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cs="Times New Roman"/>
                <w:color w:val="auto"/>
                <w:spacing w:val="0"/>
                <w:w w:val="100"/>
                <w:szCs w:val="21"/>
              </w:rPr>
              <w:t>1</w:t>
            </w:r>
          </w:p>
        </w:tc>
        <w:tc>
          <w:tcPr>
            <w:tcW w:w="663" w:type="pct"/>
            <w:noWrap w:val="0"/>
            <w:vAlign w:val="center"/>
          </w:tcPr>
          <w:p w14:paraId="5751BB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0.15</w:t>
            </w:r>
          </w:p>
        </w:tc>
        <w:tc>
          <w:tcPr>
            <w:tcW w:w="717" w:type="pct"/>
            <w:noWrap w:val="0"/>
            <w:vAlign w:val="center"/>
          </w:tcPr>
          <w:p w14:paraId="705150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1B324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15" w:type="pct"/>
            <w:vMerge w:val="continue"/>
            <w:noWrap w:val="0"/>
            <w:vAlign w:val="center"/>
          </w:tcPr>
          <w:p w14:paraId="4BB1FA31">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rPr>
            </w:pPr>
          </w:p>
        </w:tc>
        <w:tc>
          <w:tcPr>
            <w:tcW w:w="1085" w:type="pct"/>
            <w:noWrap w:val="0"/>
            <w:vAlign w:val="center"/>
          </w:tcPr>
          <w:p w14:paraId="2C7B51D8">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rPr>
            </w:pPr>
            <w:r>
              <w:rPr>
                <w:rFonts w:hint="default" w:ascii="Times New Roman" w:hAnsi="Times New Roman" w:eastAsia="宋体" w:cs="Times New Roman"/>
                <w:b w:val="0"/>
                <w:bCs w:val="0"/>
                <w:color w:val="auto"/>
                <w:spacing w:val="0"/>
                <w:w w:val="100"/>
                <w:sz w:val="21"/>
                <w:szCs w:val="21"/>
                <w:lang w:eastAsia="zh-CN"/>
              </w:rPr>
              <w:t>总磷</w:t>
            </w:r>
          </w:p>
        </w:tc>
        <w:tc>
          <w:tcPr>
            <w:tcW w:w="588" w:type="pct"/>
            <w:noWrap w:val="0"/>
            <w:vAlign w:val="center"/>
          </w:tcPr>
          <w:p w14:paraId="2EB4436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0.041</w:t>
            </w:r>
          </w:p>
        </w:tc>
        <w:tc>
          <w:tcPr>
            <w:tcW w:w="585" w:type="pct"/>
            <w:noWrap w:val="0"/>
            <w:vAlign w:val="center"/>
          </w:tcPr>
          <w:p w14:paraId="1215525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0.042</w:t>
            </w:r>
          </w:p>
        </w:tc>
        <w:tc>
          <w:tcPr>
            <w:tcW w:w="643" w:type="pct"/>
            <w:noWrap w:val="0"/>
            <w:vAlign w:val="center"/>
          </w:tcPr>
          <w:p w14:paraId="6F3F3A0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0.2</w:t>
            </w:r>
          </w:p>
        </w:tc>
        <w:tc>
          <w:tcPr>
            <w:tcW w:w="663" w:type="pct"/>
            <w:noWrap w:val="0"/>
            <w:vAlign w:val="center"/>
          </w:tcPr>
          <w:p w14:paraId="63BDF1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0.205</w:t>
            </w:r>
          </w:p>
        </w:tc>
        <w:tc>
          <w:tcPr>
            <w:tcW w:w="717" w:type="pct"/>
            <w:noWrap w:val="0"/>
            <w:vAlign w:val="center"/>
          </w:tcPr>
          <w:p w14:paraId="53B32C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0.21</w:t>
            </w:r>
          </w:p>
        </w:tc>
      </w:tr>
      <w:tr w14:paraId="1E9AC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715" w:type="pct"/>
            <w:vMerge w:val="continue"/>
            <w:noWrap w:val="0"/>
            <w:vAlign w:val="center"/>
          </w:tcPr>
          <w:p w14:paraId="73E070BB">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rPr>
            </w:pPr>
          </w:p>
        </w:tc>
        <w:tc>
          <w:tcPr>
            <w:tcW w:w="1085" w:type="pct"/>
            <w:noWrap w:val="0"/>
            <w:vAlign w:val="center"/>
          </w:tcPr>
          <w:p w14:paraId="1C90A43B">
            <w:pPr>
              <w:keepNext w:val="0"/>
              <w:keepLines w:val="0"/>
              <w:pageBreakBefore w:val="0"/>
              <w:suppressLineNumbers w:val="0"/>
              <w:tabs>
                <w:tab w:val="left" w:pos="4536"/>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eastAsia="zh-CN"/>
              </w:rPr>
            </w:pPr>
            <w:r>
              <w:rPr>
                <w:rFonts w:hint="default" w:ascii="Times New Roman" w:hAnsi="Times New Roman" w:eastAsia="宋体" w:cs="Times New Roman"/>
                <w:b w:val="0"/>
                <w:bCs w:val="0"/>
                <w:color w:val="auto"/>
                <w:spacing w:val="0"/>
                <w:w w:val="100"/>
                <w:sz w:val="21"/>
                <w:szCs w:val="21"/>
                <w:lang w:eastAsia="zh-CN"/>
              </w:rPr>
              <w:t>溶解氧</w:t>
            </w:r>
          </w:p>
        </w:tc>
        <w:tc>
          <w:tcPr>
            <w:tcW w:w="588" w:type="pct"/>
            <w:noWrap w:val="0"/>
            <w:vAlign w:val="center"/>
          </w:tcPr>
          <w:p w14:paraId="1D6EE46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9.9</w:t>
            </w:r>
          </w:p>
        </w:tc>
        <w:tc>
          <w:tcPr>
            <w:tcW w:w="585" w:type="pct"/>
            <w:shd w:val="clear" w:color="auto" w:fill="auto"/>
            <w:noWrap w:val="0"/>
            <w:vAlign w:val="center"/>
          </w:tcPr>
          <w:p w14:paraId="67ED07B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kern w:val="2"/>
                <w:sz w:val="21"/>
                <w:szCs w:val="21"/>
                <w:lang w:val="en-US" w:eastAsia="zh-CN" w:bidi="ar-SA"/>
              </w:rPr>
            </w:pPr>
            <w:r>
              <w:rPr>
                <w:rFonts w:hint="default" w:ascii="Times New Roman" w:hAnsi="Times New Roman" w:eastAsia="宋体" w:cs="Times New Roman"/>
                <w:b w:val="0"/>
                <w:bCs w:val="0"/>
                <w:color w:val="auto"/>
                <w:spacing w:val="0"/>
                <w:w w:val="100"/>
                <w:sz w:val="21"/>
                <w:szCs w:val="21"/>
                <w:lang w:val="en-US" w:eastAsia="zh-CN"/>
              </w:rPr>
              <w:t>9.2</w:t>
            </w:r>
          </w:p>
        </w:tc>
        <w:tc>
          <w:tcPr>
            <w:tcW w:w="643" w:type="pct"/>
            <w:noWrap w:val="0"/>
            <w:vAlign w:val="center"/>
          </w:tcPr>
          <w:p w14:paraId="18FCA82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b w:val="0"/>
                <w:bCs w:val="0"/>
                <w:color w:val="auto"/>
                <w:spacing w:val="0"/>
                <w:w w:val="100"/>
                <w:sz w:val="21"/>
                <w:szCs w:val="21"/>
                <w:lang w:val="en-US" w:eastAsia="zh-CN"/>
              </w:rPr>
              <w:t>5</w:t>
            </w:r>
          </w:p>
        </w:tc>
        <w:tc>
          <w:tcPr>
            <w:tcW w:w="663" w:type="pct"/>
            <w:noWrap w:val="0"/>
            <w:vAlign w:val="center"/>
          </w:tcPr>
          <w:p w14:paraId="73CF93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1.98</w:t>
            </w:r>
          </w:p>
        </w:tc>
        <w:tc>
          <w:tcPr>
            <w:tcW w:w="717" w:type="pct"/>
            <w:noWrap w:val="0"/>
            <w:vAlign w:val="center"/>
          </w:tcPr>
          <w:p w14:paraId="36FBA7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pacing w:val="0"/>
                <w:w w:val="1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1.84</w:t>
            </w:r>
          </w:p>
        </w:tc>
      </w:tr>
    </w:tbl>
    <w:p w14:paraId="5E87292E">
      <w:pPr>
        <w:spacing w:line="240" w:lineRule="auto"/>
        <w:jc w:val="center"/>
        <w:rPr>
          <w:rFonts w:hint="default" w:ascii="Times New Roman" w:hAnsi="Times New Roman" w:eastAsia="宋体" w:cs="Times New Roman"/>
          <w:b/>
          <w:color w:val="auto"/>
          <w:spacing w:val="0"/>
          <w:w w:val="100"/>
          <w:sz w:val="24"/>
          <w:szCs w:val="24"/>
        </w:rPr>
      </w:pPr>
      <w:r>
        <w:drawing>
          <wp:inline distT="0" distB="0" distL="114300" distR="114300">
            <wp:extent cx="5144135" cy="2759075"/>
            <wp:effectExtent l="4445" t="4445" r="17780" b="10160"/>
            <wp:docPr id="2"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drawing>
          <wp:inline distT="0" distB="0" distL="114300" distR="114300">
            <wp:extent cx="5273040" cy="2847340"/>
            <wp:effectExtent l="4445" t="4445" r="10795" b="13335"/>
            <wp:docPr id="13"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rFonts w:hint="default" w:ascii="Times New Roman" w:hAnsi="Times New Roman" w:eastAsia="宋体" w:cs="Times New Roman"/>
          <w:b/>
          <w:color w:val="auto"/>
          <w:spacing w:val="0"/>
          <w:w w:val="100"/>
          <w:sz w:val="24"/>
          <w:szCs w:val="24"/>
        </w:rPr>
        <w:t>图3-</w:t>
      </w:r>
      <w:r>
        <w:rPr>
          <w:rFonts w:hint="default" w:ascii="Times New Roman" w:hAnsi="Times New Roman" w:eastAsia="宋体" w:cs="Times New Roman"/>
          <w:b/>
          <w:color w:val="auto"/>
          <w:spacing w:val="0"/>
          <w:w w:val="100"/>
          <w:sz w:val="24"/>
          <w:szCs w:val="24"/>
          <w:lang w:val="en-US" w:eastAsia="zh-CN"/>
        </w:rPr>
        <w:t>2</w:t>
      </w:r>
      <w:r>
        <w:rPr>
          <w:rFonts w:hint="default" w:ascii="Times New Roman" w:hAnsi="Times New Roman" w:eastAsia="宋体" w:cs="Times New Roman"/>
          <w:b/>
          <w:color w:val="auto"/>
          <w:spacing w:val="0"/>
          <w:w w:val="100"/>
          <w:sz w:val="24"/>
          <w:szCs w:val="24"/>
        </w:rPr>
        <w:t xml:space="preserve">  </w:t>
      </w:r>
      <w:r>
        <w:rPr>
          <w:rFonts w:hint="eastAsia" w:ascii="Times New Roman" w:hAnsi="Times New Roman" w:eastAsia="宋体" w:cs="Times New Roman"/>
          <w:b/>
          <w:color w:val="FF0000"/>
          <w:spacing w:val="0"/>
          <w:w w:val="100"/>
          <w:sz w:val="24"/>
          <w:szCs w:val="24"/>
          <w:lang w:val="en-US" w:eastAsia="zh-CN"/>
        </w:rPr>
        <w:t xml:space="preserve">    </w:t>
      </w:r>
      <w:r>
        <w:rPr>
          <w:rFonts w:hint="eastAsia" w:ascii="Times New Roman" w:hAnsi="Times New Roman" w:eastAsia="宋体" w:cs="Times New Roman"/>
          <w:b/>
          <w:color w:val="auto"/>
          <w:spacing w:val="0"/>
          <w:w w:val="100"/>
          <w:sz w:val="24"/>
          <w:szCs w:val="24"/>
          <w:lang w:val="en-US" w:eastAsia="zh-CN"/>
        </w:rPr>
        <w:t>千陇交界（水沟桥）</w:t>
      </w:r>
      <w:r>
        <w:rPr>
          <w:rFonts w:hint="eastAsia" w:ascii="Times New Roman" w:hAnsi="Times New Roman" w:eastAsia="宋体" w:cs="Times New Roman"/>
          <w:b/>
          <w:bCs/>
          <w:color w:val="auto"/>
          <w:spacing w:val="0"/>
          <w:w w:val="100"/>
          <w:sz w:val="24"/>
          <w:szCs w:val="24"/>
          <w:lang w:val="en-US" w:eastAsia="zh-CN"/>
        </w:rPr>
        <w:t>两</w:t>
      </w:r>
      <w:r>
        <w:rPr>
          <w:rFonts w:hint="default" w:ascii="Times New Roman" w:hAnsi="Times New Roman" w:eastAsia="宋体" w:cs="Times New Roman"/>
          <w:b/>
          <w:bCs/>
          <w:color w:val="auto"/>
          <w:spacing w:val="0"/>
          <w:w w:val="100"/>
          <w:sz w:val="24"/>
          <w:szCs w:val="24"/>
          <w:lang w:eastAsia="zh-CN"/>
        </w:rPr>
        <w:t>年</w:t>
      </w:r>
      <w:r>
        <w:rPr>
          <w:rFonts w:hint="default" w:ascii="Times New Roman" w:hAnsi="Times New Roman" w:eastAsia="宋体" w:cs="Times New Roman"/>
          <w:b/>
          <w:color w:val="auto"/>
          <w:spacing w:val="0"/>
          <w:w w:val="100"/>
          <w:sz w:val="24"/>
          <w:szCs w:val="24"/>
        </w:rPr>
        <w:t>河流水质比较</w:t>
      </w:r>
    </w:p>
    <w:p w14:paraId="600CF0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由表3-</w:t>
      </w:r>
      <w:r>
        <w:rPr>
          <w:rFonts w:hint="eastAsia" w:ascii="Times New Roman" w:hAnsi="Times New Roman" w:eastAsia="宋体" w:cs="Times New Roman"/>
          <w:color w:val="auto"/>
          <w:spacing w:val="0"/>
          <w:w w:val="100"/>
          <w:sz w:val="24"/>
          <w:szCs w:val="24"/>
          <w:lang w:val="en-US" w:eastAsia="zh-CN"/>
        </w:rPr>
        <w:t>1</w:t>
      </w:r>
      <w:r>
        <w:rPr>
          <w:rFonts w:hint="default" w:ascii="Times New Roman" w:hAnsi="Times New Roman" w:eastAsia="宋体" w:cs="Times New Roman"/>
          <w:color w:val="auto"/>
          <w:spacing w:val="0"/>
          <w:w w:val="100"/>
          <w:sz w:val="24"/>
          <w:szCs w:val="24"/>
          <w:lang w:eastAsia="zh-CN"/>
        </w:rPr>
        <w:t>、图3-1可知，</w:t>
      </w:r>
      <w:r>
        <w:rPr>
          <w:rFonts w:hint="eastAsia" w:ascii="Times New Roman" w:hAnsi="Times New Roman" w:eastAsia="宋体" w:cs="Times New Roman"/>
          <w:color w:val="auto"/>
          <w:spacing w:val="0"/>
          <w:w w:val="100"/>
          <w:sz w:val="24"/>
          <w:szCs w:val="24"/>
          <w:lang w:val="en-US" w:eastAsia="zh-CN"/>
        </w:rPr>
        <w:t>2023年</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lang w:eastAsia="zh-CN"/>
        </w:rPr>
        <w:t>综合污染指数较20</w:t>
      </w:r>
      <w:r>
        <w:rPr>
          <w:rFonts w:hint="eastAsia" w:ascii="Times New Roman" w:hAnsi="Times New Roman" w:eastAsia="宋体" w:cs="Times New Roman"/>
          <w:color w:val="auto"/>
          <w:spacing w:val="0"/>
          <w:w w:val="100"/>
          <w:sz w:val="24"/>
          <w:szCs w:val="24"/>
          <w:lang w:val="en-US" w:eastAsia="zh-CN"/>
        </w:rPr>
        <w:t>22变化不大，河流</w:t>
      </w:r>
      <w:r>
        <w:rPr>
          <w:rFonts w:hint="default" w:ascii="Times New Roman" w:hAnsi="Times New Roman" w:eastAsia="宋体" w:cs="Times New Roman"/>
          <w:color w:val="auto"/>
          <w:spacing w:val="0"/>
          <w:w w:val="100"/>
          <w:sz w:val="24"/>
          <w:szCs w:val="24"/>
          <w:lang w:eastAsia="zh-CN"/>
        </w:rPr>
        <w:t>整体水质较好，</w:t>
      </w:r>
      <w:r>
        <w:rPr>
          <w:rFonts w:hint="eastAsia" w:ascii="Times New Roman" w:hAnsi="Times New Roman" w:eastAsia="宋体" w:cs="Times New Roman"/>
          <w:color w:val="auto"/>
          <w:spacing w:val="0"/>
          <w:w w:val="100"/>
          <w:sz w:val="24"/>
          <w:szCs w:val="24"/>
          <w:lang w:eastAsia="zh-CN"/>
        </w:rPr>
        <w:t>连续</w:t>
      </w:r>
      <w:r>
        <w:rPr>
          <w:rFonts w:hint="eastAsia" w:ascii="Times New Roman" w:hAnsi="Times New Roman" w:eastAsia="宋体" w:cs="Times New Roman"/>
          <w:color w:val="auto"/>
          <w:spacing w:val="0"/>
          <w:w w:val="100"/>
          <w:sz w:val="24"/>
          <w:szCs w:val="24"/>
          <w:lang w:val="en-US" w:eastAsia="zh-CN"/>
        </w:rPr>
        <w:t>两</w:t>
      </w:r>
      <w:r>
        <w:rPr>
          <w:rFonts w:hint="eastAsia" w:ascii="Times New Roman" w:hAnsi="Times New Roman" w:eastAsia="宋体" w:cs="Times New Roman"/>
          <w:color w:val="auto"/>
          <w:spacing w:val="0"/>
          <w:w w:val="100"/>
          <w:sz w:val="24"/>
          <w:szCs w:val="24"/>
          <w:lang w:eastAsia="zh-CN"/>
        </w:rPr>
        <w:t>年来千陇交界（水沟桥）</w:t>
      </w:r>
      <w:r>
        <w:rPr>
          <w:rFonts w:hint="default" w:ascii="Times New Roman" w:hAnsi="Times New Roman" w:eastAsia="宋体" w:cs="Times New Roman"/>
          <w:color w:val="auto"/>
          <w:spacing w:val="0"/>
          <w:w w:val="100"/>
          <w:sz w:val="24"/>
          <w:szCs w:val="24"/>
          <w:lang w:eastAsia="zh-CN"/>
        </w:rPr>
        <w:t>均能够满足《地表水环境质量标准》中</w:t>
      </w:r>
      <w:r>
        <w:rPr>
          <w:rFonts w:hint="eastAsia" w:ascii="Times New Roman" w:hAnsi="Times New Roman" w:eastAsia="宋体" w:cs="Times New Roman"/>
          <w:color w:val="auto"/>
          <w:spacing w:val="0"/>
          <w:w w:val="100"/>
          <w:sz w:val="24"/>
          <w:szCs w:val="24"/>
          <w:lang w:eastAsia="zh-CN"/>
        </w:rPr>
        <w:t>Ⅲ类</w:t>
      </w:r>
      <w:r>
        <w:rPr>
          <w:rFonts w:hint="default" w:ascii="Times New Roman" w:hAnsi="Times New Roman" w:eastAsia="宋体" w:cs="Times New Roman"/>
          <w:color w:val="auto"/>
          <w:spacing w:val="0"/>
          <w:w w:val="100"/>
          <w:sz w:val="24"/>
          <w:szCs w:val="24"/>
          <w:lang w:eastAsia="zh-CN"/>
        </w:rPr>
        <w:t>标准</w:t>
      </w:r>
      <w:r>
        <w:rPr>
          <w:rFonts w:hint="eastAsia" w:ascii="Times New Roman" w:hAnsi="Times New Roman" w:eastAsia="宋体" w:cs="Times New Roman"/>
          <w:color w:val="auto"/>
          <w:spacing w:val="0"/>
          <w:w w:val="100"/>
          <w:sz w:val="24"/>
          <w:szCs w:val="24"/>
          <w:lang w:eastAsia="zh-CN"/>
        </w:rPr>
        <w:t>，</w:t>
      </w:r>
      <w:r>
        <w:rPr>
          <w:rFonts w:hint="eastAsia" w:ascii="Times New Roman" w:hAnsi="Times New Roman" w:eastAsia="宋体" w:cs="Times New Roman"/>
          <w:color w:val="auto"/>
          <w:spacing w:val="0"/>
          <w:w w:val="100"/>
          <w:sz w:val="24"/>
          <w:szCs w:val="24"/>
          <w:lang w:val="en-US" w:eastAsia="zh-CN"/>
        </w:rPr>
        <w:t>2024年</w:t>
      </w:r>
      <w:r>
        <w:rPr>
          <w:rFonts w:hint="default" w:ascii="Times New Roman" w:hAnsi="Times New Roman" w:eastAsia="宋体" w:cs="Times New Roman"/>
          <w:color w:val="auto"/>
          <w:spacing w:val="0"/>
          <w:w w:val="100"/>
          <w:sz w:val="24"/>
          <w:szCs w:val="24"/>
          <w:lang w:eastAsia="zh-CN"/>
        </w:rPr>
        <w:t>满足《地表水环境质量标准》中</w:t>
      </w:r>
      <w:r>
        <w:rPr>
          <w:rFonts w:hint="eastAsia" w:ascii="Times New Roman" w:hAnsi="Times New Roman" w:eastAsia="宋体" w:cs="Times New Roman"/>
          <w:color w:val="auto"/>
          <w:spacing w:val="0"/>
          <w:w w:val="100"/>
          <w:sz w:val="24"/>
          <w:szCs w:val="24"/>
          <w:lang w:eastAsia="zh-CN"/>
        </w:rPr>
        <w:t>Ⅱ类</w:t>
      </w:r>
      <w:r>
        <w:rPr>
          <w:rFonts w:hint="default" w:ascii="Times New Roman" w:hAnsi="Times New Roman" w:eastAsia="宋体" w:cs="Times New Roman"/>
          <w:color w:val="auto"/>
          <w:spacing w:val="0"/>
          <w:w w:val="100"/>
          <w:sz w:val="24"/>
          <w:szCs w:val="24"/>
          <w:lang w:eastAsia="zh-CN"/>
        </w:rPr>
        <w:t>标准</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eastAsia="zh-CN"/>
        </w:rPr>
        <w:t>因此判定地表水环境为达标区。</w:t>
      </w:r>
    </w:p>
    <w:p w14:paraId="6C31C424">
      <w:pPr>
        <w:keepNext w:val="0"/>
        <w:keepLines w:val="0"/>
        <w:pageBreakBefore w:val="0"/>
        <w:widowControl w:val="0"/>
        <w:kinsoku/>
        <w:wordWrap/>
        <w:overflowPunct/>
        <w:topLinePunct w:val="0"/>
        <w:autoSpaceDE/>
        <w:autoSpaceDN/>
        <w:bidi w:val="0"/>
        <w:adjustRightInd/>
        <w:snapToGrid/>
        <w:spacing w:before="120" w:beforeLines="50" w:after="120" w:afterLines="50" w:line="360" w:lineRule="auto"/>
        <w:ind w:firstLine="0" w:firstLineChars="0"/>
        <w:jc w:val="both"/>
        <w:textAlignment w:val="auto"/>
        <w:outlineLvl w:val="0"/>
        <w:rPr>
          <w:rFonts w:hint="default" w:ascii="Times New Roman" w:hAnsi="Times New Roman" w:eastAsia="宋体" w:cs="Times New Roman"/>
          <w:b/>
          <w:color w:val="auto"/>
          <w:spacing w:val="0"/>
          <w:w w:val="100"/>
          <w:kern w:val="2"/>
          <w:sz w:val="28"/>
          <w:szCs w:val="28"/>
          <w:lang w:val="en-US" w:eastAsia="zh-CN" w:bidi="ar-SA"/>
        </w:rPr>
      </w:pPr>
      <w:bookmarkStart w:id="44" w:name="_Toc20250"/>
      <w:r>
        <w:rPr>
          <w:rFonts w:hint="eastAsia" w:ascii="Times New Roman" w:hAnsi="Times New Roman" w:eastAsia="宋体" w:cs="Times New Roman"/>
          <w:b/>
          <w:color w:val="auto"/>
          <w:spacing w:val="0"/>
          <w:w w:val="100"/>
          <w:kern w:val="2"/>
          <w:sz w:val="28"/>
          <w:szCs w:val="28"/>
          <w:lang w:val="en-US" w:eastAsia="zh-CN" w:bidi="ar-SA"/>
        </w:rPr>
        <w:t>3.3</w:t>
      </w:r>
      <w:r>
        <w:rPr>
          <w:rFonts w:hint="default" w:ascii="Times New Roman" w:hAnsi="Times New Roman" w:eastAsia="宋体" w:cs="Times New Roman"/>
          <w:b/>
          <w:color w:val="auto"/>
          <w:spacing w:val="0"/>
          <w:w w:val="100"/>
          <w:kern w:val="2"/>
          <w:sz w:val="28"/>
          <w:szCs w:val="28"/>
          <w:lang w:val="en-US" w:eastAsia="zh-CN" w:bidi="ar-SA"/>
        </w:rPr>
        <w:t>环境质量现状评价</w:t>
      </w:r>
      <w:bookmarkEnd w:id="44"/>
    </w:p>
    <w:p w14:paraId="0743A4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1、监测方案</w:t>
      </w:r>
    </w:p>
    <w:p w14:paraId="13E339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为了解建设项目所在地地表水环境质量现状，</w:t>
      </w:r>
      <w:r>
        <w:rPr>
          <w:rFonts w:hint="eastAsia" w:ascii="Times New Roman" w:hAnsi="Times New Roman" w:eastAsia="宋体" w:cs="Times New Roman"/>
          <w:color w:val="auto"/>
          <w:spacing w:val="0"/>
          <w:w w:val="100"/>
          <w:sz w:val="24"/>
          <w:szCs w:val="24"/>
          <w:lang w:eastAsia="zh-CN"/>
        </w:rPr>
        <w:t>本次环评</w:t>
      </w:r>
      <w:r>
        <w:rPr>
          <w:rFonts w:hint="eastAsia" w:ascii="Times New Roman" w:hAnsi="Times New Roman" w:eastAsia="宋体" w:cs="Times New Roman"/>
          <w:color w:val="auto"/>
          <w:spacing w:val="0"/>
          <w:w w:val="100"/>
          <w:sz w:val="24"/>
          <w:szCs w:val="24"/>
          <w:lang w:val="en-US" w:eastAsia="zh-CN"/>
        </w:rPr>
        <w:t>引用《陕西陇县经济技术开发区总体规划（2022-2035）环境影响报告书》中监测数据，</w:t>
      </w:r>
      <w:r>
        <w:rPr>
          <w:rFonts w:hint="default" w:ascii="Times New Roman" w:hAnsi="Times New Roman" w:eastAsia="宋体" w:cs="Times New Roman"/>
          <w:color w:val="auto"/>
          <w:spacing w:val="0"/>
          <w:w w:val="100"/>
          <w:sz w:val="24"/>
          <w:szCs w:val="28"/>
          <w:lang w:eastAsia="zh-CN"/>
        </w:rPr>
        <w:t>（</w:t>
      </w:r>
      <w:r>
        <w:rPr>
          <w:rFonts w:hint="eastAsia" w:ascii="Times New Roman" w:hAnsi="Times New Roman" w:eastAsia="宋体" w:cs="Times New Roman"/>
          <w:color w:val="auto"/>
          <w:spacing w:val="0"/>
          <w:w w:val="100"/>
          <w:sz w:val="24"/>
          <w:szCs w:val="28"/>
          <w:lang w:eastAsia="zh-CN"/>
        </w:rPr>
        <w:t>枯水期</w:t>
      </w: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8"/>
        </w:rPr>
        <w:t>20</w:t>
      </w:r>
      <w:r>
        <w:rPr>
          <w:rFonts w:hint="default" w:ascii="Times New Roman" w:hAnsi="Times New Roman" w:eastAsia="宋体" w:cs="Times New Roman"/>
          <w:color w:val="auto"/>
          <w:spacing w:val="0"/>
          <w:w w:val="100"/>
          <w:sz w:val="24"/>
          <w:szCs w:val="28"/>
          <w:lang w:val="en-US" w:eastAsia="zh-CN"/>
        </w:rPr>
        <w:t>2</w:t>
      </w:r>
      <w:r>
        <w:rPr>
          <w:rFonts w:hint="eastAsia" w:ascii="Times New Roman" w:hAnsi="Times New Roman" w:eastAsia="宋体" w:cs="Times New Roman"/>
          <w:color w:val="auto"/>
          <w:spacing w:val="0"/>
          <w:w w:val="100"/>
          <w:sz w:val="24"/>
          <w:szCs w:val="28"/>
          <w:lang w:val="en-US" w:eastAsia="zh-CN"/>
        </w:rPr>
        <w:t>3</w:t>
      </w:r>
      <w:r>
        <w:rPr>
          <w:rFonts w:hint="default" w:ascii="Times New Roman" w:hAnsi="Times New Roman" w:eastAsia="宋体" w:cs="Times New Roman"/>
          <w:color w:val="auto"/>
          <w:spacing w:val="0"/>
          <w:w w:val="100"/>
          <w:sz w:val="24"/>
          <w:szCs w:val="28"/>
        </w:rPr>
        <w:t>年</w:t>
      </w:r>
      <w:r>
        <w:rPr>
          <w:rFonts w:hint="eastAsia" w:ascii="Times New Roman" w:hAnsi="Times New Roman" w:eastAsia="宋体" w:cs="Times New Roman"/>
          <w:color w:val="auto"/>
          <w:spacing w:val="0"/>
          <w:w w:val="100"/>
          <w:sz w:val="24"/>
          <w:szCs w:val="28"/>
          <w:lang w:val="en-US" w:eastAsia="zh-CN"/>
        </w:rPr>
        <w:t>3</w:t>
      </w:r>
      <w:r>
        <w:rPr>
          <w:rFonts w:hint="default" w:ascii="Times New Roman" w:hAnsi="Times New Roman" w:eastAsia="宋体" w:cs="Times New Roman"/>
          <w:color w:val="auto"/>
          <w:spacing w:val="0"/>
          <w:w w:val="100"/>
          <w:sz w:val="24"/>
          <w:szCs w:val="28"/>
        </w:rPr>
        <w:t>月</w:t>
      </w:r>
      <w:r>
        <w:rPr>
          <w:rFonts w:hint="eastAsia" w:ascii="Times New Roman" w:hAnsi="Times New Roman" w:eastAsia="宋体" w:cs="Times New Roman"/>
          <w:color w:val="auto"/>
          <w:spacing w:val="0"/>
          <w:w w:val="100"/>
          <w:sz w:val="24"/>
          <w:szCs w:val="28"/>
          <w:lang w:val="en-US" w:eastAsia="zh-CN"/>
        </w:rPr>
        <w:t>7</w:t>
      </w:r>
      <w:r>
        <w:rPr>
          <w:rFonts w:hint="default" w:ascii="Times New Roman" w:hAnsi="Times New Roman" w:eastAsia="宋体" w:cs="Times New Roman"/>
          <w:color w:val="auto"/>
          <w:spacing w:val="0"/>
          <w:w w:val="100"/>
          <w:sz w:val="24"/>
          <w:szCs w:val="28"/>
        </w:rPr>
        <w:t>日</w:t>
      </w:r>
      <w:r>
        <w:rPr>
          <w:rFonts w:hint="eastAsia" w:ascii="Times New Roman" w:hAnsi="Times New Roman" w:eastAsia="宋体" w:cs="Times New Roman"/>
          <w:color w:val="auto"/>
          <w:spacing w:val="0"/>
          <w:w w:val="100"/>
          <w:sz w:val="24"/>
          <w:szCs w:val="28"/>
          <w:lang w:eastAsia="zh-CN"/>
        </w:rPr>
        <w:t>—</w:t>
      </w:r>
      <w:r>
        <w:rPr>
          <w:rFonts w:hint="eastAsia" w:ascii="Times New Roman" w:hAnsi="Times New Roman" w:eastAsia="宋体" w:cs="Times New Roman"/>
          <w:color w:val="auto"/>
          <w:spacing w:val="0"/>
          <w:w w:val="100"/>
          <w:sz w:val="24"/>
          <w:szCs w:val="28"/>
          <w:lang w:val="en-US" w:eastAsia="zh-CN"/>
        </w:rPr>
        <w:t>9</w:t>
      </w:r>
      <w:r>
        <w:rPr>
          <w:rFonts w:hint="default" w:ascii="Times New Roman" w:hAnsi="Times New Roman" w:eastAsia="宋体" w:cs="Times New Roman"/>
          <w:color w:val="auto"/>
          <w:spacing w:val="0"/>
          <w:w w:val="100"/>
          <w:sz w:val="24"/>
          <w:szCs w:val="28"/>
        </w:rPr>
        <w:t>日</w:t>
      </w: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4"/>
          <w:lang w:eastAsia="zh-CN"/>
        </w:rPr>
        <w:t>。</w:t>
      </w:r>
    </w:p>
    <w:p w14:paraId="43A6864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引用项目在千河共布设2个监测断面，分别位于陇县千河南岸新城污水处理厂上下游，通过对比分析明确园区产生污水排入千河的影响，监测点位置见表3-2。</w:t>
      </w:r>
    </w:p>
    <w:p w14:paraId="4F742527">
      <w:pPr>
        <w:spacing w:line="360" w:lineRule="auto"/>
        <w:jc w:val="center"/>
        <w:rPr>
          <w:rFonts w:hint="default" w:ascii="Times New Roman" w:hAnsi="Times New Roman" w:eastAsia="宋体" w:cs="Times New Roman"/>
          <w:b/>
          <w:bCs/>
          <w:color w:val="auto"/>
          <w:spacing w:val="0"/>
          <w:w w:val="100"/>
          <w:sz w:val="24"/>
          <w:szCs w:val="28"/>
        </w:rPr>
      </w:pPr>
      <w:r>
        <w:rPr>
          <w:rFonts w:hint="default" w:ascii="Times New Roman" w:hAnsi="Times New Roman" w:eastAsia="宋体" w:cs="Times New Roman"/>
          <w:b/>
          <w:color w:val="auto"/>
          <w:spacing w:val="0"/>
          <w:w w:val="100"/>
          <w:sz w:val="21"/>
          <w:szCs w:val="21"/>
        </w:rPr>
        <w:t>表</w:t>
      </w:r>
      <w:r>
        <w:rPr>
          <w:rFonts w:hint="default" w:ascii="Times New Roman" w:hAnsi="Times New Roman" w:eastAsia="宋体" w:cs="Times New Roman"/>
          <w:b/>
          <w:color w:val="auto"/>
          <w:spacing w:val="0"/>
          <w:w w:val="100"/>
          <w:sz w:val="21"/>
          <w:szCs w:val="21"/>
          <w:lang w:val="en-US" w:eastAsia="zh-CN"/>
        </w:rPr>
        <w:t>3-</w:t>
      </w:r>
      <w:r>
        <w:rPr>
          <w:rFonts w:hint="eastAsia" w:ascii="Times New Roman" w:hAnsi="Times New Roman" w:eastAsia="宋体" w:cs="Times New Roman"/>
          <w:b/>
          <w:color w:val="auto"/>
          <w:spacing w:val="0"/>
          <w:w w:val="100"/>
          <w:sz w:val="21"/>
          <w:szCs w:val="21"/>
          <w:lang w:val="en-US" w:eastAsia="zh-CN"/>
        </w:rPr>
        <w:t>2</w:t>
      </w:r>
      <w:r>
        <w:rPr>
          <w:rFonts w:hint="default" w:ascii="Times New Roman" w:hAnsi="Times New Roman" w:eastAsia="宋体" w:cs="Times New Roman"/>
          <w:b/>
          <w:color w:val="auto"/>
          <w:spacing w:val="0"/>
          <w:w w:val="100"/>
          <w:sz w:val="21"/>
          <w:szCs w:val="21"/>
          <w:lang w:val="en-US" w:eastAsia="zh-CN"/>
        </w:rPr>
        <w:t xml:space="preserve">  </w:t>
      </w:r>
      <w:r>
        <w:rPr>
          <w:rFonts w:hint="default" w:ascii="Times New Roman" w:hAnsi="Times New Roman" w:eastAsia="宋体" w:cs="Times New Roman"/>
          <w:b/>
          <w:color w:val="auto"/>
          <w:spacing w:val="0"/>
          <w:w w:val="100"/>
          <w:sz w:val="21"/>
          <w:szCs w:val="21"/>
        </w:rPr>
        <w:t>地表水监测</w:t>
      </w:r>
      <w:r>
        <w:rPr>
          <w:rFonts w:hint="eastAsia" w:ascii="Times New Roman" w:hAnsi="Times New Roman" w:eastAsia="宋体" w:cs="Times New Roman"/>
          <w:b/>
          <w:color w:val="auto"/>
          <w:spacing w:val="0"/>
          <w:w w:val="100"/>
          <w:sz w:val="21"/>
          <w:szCs w:val="21"/>
          <w:lang w:val="en-US" w:eastAsia="zh-CN"/>
        </w:rPr>
        <w:t>单位及监测项目</w:t>
      </w:r>
      <w:r>
        <w:rPr>
          <w:rFonts w:hint="default" w:ascii="Times New Roman" w:hAnsi="Times New Roman" w:eastAsia="宋体" w:cs="Times New Roman"/>
          <w:b/>
          <w:color w:val="auto"/>
          <w:spacing w:val="0"/>
          <w:w w:val="100"/>
          <w:sz w:val="21"/>
          <w:szCs w:val="21"/>
        </w:rPr>
        <w:t>一览表</w:t>
      </w:r>
    </w:p>
    <w:tbl>
      <w:tblPr>
        <w:tblStyle w:val="5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65"/>
        <w:gridCol w:w="4964"/>
        <w:gridCol w:w="1784"/>
      </w:tblGrid>
      <w:tr w14:paraId="28922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941" w:type="pct"/>
            <w:vAlign w:val="center"/>
          </w:tcPr>
          <w:p w14:paraId="5D93845F">
            <w:pPr>
              <w:pStyle w:val="71"/>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监测点名称</w:t>
            </w:r>
          </w:p>
        </w:tc>
        <w:tc>
          <w:tcPr>
            <w:tcW w:w="2985" w:type="pct"/>
            <w:vAlign w:val="center"/>
          </w:tcPr>
          <w:p w14:paraId="320D9CD3">
            <w:pPr>
              <w:pStyle w:val="71"/>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监测因子</w:t>
            </w:r>
          </w:p>
        </w:tc>
        <w:tc>
          <w:tcPr>
            <w:tcW w:w="1073" w:type="pct"/>
            <w:vAlign w:val="center"/>
          </w:tcPr>
          <w:p w14:paraId="24913780">
            <w:pPr>
              <w:pStyle w:val="71"/>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监测时间及频次</w:t>
            </w:r>
          </w:p>
        </w:tc>
      </w:tr>
      <w:tr w14:paraId="4EC46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6" w:hRule="atLeast"/>
        </w:trPr>
        <w:tc>
          <w:tcPr>
            <w:tcW w:w="941" w:type="pct"/>
            <w:vAlign w:val="center"/>
          </w:tcPr>
          <w:p w14:paraId="5729E43B">
            <w:pPr>
              <w:pStyle w:val="71"/>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1#园区上游</w:t>
            </w:r>
          </w:p>
        </w:tc>
        <w:tc>
          <w:tcPr>
            <w:tcW w:w="2985" w:type="pct"/>
            <w:vMerge w:val="restart"/>
            <w:vAlign w:val="center"/>
          </w:tcPr>
          <w:p w14:paraId="18009483">
            <w:pPr>
              <w:pStyle w:val="71"/>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水温、</w:t>
            </w:r>
            <w:r>
              <w:rPr>
                <w:rFonts w:hint="default" w:ascii="Times New Roman" w:hAnsi="Times New Roman" w:eastAsia="宋体" w:cs="Times New Roman"/>
                <w:sz w:val="21"/>
                <w:szCs w:val="21"/>
              </w:rPr>
              <w:t>pH</w:t>
            </w:r>
            <w:r>
              <w:rPr>
                <w:rFonts w:hint="default" w:ascii="Times New Roman" w:hAnsi="Times New Roman" w:eastAsia="宋体" w:cs="Times New Roman"/>
                <w:spacing w:val="6"/>
                <w:sz w:val="21"/>
                <w:szCs w:val="21"/>
              </w:rPr>
              <w:t>、</w:t>
            </w:r>
            <w:r>
              <w:rPr>
                <w:rFonts w:hint="default" w:ascii="Times New Roman" w:hAnsi="Times New Roman" w:eastAsia="宋体" w:cs="Times New Roman"/>
                <w:sz w:val="21"/>
                <w:szCs w:val="21"/>
              </w:rPr>
              <w:t>SS</w:t>
            </w:r>
            <w:r>
              <w:rPr>
                <w:rFonts w:hint="default" w:ascii="Times New Roman" w:hAnsi="Times New Roman" w:eastAsia="宋体" w:cs="Times New Roman"/>
                <w:spacing w:val="6"/>
                <w:sz w:val="21"/>
                <w:szCs w:val="21"/>
              </w:rPr>
              <w:t>、</w:t>
            </w:r>
            <w:r>
              <w:rPr>
                <w:rFonts w:hint="default" w:ascii="Times New Roman" w:hAnsi="Times New Roman" w:eastAsia="宋体" w:cs="Times New Roman"/>
                <w:sz w:val="21"/>
                <w:szCs w:val="21"/>
              </w:rPr>
              <w:t>COD</w:t>
            </w:r>
            <w:r>
              <w:rPr>
                <w:rFonts w:hint="default" w:ascii="Times New Roman" w:hAnsi="Times New Roman" w:eastAsia="宋体" w:cs="Times New Roman"/>
                <w:spacing w:val="6"/>
                <w:sz w:val="21"/>
                <w:szCs w:val="21"/>
              </w:rPr>
              <w:t>、</w:t>
            </w:r>
            <w:r>
              <w:rPr>
                <w:rFonts w:hint="default" w:ascii="Times New Roman" w:hAnsi="Times New Roman" w:eastAsia="宋体" w:cs="Times New Roman"/>
                <w:sz w:val="21"/>
                <w:szCs w:val="21"/>
              </w:rPr>
              <w:t>BOD</w:t>
            </w:r>
            <w:r>
              <w:rPr>
                <w:rFonts w:hint="default" w:ascii="Times New Roman" w:hAnsi="Times New Roman" w:eastAsia="宋体" w:cs="Times New Roman"/>
                <w:spacing w:val="6"/>
                <w:position w:val="-1"/>
                <w:sz w:val="21"/>
                <w:szCs w:val="21"/>
                <w:vertAlign w:val="subscript"/>
              </w:rPr>
              <w:t>5</w:t>
            </w:r>
            <w:r>
              <w:rPr>
                <w:rFonts w:hint="default" w:ascii="Times New Roman" w:hAnsi="Times New Roman" w:eastAsia="宋体" w:cs="Times New Roman"/>
                <w:spacing w:val="6"/>
                <w:sz w:val="21"/>
                <w:szCs w:val="21"/>
              </w:rPr>
              <w:t>、</w:t>
            </w:r>
            <w:r>
              <w:rPr>
                <w:rFonts w:hint="default" w:ascii="Times New Roman" w:hAnsi="Times New Roman" w:eastAsia="宋体" w:cs="Times New Roman"/>
                <w:sz w:val="21"/>
                <w:szCs w:val="21"/>
              </w:rPr>
              <w:t>DO</w:t>
            </w:r>
            <w:r>
              <w:rPr>
                <w:rFonts w:hint="default" w:ascii="Times New Roman" w:hAnsi="Times New Roman" w:eastAsia="宋体" w:cs="Times New Roman"/>
                <w:spacing w:val="6"/>
                <w:sz w:val="21"/>
                <w:szCs w:val="21"/>
              </w:rPr>
              <w:t>、氨氮、氟化物、硫化</w:t>
            </w:r>
            <w:r>
              <w:rPr>
                <w:rFonts w:hint="default" w:ascii="Times New Roman" w:hAnsi="Times New Roman" w:eastAsia="宋体" w:cs="Times New Roman"/>
                <w:spacing w:val="7"/>
                <w:sz w:val="21"/>
                <w:szCs w:val="21"/>
              </w:rPr>
              <w:t>物、石油类、挥发酚、总砷、总镉、总汞、六价铬</w:t>
            </w:r>
            <w:r>
              <w:rPr>
                <w:rFonts w:hint="default" w:ascii="Times New Roman" w:hAnsi="Times New Roman" w:eastAsia="宋体" w:cs="Times New Roman"/>
                <w:spacing w:val="6"/>
                <w:sz w:val="21"/>
                <w:szCs w:val="21"/>
              </w:rPr>
              <w:t>、总磷、阴离子表面活性剂共17项指标，同时记录各断面流量、流</w:t>
            </w:r>
            <w:r>
              <w:rPr>
                <w:rFonts w:hint="default" w:ascii="Times New Roman" w:hAnsi="Times New Roman" w:eastAsia="宋体" w:cs="Times New Roman"/>
                <w:spacing w:val="8"/>
                <w:sz w:val="21"/>
                <w:szCs w:val="21"/>
              </w:rPr>
              <w:t>速、河宽和河深</w:t>
            </w:r>
          </w:p>
        </w:tc>
        <w:tc>
          <w:tcPr>
            <w:tcW w:w="1073" w:type="pct"/>
            <w:vMerge w:val="restart"/>
            <w:vAlign w:val="center"/>
          </w:tcPr>
          <w:p w14:paraId="7E94EE21">
            <w:pPr>
              <w:pStyle w:val="71"/>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2023年3月7日</w:t>
            </w:r>
            <w:r>
              <w:rPr>
                <w:rFonts w:hint="eastAsia" w:ascii="Times New Roman" w:hAnsi="Times New Roman" w:cs="Times New Roman"/>
                <w:spacing w:val="-1"/>
                <w:sz w:val="21"/>
                <w:szCs w:val="21"/>
                <w:lang w:eastAsia="zh-CN"/>
              </w:rPr>
              <w:t>～</w:t>
            </w:r>
            <w:r>
              <w:rPr>
                <w:rFonts w:hint="default" w:ascii="Times New Roman" w:hAnsi="Times New Roman" w:eastAsia="宋体" w:cs="Times New Roman"/>
                <w:spacing w:val="-1"/>
                <w:sz w:val="21"/>
                <w:szCs w:val="21"/>
              </w:rPr>
              <w:t>9</w:t>
            </w:r>
          </w:p>
          <w:p w14:paraId="309FC265">
            <w:pPr>
              <w:pStyle w:val="71"/>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日，共监测3天，</w:t>
            </w:r>
          </w:p>
          <w:p w14:paraId="4BDD5282">
            <w:pPr>
              <w:pStyle w:val="71"/>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每天取样1次</w:t>
            </w:r>
          </w:p>
        </w:tc>
      </w:tr>
      <w:tr w14:paraId="2008B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3" w:hRule="atLeast"/>
        </w:trPr>
        <w:tc>
          <w:tcPr>
            <w:tcW w:w="941" w:type="pct"/>
            <w:vAlign w:val="center"/>
          </w:tcPr>
          <w:p w14:paraId="299DECD5">
            <w:pPr>
              <w:pStyle w:val="71"/>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2#园区下游</w:t>
            </w:r>
          </w:p>
        </w:tc>
        <w:tc>
          <w:tcPr>
            <w:tcW w:w="2985" w:type="pct"/>
            <w:vMerge w:val="continue"/>
            <w:vAlign w:val="center"/>
          </w:tcPr>
          <w:p w14:paraId="1A6D66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c>
          <w:tcPr>
            <w:tcW w:w="1073" w:type="pct"/>
            <w:vMerge w:val="continue"/>
            <w:vAlign w:val="center"/>
          </w:tcPr>
          <w:p w14:paraId="3E46E7C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p>
        </w:tc>
      </w:tr>
    </w:tbl>
    <w:p w14:paraId="566191EA">
      <w:pPr>
        <w:keepNext w:val="0"/>
        <w:keepLines w:val="0"/>
        <w:pageBreakBefore w:val="0"/>
        <w:widowControl w:val="0"/>
        <w:kinsoku/>
        <w:wordWrap/>
        <w:overflowPunct/>
        <w:topLinePunct w:val="0"/>
        <w:autoSpaceDE/>
        <w:autoSpaceDN/>
        <w:bidi w:val="0"/>
        <w:adjustRightInd w:val="0"/>
        <w:spacing w:after="0" w:line="360" w:lineRule="auto"/>
        <w:ind w:left="0" w:leftChars="0" w:right="0" w:rightChars="0"/>
        <w:jc w:val="both"/>
        <w:textAlignment w:val="auto"/>
      </w:pPr>
      <w:r>
        <w:rPr>
          <w:sz w:val="21"/>
        </w:rPr>
        <mc:AlternateContent>
          <mc:Choice Requires="wps">
            <w:drawing>
              <wp:anchor distT="0" distB="0" distL="114300" distR="114300" simplePos="0" relativeHeight="251683840" behindDoc="0" locked="0" layoutInCell="1" allowOverlap="1">
                <wp:simplePos x="0" y="0"/>
                <wp:positionH relativeFrom="column">
                  <wp:posOffset>3414395</wp:posOffset>
                </wp:positionH>
                <wp:positionV relativeFrom="paragraph">
                  <wp:posOffset>2684145</wp:posOffset>
                </wp:positionV>
                <wp:extent cx="577215" cy="240665"/>
                <wp:effectExtent l="5080" t="4445" r="8255" b="21590"/>
                <wp:wrapNone/>
                <wp:docPr id="52" name="文本框 52"/>
                <wp:cNvGraphicFramePr/>
                <a:graphic xmlns:a="http://schemas.openxmlformats.org/drawingml/2006/main">
                  <a:graphicData uri="http://schemas.microsoft.com/office/word/2010/wordprocessingShape">
                    <wps:wsp>
                      <wps:cNvSpPr txBox="1"/>
                      <wps:spPr>
                        <a:xfrm>
                          <a:off x="4436110" y="3350260"/>
                          <a:ext cx="577215" cy="240665"/>
                        </a:xfrm>
                        <a:prstGeom prst="rect">
                          <a:avLst/>
                        </a:prstGeom>
                        <a:noFill/>
                        <a:ln w="6350">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19256845">
                            <w:pPr>
                              <w:keepNext w:val="0"/>
                              <w:keepLines w:val="0"/>
                              <w:pageBreakBefore w:val="0"/>
                              <w:widowControl w:val="0"/>
                              <w:kinsoku/>
                              <w:wordWrap/>
                              <w:overflowPunct/>
                              <w:topLinePunct w:val="0"/>
                              <w:bidi w:val="0"/>
                              <w:adjustRightInd/>
                              <w:snapToGrid/>
                              <w:spacing w:line="120" w:lineRule="auto"/>
                              <w:textAlignment w:val="auto"/>
                              <w:rPr>
                                <w:rFonts w:hint="default" w:eastAsiaTheme="minorEastAsia"/>
                                <w:b/>
                                <w:bCs/>
                                <w:color w:val="FFFF00"/>
                                <w:sz w:val="10"/>
                                <w:szCs w:val="10"/>
                                <w:lang w:val="en-US" w:eastAsia="zh-CN"/>
                              </w:rPr>
                            </w:pPr>
                            <w:r>
                              <w:rPr>
                                <w:rFonts w:hint="eastAsia"/>
                                <w:b/>
                                <w:bCs/>
                                <w:color w:val="FFFF00"/>
                                <w:sz w:val="10"/>
                                <w:szCs w:val="10"/>
                                <w:lang w:val="en-US" w:eastAsia="zh-CN"/>
                              </w:rPr>
                              <w:t>本项目所在地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85pt;margin-top:211.35pt;height:18.95pt;width:45.45pt;z-index:251683840;mso-width-relative:page;mso-height-relative:page;" filled="f" stroked="t" coordsize="21600,21600" o:gfxdata="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N5qQ+NsAAAALAQAADwAAAAAAAAABACAAAAAiAAAAZHJzL2Rvd25yZXYueG1sUEsBAhQAFAAA&#10;AAgAh07iQN0mQrFeAgAAnAQAAA4AAAAAAAAAAQAgAAAAKgEAAGRycy9lMm9Eb2MueG1sUEsFBgAA&#10;AAAGAAYAWQEAAPoFAAAAAA==&#10;">
                <v:fill on="f" focussize="0,0"/>
                <v:stroke weight="0.5pt" color="#FFFF00 [3204]" joinstyle="round"/>
                <v:imagedata o:title=""/>
                <o:lock v:ext="edit" aspectratio="f"/>
                <v:textbox>
                  <w:txbxContent>
                    <w:p w14:paraId="19256845">
                      <w:pPr>
                        <w:keepNext w:val="0"/>
                        <w:keepLines w:val="0"/>
                        <w:pageBreakBefore w:val="0"/>
                        <w:widowControl w:val="0"/>
                        <w:kinsoku/>
                        <w:wordWrap/>
                        <w:overflowPunct/>
                        <w:topLinePunct w:val="0"/>
                        <w:bidi w:val="0"/>
                        <w:adjustRightInd/>
                        <w:snapToGrid/>
                        <w:spacing w:line="120" w:lineRule="auto"/>
                        <w:textAlignment w:val="auto"/>
                        <w:rPr>
                          <w:rFonts w:hint="default" w:eastAsiaTheme="minorEastAsia"/>
                          <w:b/>
                          <w:bCs/>
                          <w:color w:val="FFFF00"/>
                          <w:sz w:val="10"/>
                          <w:szCs w:val="10"/>
                          <w:lang w:val="en-US" w:eastAsia="zh-CN"/>
                        </w:rPr>
                      </w:pPr>
                      <w:r>
                        <w:rPr>
                          <w:rFonts w:hint="eastAsia"/>
                          <w:b/>
                          <w:bCs/>
                          <w:color w:val="FFFF00"/>
                          <w:sz w:val="10"/>
                          <w:szCs w:val="10"/>
                          <w:lang w:val="en-US" w:eastAsia="zh-CN"/>
                        </w:rPr>
                        <w:t>本项目所在地</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4007485</wp:posOffset>
                </wp:positionH>
                <wp:positionV relativeFrom="paragraph">
                  <wp:posOffset>2778760</wp:posOffset>
                </wp:positionV>
                <wp:extent cx="262890" cy="74295"/>
                <wp:effectExtent l="1905" t="6350" r="9525" b="26035"/>
                <wp:wrapNone/>
                <wp:docPr id="33" name="直接箭头连接符 33"/>
                <wp:cNvGraphicFramePr/>
                <a:graphic xmlns:a="http://schemas.openxmlformats.org/drawingml/2006/main">
                  <a:graphicData uri="http://schemas.microsoft.com/office/word/2010/wordprocessingShape">
                    <wps:wsp>
                      <wps:cNvCnPr/>
                      <wps:spPr>
                        <a:xfrm>
                          <a:off x="4800600" y="3489960"/>
                          <a:ext cx="262890" cy="7429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15.55pt;margin-top:218.8pt;height:5.85pt;width:20.7pt;z-index:251682816;mso-width-relative:page;mso-height-relative:page;" filled="f" stroked="t" coordsize="21600,21600" o:gfxdata="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MqlR/YAAAACwEAAA8A&#10;AAAAAAAAAQAgAAAAIgAAAGRycy9kb3ducmV2LnhtbFBLAQIUABQAAAAIAIdO4kBajz9WFwIAAPAD&#10;AAAOAAAAAAAAAAEAIAAAACcBAABkcnMvZTJvRG9jLnhtbFBLBQYAAAAABgAGAFkBAACwBQAAAAA=&#10;">
                <v:fill on="f" focussize="0,0"/>
                <v:stroke weight="1pt" color="#FFFF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4283075</wp:posOffset>
                </wp:positionH>
                <wp:positionV relativeFrom="paragraph">
                  <wp:posOffset>2809875</wp:posOffset>
                </wp:positionV>
                <wp:extent cx="24765" cy="73660"/>
                <wp:effectExtent l="8890" t="34925" r="12065" b="13335"/>
                <wp:wrapNone/>
                <wp:docPr id="11" name="任意多边形 11"/>
                <wp:cNvGraphicFramePr/>
                <a:graphic xmlns:a="http://schemas.openxmlformats.org/drawingml/2006/main">
                  <a:graphicData uri="http://schemas.microsoft.com/office/word/2010/wordprocessingShape">
                    <wps:wsp>
                      <wps:cNvSpPr/>
                      <wps:spPr>
                        <a:xfrm>
                          <a:off x="5113655" y="3507105"/>
                          <a:ext cx="24765" cy="73660"/>
                        </a:xfrm>
                        <a:custGeom>
                          <a:avLst/>
                          <a:gdLst>
                            <a:gd name="connisteX0" fmla="*/ 8255 w 24765"/>
                            <a:gd name="connsiteY0" fmla="*/ 73660 h 73660"/>
                            <a:gd name="connisteX1" fmla="*/ 24765 w 24765"/>
                            <a:gd name="connsiteY1" fmla="*/ 62865 h 73660"/>
                            <a:gd name="connisteX2" fmla="*/ 0 w 24765"/>
                            <a:gd name="connsiteY2" fmla="*/ 0 h 73660"/>
                            <a:gd name="connisteX3" fmla="*/ 8255 w 24765"/>
                            <a:gd name="connsiteY3" fmla="*/ 73660 h 73660"/>
                          </a:gdLst>
                          <a:ahLst/>
                          <a:cxnLst>
                            <a:cxn ang="0">
                              <a:pos x="connisteX0" y="connsiteY0"/>
                            </a:cxn>
                            <a:cxn ang="0">
                              <a:pos x="connisteX1" y="connsiteY1"/>
                            </a:cxn>
                            <a:cxn ang="0">
                              <a:pos x="connisteX2" y="connsiteY2"/>
                            </a:cxn>
                            <a:cxn ang="0">
                              <a:pos x="connisteX3" y="connsiteY3"/>
                            </a:cxn>
                          </a:cxnLst>
                          <a:rect l="l" t="t" r="r" b="b"/>
                          <a:pathLst>
                            <a:path w="24765" h="73660">
                              <a:moveTo>
                                <a:pt x="8255" y="73660"/>
                              </a:moveTo>
                              <a:lnTo>
                                <a:pt x="24765" y="62865"/>
                              </a:lnTo>
                              <a:lnTo>
                                <a:pt x="0" y="0"/>
                              </a:lnTo>
                              <a:lnTo>
                                <a:pt x="8255" y="73660"/>
                              </a:lnTo>
                              <a:close/>
                            </a:path>
                          </a:pathLst>
                        </a:custGeom>
                        <a:noFill/>
                        <a:ln w="31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7.25pt;margin-top:221.25pt;height:5.8pt;width:1.95pt;z-index:251681792;mso-width-relative:page;mso-height-relative:page;" filled="f" stroked="t" coordsize="24765,73660" o:gfxdata="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HWfbY3bAAAACwEAAA8AAAAAAAAA&#10;AQAgAAAAIgAAAGRycy9kb3ducmV2LnhtbFBLAQIUABQAAAAIAIdO4kBtVBNr8gIAAGoHAAAOAAAA&#10;AAAAAAEAIAAAACoBAABkcnMvZTJvRG9jLnhtbFBLBQYAAAAABgAGAFkBAACOBgAAAAA=&#10;" path="m8255,73660l24765,62865,0,0,8255,73660xe">
                <v:path o:connectlocs="8255,73660;24765,62865;0,0;8255,73660" o:connectangles="0,0,0,0"/>
                <v:fill on="f" focussize="0,0"/>
                <v:stroke weight="0.25pt" color="#FF0000 [2404]" miterlimit="8" joinstyle="miter"/>
                <v:imagedata o:title=""/>
                <o:lock v:ext="edit" aspectratio="f"/>
              </v:shape>
            </w:pict>
          </mc:Fallback>
        </mc:AlternateContent>
      </w:r>
      <w:r>
        <w:drawing>
          <wp:inline distT="0" distB="0" distL="114300" distR="114300">
            <wp:extent cx="5647690" cy="4805680"/>
            <wp:effectExtent l="0" t="0" r="6350" b="1016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7"/>
                    <a:stretch>
                      <a:fillRect/>
                    </a:stretch>
                  </pic:blipFill>
                  <pic:spPr>
                    <a:xfrm>
                      <a:off x="0" y="0"/>
                      <a:ext cx="5647690" cy="4805680"/>
                    </a:xfrm>
                    <a:prstGeom prst="rect">
                      <a:avLst/>
                    </a:prstGeom>
                    <a:noFill/>
                    <a:ln>
                      <a:noFill/>
                    </a:ln>
                  </pic:spPr>
                </pic:pic>
              </a:graphicData>
            </a:graphic>
          </wp:inline>
        </w:drawing>
      </w:r>
    </w:p>
    <w:p w14:paraId="29BAAFB8">
      <w:pPr>
        <w:keepNext w:val="0"/>
        <w:keepLines w:val="0"/>
        <w:pageBreakBefore w:val="0"/>
        <w:widowControl w:val="0"/>
        <w:kinsoku/>
        <w:wordWrap/>
        <w:overflowPunct/>
        <w:topLinePunct w:val="0"/>
        <w:autoSpaceDE/>
        <w:autoSpaceDN/>
        <w:bidi w:val="0"/>
        <w:adjustRightInd w:val="0"/>
        <w:spacing w:after="0" w:line="360" w:lineRule="auto"/>
        <w:ind w:left="0" w:leftChars="0" w:right="0" w:rightChars="0"/>
        <w:jc w:val="center"/>
        <w:textAlignment w:val="auto"/>
        <w:rPr>
          <w:rFonts w:hint="default" w:ascii="Times New Roman" w:hAnsi="Times New Roman" w:eastAsia="宋体" w:cs="Times New Roman"/>
          <w:b/>
          <w:bCs/>
          <w:color w:val="auto"/>
          <w:spacing w:val="0"/>
          <w:w w:val="100"/>
          <w:kern w:val="2"/>
          <w:sz w:val="21"/>
          <w:szCs w:val="21"/>
          <w:lang w:val="en-US" w:eastAsia="zh-CN" w:bidi="ar-SA"/>
        </w:rPr>
      </w:pPr>
      <w:r>
        <w:rPr>
          <w:rFonts w:hint="default" w:ascii="Times New Roman" w:hAnsi="Times New Roman" w:eastAsia="宋体" w:cs="Times New Roman"/>
          <w:b/>
          <w:bCs/>
          <w:color w:val="auto"/>
          <w:spacing w:val="0"/>
          <w:w w:val="100"/>
          <w:kern w:val="2"/>
          <w:sz w:val="21"/>
          <w:szCs w:val="21"/>
          <w:lang w:val="en-US" w:eastAsia="zh-CN" w:bidi="ar-SA"/>
        </w:rPr>
        <w:t>图3-</w:t>
      </w:r>
      <w:r>
        <w:rPr>
          <w:rFonts w:hint="eastAsia" w:ascii="Times New Roman" w:hAnsi="Times New Roman" w:eastAsia="宋体" w:cs="Times New Roman"/>
          <w:b/>
          <w:bCs/>
          <w:color w:val="auto"/>
          <w:spacing w:val="0"/>
          <w:w w:val="100"/>
          <w:kern w:val="2"/>
          <w:sz w:val="21"/>
          <w:szCs w:val="21"/>
          <w:lang w:val="en-US" w:eastAsia="zh-CN" w:bidi="ar-SA"/>
        </w:rPr>
        <w:t>3</w:t>
      </w:r>
      <w:r>
        <w:rPr>
          <w:rFonts w:hint="default" w:ascii="Times New Roman" w:hAnsi="Times New Roman" w:eastAsia="宋体" w:cs="Times New Roman"/>
          <w:b/>
          <w:bCs/>
          <w:color w:val="auto"/>
          <w:spacing w:val="0"/>
          <w:w w:val="100"/>
          <w:kern w:val="2"/>
          <w:sz w:val="21"/>
          <w:szCs w:val="21"/>
          <w:lang w:val="en-US" w:eastAsia="zh-CN" w:bidi="ar-SA"/>
        </w:rPr>
        <w:t xml:space="preserve">  </w:t>
      </w:r>
      <w:r>
        <w:rPr>
          <w:rFonts w:hint="eastAsia" w:ascii="Times New Roman" w:hAnsi="Times New Roman" w:eastAsia="宋体" w:cs="Times New Roman"/>
          <w:b/>
          <w:bCs/>
          <w:color w:val="auto"/>
          <w:spacing w:val="0"/>
          <w:w w:val="100"/>
          <w:kern w:val="2"/>
          <w:sz w:val="21"/>
          <w:szCs w:val="21"/>
          <w:lang w:val="en-US" w:eastAsia="zh-CN" w:bidi="ar-SA"/>
        </w:rPr>
        <w:t>引用项目</w:t>
      </w:r>
      <w:r>
        <w:rPr>
          <w:rFonts w:hint="default" w:ascii="Times New Roman" w:hAnsi="Times New Roman" w:eastAsia="宋体" w:cs="Times New Roman"/>
          <w:b/>
          <w:bCs/>
          <w:color w:val="auto"/>
          <w:spacing w:val="0"/>
          <w:w w:val="100"/>
          <w:kern w:val="2"/>
          <w:sz w:val="21"/>
          <w:szCs w:val="21"/>
          <w:lang w:val="en-US" w:eastAsia="zh-CN" w:bidi="ar-SA"/>
        </w:rPr>
        <w:t>监测点位图</w:t>
      </w:r>
    </w:p>
    <w:p w14:paraId="17571112">
      <w:pPr>
        <w:spacing w:line="360" w:lineRule="auto"/>
        <w:ind w:firstLine="480" w:firstLineChars="200"/>
        <w:rPr>
          <w:rFonts w:hint="default" w:ascii="Times New Roman" w:hAnsi="Times New Roman" w:eastAsia="宋体" w:cs="Times New Roman"/>
          <w:color w:val="auto"/>
          <w:spacing w:val="0"/>
          <w:w w:val="100"/>
          <w:sz w:val="24"/>
          <w:szCs w:val="28"/>
          <w:lang w:val="en-US" w:eastAsia="zh-CN"/>
        </w:rPr>
      </w:pPr>
      <w:r>
        <w:rPr>
          <w:rFonts w:hint="default" w:ascii="Times New Roman" w:hAnsi="Times New Roman" w:eastAsia="宋体" w:cs="Times New Roman"/>
          <w:color w:val="auto"/>
          <w:spacing w:val="0"/>
          <w:w w:val="100"/>
          <w:sz w:val="24"/>
          <w:szCs w:val="28"/>
          <w:lang w:val="en-US" w:eastAsia="zh-CN"/>
        </w:rPr>
        <w:t>2、监测结果</w:t>
      </w:r>
    </w:p>
    <w:p w14:paraId="1B81C430">
      <w:pPr>
        <w:spacing w:line="360" w:lineRule="auto"/>
        <w:ind w:firstLine="480" w:firstLineChars="200"/>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color w:val="auto"/>
          <w:spacing w:val="0"/>
          <w:w w:val="100"/>
          <w:sz w:val="24"/>
          <w:szCs w:val="28"/>
        </w:rPr>
        <w:t>监测结果见表</w:t>
      </w:r>
      <w:r>
        <w:rPr>
          <w:rFonts w:hint="default" w:ascii="Times New Roman" w:hAnsi="Times New Roman" w:eastAsia="宋体" w:cs="Times New Roman"/>
          <w:color w:val="auto"/>
          <w:spacing w:val="0"/>
          <w:w w:val="100"/>
          <w:sz w:val="24"/>
          <w:szCs w:val="28"/>
          <w:lang w:val="en-US" w:eastAsia="zh-CN"/>
        </w:rPr>
        <w:t>3-</w:t>
      </w:r>
      <w:r>
        <w:rPr>
          <w:rFonts w:hint="eastAsia" w:ascii="Times New Roman" w:hAnsi="Times New Roman" w:eastAsia="宋体" w:cs="Times New Roman"/>
          <w:color w:val="auto"/>
          <w:spacing w:val="0"/>
          <w:w w:val="100"/>
          <w:sz w:val="24"/>
          <w:szCs w:val="28"/>
          <w:lang w:val="en-US" w:eastAsia="zh-CN"/>
        </w:rPr>
        <w:t>3</w:t>
      </w:r>
      <w:r>
        <w:rPr>
          <w:rFonts w:hint="default" w:ascii="Times New Roman" w:hAnsi="Times New Roman" w:eastAsia="宋体" w:cs="Times New Roman"/>
          <w:color w:val="auto"/>
          <w:spacing w:val="0"/>
          <w:w w:val="100"/>
          <w:sz w:val="24"/>
          <w:szCs w:val="28"/>
        </w:rPr>
        <w:t>：</w:t>
      </w:r>
    </w:p>
    <w:p w14:paraId="391FD7E6">
      <w:pPr>
        <w:spacing w:line="360" w:lineRule="auto"/>
        <w:jc w:val="center"/>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b/>
          <w:bCs/>
          <w:color w:val="auto"/>
          <w:spacing w:val="0"/>
          <w:w w:val="100"/>
          <w:sz w:val="21"/>
          <w:szCs w:val="21"/>
        </w:rPr>
        <w:t>表</w:t>
      </w:r>
      <w:r>
        <w:rPr>
          <w:rFonts w:hint="default" w:ascii="Times New Roman" w:hAnsi="Times New Roman" w:eastAsia="宋体" w:cs="Times New Roman"/>
          <w:b/>
          <w:bCs/>
          <w:color w:val="auto"/>
          <w:spacing w:val="0"/>
          <w:w w:val="100"/>
          <w:sz w:val="21"/>
          <w:szCs w:val="21"/>
          <w:lang w:val="en-US" w:eastAsia="zh-CN"/>
        </w:rPr>
        <w:t>3-</w:t>
      </w:r>
      <w:r>
        <w:rPr>
          <w:rFonts w:hint="eastAsia" w:ascii="Times New Roman" w:hAnsi="Times New Roman" w:eastAsia="宋体" w:cs="Times New Roman"/>
          <w:b/>
          <w:bCs/>
          <w:color w:val="auto"/>
          <w:spacing w:val="0"/>
          <w:w w:val="100"/>
          <w:sz w:val="21"/>
          <w:szCs w:val="21"/>
          <w:lang w:val="en-US" w:eastAsia="zh-CN"/>
        </w:rPr>
        <w:t>3</w:t>
      </w:r>
      <w:r>
        <w:rPr>
          <w:rFonts w:hint="default" w:ascii="Times New Roman" w:hAnsi="Times New Roman" w:eastAsia="宋体" w:cs="Times New Roman"/>
          <w:b/>
          <w:bCs/>
          <w:color w:val="auto"/>
          <w:spacing w:val="0"/>
          <w:w w:val="100"/>
          <w:sz w:val="21"/>
          <w:szCs w:val="21"/>
        </w:rPr>
        <w:t xml:space="preserve"> </w:t>
      </w:r>
      <w:r>
        <w:rPr>
          <w:rFonts w:hint="eastAsia" w:ascii="Times New Roman" w:hAnsi="Times New Roman" w:eastAsia="宋体" w:cs="Times New Roman"/>
          <w:b/>
          <w:bCs/>
          <w:color w:val="auto"/>
          <w:spacing w:val="0"/>
          <w:w w:val="100"/>
          <w:sz w:val="21"/>
          <w:szCs w:val="21"/>
          <w:lang w:val="en-US" w:eastAsia="zh-CN"/>
        </w:rPr>
        <w:t xml:space="preserve">  </w:t>
      </w:r>
      <w:r>
        <w:rPr>
          <w:rFonts w:hint="default" w:ascii="Times New Roman" w:hAnsi="Times New Roman" w:eastAsia="宋体" w:cs="Times New Roman"/>
          <w:b/>
          <w:bCs/>
          <w:color w:val="auto"/>
          <w:spacing w:val="0"/>
          <w:w w:val="100"/>
          <w:sz w:val="21"/>
          <w:szCs w:val="21"/>
        </w:rPr>
        <w:t>地表水水质监测结果统计表  （单位：mg/L，除pH）</w:t>
      </w:r>
    </w:p>
    <w:tbl>
      <w:tblPr>
        <w:tblStyle w:val="5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39"/>
        <w:gridCol w:w="921"/>
        <w:gridCol w:w="936"/>
        <w:gridCol w:w="916"/>
        <w:gridCol w:w="936"/>
        <w:gridCol w:w="921"/>
        <w:gridCol w:w="937"/>
        <w:gridCol w:w="1007"/>
      </w:tblGrid>
      <w:tr w14:paraId="0DAB3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trPr>
        <w:tc>
          <w:tcPr>
            <w:tcW w:w="1046" w:type="pct"/>
            <w:vAlign w:val="center"/>
          </w:tcPr>
          <w:p w14:paraId="6B59690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监测时间</w:t>
            </w:r>
          </w:p>
        </w:tc>
        <w:tc>
          <w:tcPr>
            <w:tcW w:w="1117" w:type="pct"/>
            <w:gridSpan w:val="2"/>
            <w:vAlign w:val="center"/>
          </w:tcPr>
          <w:p w14:paraId="040B05C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2023.3.7</w:t>
            </w:r>
          </w:p>
        </w:tc>
        <w:tc>
          <w:tcPr>
            <w:tcW w:w="1114" w:type="pct"/>
            <w:gridSpan w:val="2"/>
            <w:vAlign w:val="center"/>
          </w:tcPr>
          <w:p w14:paraId="0B52371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2023.3.8</w:t>
            </w:r>
          </w:p>
        </w:tc>
        <w:tc>
          <w:tcPr>
            <w:tcW w:w="1117" w:type="pct"/>
            <w:gridSpan w:val="2"/>
            <w:vAlign w:val="center"/>
          </w:tcPr>
          <w:p w14:paraId="1938EC3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2023.3.9</w:t>
            </w:r>
          </w:p>
        </w:tc>
        <w:tc>
          <w:tcPr>
            <w:tcW w:w="603" w:type="pct"/>
            <w:vMerge w:val="restart"/>
            <w:vAlign w:val="center"/>
          </w:tcPr>
          <w:p w14:paraId="60FE678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标准限值</w:t>
            </w:r>
          </w:p>
          <w:p w14:paraId="5862F5D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spacing w:val="5"/>
                <w:kern w:val="0"/>
                <w:sz w:val="21"/>
                <w:szCs w:val="21"/>
                <w:lang w:val="en-US" w:eastAsia="zh-CN" w:bidi="ar-SA"/>
              </w:rPr>
              <w:t>（</w:t>
            </w:r>
            <w:r>
              <w:rPr>
                <w:rFonts w:hint="default" w:ascii="Times New Roman" w:hAnsi="Times New Roman" w:eastAsia="宋体" w:cs="Times New Roman"/>
                <w:snapToGrid w:val="0"/>
                <w:color w:val="auto"/>
                <w:spacing w:val="5"/>
                <w:kern w:val="0"/>
                <w:sz w:val="21"/>
                <w:szCs w:val="21"/>
                <w:lang w:val="en-US" w:eastAsia="en-US" w:bidi="ar-SA"/>
              </w:rPr>
              <w:t>Ⅲ类水体）</w:t>
            </w:r>
          </w:p>
        </w:tc>
      </w:tr>
      <w:tr w14:paraId="09282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trPr>
        <w:tc>
          <w:tcPr>
            <w:tcW w:w="1046" w:type="pct"/>
            <w:vAlign w:val="center"/>
          </w:tcPr>
          <w:p w14:paraId="1B906AE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监测点位</w:t>
            </w:r>
          </w:p>
        </w:tc>
        <w:tc>
          <w:tcPr>
            <w:tcW w:w="554" w:type="pct"/>
            <w:vAlign w:val="center"/>
          </w:tcPr>
          <w:p w14:paraId="12D5B82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t>1#园区上游</w:t>
            </w:r>
          </w:p>
        </w:tc>
        <w:tc>
          <w:tcPr>
            <w:tcW w:w="563" w:type="pct"/>
            <w:vAlign w:val="center"/>
          </w:tcPr>
          <w:p w14:paraId="3B34376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spacing w:val="7"/>
                <w:kern w:val="0"/>
                <w:sz w:val="21"/>
                <w:szCs w:val="21"/>
                <w:lang w:val="en-US" w:eastAsia="en-US" w:bidi="ar-SA"/>
              </w:rPr>
              <w:t>2#园区下游</w:t>
            </w:r>
          </w:p>
        </w:tc>
        <w:tc>
          <w:tcPr>
            <w:tcW w:w="551" w:type="pct"/>
            <w:vAlign w:val="center"/>
          </w:tcPr>
          <w:p w14:paraId="67AD97F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1#园区上游</w:t>
            </w:r>
          </w:p>
        </w:tc>
        <w:tc>
          <w:tcPr>
            <w:tcW w:w="563" w:type="pct"/>
            <w:vAlign w:val="center"/>
          </w:tcPr>
          <w:p w14:paraId="0DBE8A1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2#园区下游</w:t>
            </w:r>
          </w:p>
        </w:tc>
        <w:tc>
          <w:tcPr>
            <w:tcW w:w="554" w:type="pct"/>
            <w:vAlign w:val="center"/>
          </w:tcPr>
          <w:p w14:paraId="27BA921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4"/>
                <w:kern w:val="0"/>
                <w:sz w:val="21"/>
                <w:szCs w:val="21"/>
                <w:lang w:val="en-US" w:eastAsia="en-US" w:bidi="ar-SA"/>
              </w:rPr>
              <w:t>1#园区上游</w:t>
            </w:r>
          </w:p>
        </w:tc>
        <w:tc>
          <w:tcPr>
            <w:tcW w:w="563" w:type="pct"/>
            <w:vAlign w:val="center"/>
          </w:tcPr>
          <w:p w14:paraId="1ABB8E1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2#园区下游</w:t>
            </w:r>
          </w:p>
        </w:tc>
        <w:tc>
          <w:tcPr>
            <w:tcW w:w="603" w:type="pct"/>
            <w:vMerge w:val="continue"/>
            <w:vAlign w:val="center"/>
          </w:tcPr>
          <w:p w14:paraId="1ECDA36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p>
        </w:tc>
      </w:tr>
      <w:tr w14:paraId="22E6E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7" w:hRule="atLeast"/>
        </w:trPr>
        <w:tc>
          <w:tcPr>
            <w:tcW w:w="1046" w:type="pct"/>
            <w:vAlign w:val="center"/>
          </w:tcPr>
          <w:p w14:paraId="5ED5D5D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en-US" w:bidi="ar-SA"/>
              </w:rPr>
              <w:t>pH</w:t>
            </w:r>
            <w:r>
              <w:rPr>
                <w:rFonts w:hint="default" w:ascii="Times New Roman" w:hAnsi="Times New Roman" w:eastAsia="宋体" w:cs="Times New Roman"/>
                <w:snapToGrid w:val="0"/>
                <w:color w:val="auto"/>
                <w:spacing w:val="13"/>
                <w:kern w:val="0"/>
                <w:sz w:val="21"/>
                <w:szCs w:val="21"/>
                <w:lang w:val="en-US" w:eastAsia="en-US" w:bidi="ar-SA"/>
              </w:rPr>
              <w:t>值</w:t>
            </w:r>
          </w:p>
        </w:tc>
        <w:tc>
          <w:tcPr>
            <w:tcW w:w="554" w:type="pct"/>
            <w:vAlign w:val="center"/>
          </w:tcPr>
          <w:p w14:paraId="6C8E721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7.1</w:t>
            </w:r>
          </w:p>
        </w:tc>
        <w:tc>
          <w:tcPr>
            <w:tcW w:w="563" w:type="pct"/>
            <w:vAlign w:val="center"/>
          </w:tcPr>
          <w:p w14:paraId="65E0255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7.1</w:t>
            </w:r>
          </w:p>
        </w:tc>
        <w:tc>
          <w:tcPr>
            <w:tcW w:w="551" w:type="pct"/>
            <w:vAlign w:val="center"/>
          </w:tcPr>
          <w:p w14:paraId="492EAB8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7.2</w:t>
            </w:r>
          </w:p>
        </w:tc>
        <w:tc>
          <w:tcPr>
            <w:tcW w:w="563" w:type="pct"/>
            <w:vAlign w:val="center"/>
          </w:tcPr>
          <w:p w14:paraId="34DAA15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7.3</w:t>
            </w:r>
          </w:p>
        </w:tc>
        <w:tc>
          <w:tcPr>
            <w:tcW w:w="554" w:type="pct"/>
            <w:vAlign w:val="center"/>
          </w:tcPr>
          <w:p w14:paraId="239A2B2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7.2</w:t>
            </w:r>
          </w:p>
        </w:tc>
        <w:tc>
          <w:tcPr>
            <w:tcW w:w="563" w:type="pct"/>
            <w:vAlign w:val="center"/>
          </w:tcPr>
          <w:p w14:paraId="1D8F409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7.3</w:t>
            </w:r>
          </w:p>
        </w:tc>
        <w:tc>
          <w:tcPr>
            <w:tcW w:w="603" w:type="pct"/>
            <w:vAlign w:val="center"/>
          </w:tcPr>
          <w:p w14:paraId="016C33C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6~9</w:t>
            </w:r>
          </w:p>
        </w:tc>
      </w:tr>
      <w:tr w14:paraId="51417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2" w:hRule="atLeast"/>
        </w:trPr>
        <w:tc>
          <w:tcPr>
            <w:tcW w:w="1046" w:type="pct"/>
            <w:vAlign w:val="center"/>
          </w:tcPr>
          <w:p w14:paraId="367EFD0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悬浮物（</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6"/>
                <w:kern w:val="0"/>
                <w:sz w:val="21"/>
                <w:szCs w:val="21"/>
                <w:lang w:val="en-US" w:eastAsia="en-US" w:bidi="ar-SA"/>
              </w:rPr>
              <w:t>/L）</w:t>
            </w:r>
          </w:p>
        </w:tc>
        <w:tc>
          <w:tcPr>
            <w:tcW w:w="554" w:type="pct"/>
            <w:vAlign w:val="center"/>
          </w:tcPr>
          <w:p w14:paraId="57F17F8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10</w:t>
            </w:r>
          </w:p>
        </w:tc>
        <w:tc>
          <w:tcPr>
            <w:tcW w:w="563" w:type="pct"/>
            <w:vAlign w:val="center"/>
          </w:tcPr>
          <w:p w14:paraId="7BADEBE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0"/>
                <w:kern w:val="0"/>
                <w:sz w:val="21"/>
                <w:szCs w:val="21"/>
                <w:lang w:eastAsia="en-US"/>
              </w:rPr>
              <w:t>11</w:t>
            </w:r>
          </w:p>
        </w:tc>
        <w:tc>
          <w:tcPr>
            <w:tcW w:w="551" w:type="pct"/>
            <w:vAlign w:val="center"/>
          </w:tcPr>
          <w:p w14:paraId="2D7B912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9</w:t>
            </w:r>
          </w:p>
        </w:tc>
        <w:tc>
          <w:tcPr>
            <w:tcW w:w="563" w:type="pct"/>
            <w:vAlign w:val="center"/>
          </w:tcPr>
          <w:p w14:paraId="5FE6E15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12</w:t>
            </w:r>
          </w:p>
        </w:tc>
        <w:tc>
          <w:tcPr>
            <w:tcW w:w="554" w:type="pct"/>
            <w:vAlign w:val="center"/>
          </w:tcPr>
          <w:p w14:paraId="6A24B15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7</w:t>
            </w:r>
          </w:p>
        </w:tc>
        <w:tc>
          <w:tcPr>
            <w:tcW w:w="563" w:type="pct"/>
            <w:vAlign w:val="center"/>
          </w:tcPr>
          <w:p w14:paraId="3E7A706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8</w:t>
            </w:r>
          </w:p>
        </w:tc>
        <w:tc>
          <w:tcPr>
            <w:tcW w:w="603" w:type="pct"/>
            <w:vAlign w:val="center"/>
          </w:tcPr>
          <w:p w14:paraId="1B2857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w:t>
            </w:r>
          </w:p>
        </w:tc>
      </w:tr>
      <w:tr w14:paraId="5708B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trPr>
        <w:tc>
          <w:tcPr>
            <w:tcW w:w="1046" w:type="pct"/>
            <w:vAlign w:val="center"/>
          </w:tcPr>
          <w:p w14:paraId="2F8D07F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化学需氧量（</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7"/>
                <w:kern w:val="0"/>
                <w:sz w:val="21"/>
                <w:szCs w:val="21"/>
                <w:lang w:val="en-US" w:eastAsia="en-US" w:bidi="ar-SA"/>
              </w:rPr>
              <w:t>/L）</w:t>
            </w:r>
          </w:p>
        </w:tc>
        <w:tc>
          <w:tcPr>
            <w:tcW w:w="554" w:type="pct"/>
            <w:vAlign w:val="center"/>
          </w:tcPr>
          <w:p w14:paraId="1A4F135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6</w:t>
            </w:r>
          </w:p>
        </w:tc>
        <w:tc>
          <w:tcPr>
            <w:tcW w:w="563" w:type="pct"/>
            <w:vAlign w:val="center"/>
          </w:tcPr>
          <w:p w14:paraId="1AABCC3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7</w:t>
            </w:r>
          </w:p>
        </w:tc>
        <w:tc>
          <w:tcPr>
            <w:tcW w:w="551" w:type="pct"/>
            <w:vAlign w:val="center"/>
          </w:tcPr>
          <w:p w14:paraId="554F469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9</w:t>
            </w:r>
          </w:p>
        </w:tc>
        <w:tc>
          <w:tcPr>
            <w:tcW w:w="563" w:type="pct"/>
            <w:vAlign w:val="center"/>
          </w:tcPr>
          <w:p w14:paraId="38C9732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8"/>
                <w:kern w:val="0"/>
                <w:sz w:val="21"/>
                <w:szCs w:val="21"/>
                <w:lang w:eastAsia="en-US"/>
              </w:rPr>
              <w:t>10</w:t>
            </w:r>
          </w:p>
        </w:tc>
        <w:tc>
          <w:tcPr>
            <w:tcW w:w="554" w:type="pct"/>
            <w:vAlign w:val="center"/>
          </w:tcPr>
          <w:p w14:paraId="7B535D9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8</w:t>
            </w:r>
          </w:p>
        </w:tc>
        <w:tc>
          <w:tcPr>
            <w:tcW w:w="563" w:type="pct"/>
            <w:vAlign w:val="center"/>
          </w:tcPr>
          <w:p w14:paraId="43B3B74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0"/>
                <w:kern w:val="0"/>
                <w:sz w:val="21"/>
                <w:szCs w:val="21"/>
                <w:lang w:eastAsia="en-US"/>
              </w:rPr>
              <w:t>11</w:t>
            </w:r>
          </w:p>
        </w:tc>
        <w:tc>
          <w:tcPr>
            <w:tcW w:w="603" w:type="pct"/>
            <w:vAlign w:val="center"/>
          </w:tcPr>
          <w:p w14:paraId="5EBF1CA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20</w:t>
            </w:r>
          </w:p>
        </w:tc>
      </w:tr>
      <w:tr w14:paraId="0F382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trPr>
        <w:tc>
          <w:tcPr>
            <w:tcW w:w="1046" w:type="pct"/>
            <w:vAlign w:val="center"/>
          </w:tcPr>
          <w:p w14:paraId="3F434BE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五日生化需氧量（</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7"/>
                <w:kern w:val="0"/>
                <w:sz w:val="21"/>
                <w:szCs w:val="21"/>
                <w:lang w:val="en-US" w:eastAsia="en-US" w:bidi="ar-SA"/>
              </w:rPr>
              <w:t>/L）</w:t>
            </w:r>
          </w:p>
        </w:tc>
        <w:tc>
          <w:tcPr>
            <w:tcW w:w="554" w:type="pct"/>
            <w:vAlign w:val="center"/>
          </w:tcPr>
          <w:p w14:paraId="196671C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2.1</w:t>
            </w:r>
          </w:p>
        </w:tc>
        <w:tc>
          <w:tcPr>
            <w:tcW w:w="563" w:type="pct"/>
            <w:vAlign w:val="center"/>
          </w:tcPr>
          <w:p w14:paraId="70C934D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2.2</w:t>
            </w:r>
          </w:p>
        </w:tc>
        <w:tc>
          <w:tcPr>
            <w:tcW w:w="551" w:type="pct"/>
            <w:vAlign w:val="center"/>
          </w:tcPr>
          <w:p w14:paraId="2E13133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4"/>
                <w:kern w:val="0"/>
                <w:sz w:val="21"/>
                <w:szCs w:val="21"/>
                <w:lang w:eastAsia="en-US"/>
              </w:rPr>
              <w:t>1.5</w:t>
            </w:r>
          </w:p>
        </w:tc>
        <w:tc>
          <w:tcPr>
            <w:tcW w:w="563" w:type="pct"/>
            <w:vAlign w:val="center"/>
          </w:tcPr>
          <w:p w14:paraId="48BEE9D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4"/>
                <w:kern w:val="0"/>
                <w:sz w:val="21"/>
                <w:szCs w:val="21"/>
                <w:lang w:eastAsia="en-US"/>
              </w:rPr>
              <w:t>1.4</w:t>
            </w:r>
          </w:p>
        </w:tc>
        <w:tc>
          <w:tcPr>
            <w:tcW w:w="554" w:type="pct"/>
            <w:vAlign w:val="center"/>
          </w:tcPr>
          <w:p w14:paraId="645E7AF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4"/>
                <w:kern w:val="0"/>
                <w:sz w:val="21"/>
                <w:szCs w:val="21"/>
                <w:lang w:eastAsia="en-US"/>
              </w:rPr>
              <w:t>1.7</w:t>
            </w:r>
          </w:p>
        </w:tc>
        <w:tc>
          <w:tcPr>
            <w:tcW w:w="563" w:type="pct"/>
            <w:vAlign w:val="center"/>
          </w:tcPr>
          <w:p w14:paraId="0EFF381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4"/>
                <w:kern w:val="0"/>
                <w:sz w:val="21"/>
                <w:szCs w:val="21"/>
                <w:lang w:eastAsia="en-US"/>
              </w:rPr>
              <w:t>1.8</w:t>
            </w:r>
          </w:p>
        </w:tc>
        <w:tc>
          <w:tcPr>
            <w:tcW w:w="603" w:type="pct"/>
            <w:vAlign w:val="center"/>
          </w:tcPr>
          <w:p w14:paraId="5C7D39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4</w:t>
            </w:r>
          </w:p>
        </w:tc>
      </w:tr>
      <w:tr w14:paraId="562B0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1046" w:type="pct"/>
            <w:vAlign w:val="center"/>
          </w:tcPr>
          <w:p w14:paraId="15700CF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氨氮（</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6"/>
                <w:kern w:val="0"/>
                <w:sz w:val="21"/>
                <w:szCs w:val="21"/>
                <w:lang w:val="en-US" w:eastAsia="en-US" w:bidi="ar-SA"/>
              </w:rPr>
              <w:t>/L）</w:t>
            </w:r>
          </w:p>
        </w:tc>
        <w:tc>
          <w:tcPr>
            <w:tcW w:w="554" w:type="pct"/>
            <w:vAlign w:val="center"/>
          </w:tcPr>
          <w:p w14:paraId="220CC25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0.150</w:t>
            </w:r>
          </w:p>
        </w:tc>
        <w:tc>
          <w:tcPr>
            <w:tcW w:w="563" w:type="pct"/>
            <w:vAlign w:val="center"/>
          </w:tcPr>
          <w:p w14:paraId="7FF1D58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0.222</w:t>
            </w:r>
          </w:p>
        </w:tc>
        <w:tc>
          <w:tcPr>
            <w:tcW w:w="551" w:type="pct"/>
            <w:vAlign w:val="center"/>
          </w:tcPr>
          <w:p w14:paraId="7485F55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0.141</w:t>
            </w:r>
          </w:p>
        </w:tc>
        <w:tc>
          <w:tcPr>
            <w:tcW w:w="563" w:type="pct"/>
            <w:vAlign w:val="center"/>
          </w:tcPr>
          <w:p w14:paraId="7A5F200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0.168</w:t>
            </w:r>
          </w:p>
        </w:tc>
        <w:tc>
          <w:tcPr>
            <w:tcW w:w="554" w:type="pct"/>
            <w:vAlign w:val="center"/>
          </w:tcPr>
          <w:p w14:paraId="483FACE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0.139</w:t>
            </w:r>
          </w:p>
        </w:tc>
        <w:tc>
          <w:tcPr>
            <w:tcW w:w="563" w:type="pct"/>
            <w:vAlign w:val="center"/>
          </w:tcPr>
          <w:p w14:paraId="3CFE1CB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0.174</w:t>
            </w:r>
          </w:p>
        </w:tc>
        <w:tc>
          <w:tcPr>
            <w:tcW w:w="603" w:type="pct"/>
            <w:vAlign w:val="center"/>
          </w:tcPr>
          <w:p w14:paraId="63108F9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4"/>
                <w:kern w:val="0"/>
                <w:sz w:val="21"/>
                <w:szCs w:val="21"/>
                <w:lang w:eastAsia="en-US"/>
              </w:rPr>
              <w:t>1.0</w:t>
            </w:r>
          </w:p>
        </w:tc>
      </w:tr>
      <w:tr w14:paraId="70649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6" w:hRule="atLeast"/>
        </w:trPr>
        <w:tc>
          <w:tcPr>
            <w:tcW w:w="1046" w:type="pct"/>
            <w:vAlign w:val="center"/>
          </w:tcPr>
          <w:p w14:paraId="24B3793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氟化物（</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7"/>
                <w:kern w:val="0"/>
                <w:sz w:val="21"/>
                <w:szCs w:val="21"/>
                <w:lang w:val="en-US" w:eastAsia="en-US" w:bidi="ar-SA"/>
              </w:rPr>
              <w:t>/L）</w:t>
            </w:r>
          </w:p>
        </w:tc>
        <w:tc>
          <w:tcPr>
            <w:tcW w:w="554" w:type="pct"/>
            <w:vAlign w:val="center"/>
          </w:tcPr>
          <w:p w14:paraId="0875618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0.63</w:t>
            </w:r>
          </w:p>
        </w:tc>
        <w:tc>
          <w:tcPr>
            <w:tcW w:w="563" w:type="pct"/>
            <w:vAlign w:val="center"/>
          </w:tcPr>
          <w:p w14:paraId="571D072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0.69</w:t>
            </w:r>
          </w:p>
        </w:tc>
        <w:tc>
          <w:tcPr>
            <w:tcW w:w="551" w:type="pct"/>
            <w:vAlign w:val="center"/>
          </w:tcPr>
          <w:p w14:paraId="333864E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0.48</w:t>
            </w:r>
          </w:p>
        </w:tc>
        <w:tc>
          <w:tcPr>
            <w:tcW w:w="563" w:type="pct"/>
            <w:vAlign w:val="center"/>
          </w:tcPr>
          <w:p w14:paraId="742C285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0.58</w:t>
            </w:r>
          </w:p>
        </w:tc>
        <w:tc>
          <w:tcPr>
            <w:tcW w:w="554" w:type="pct"/>
            <w:vAlign w:val="center"/>
          </w:tcPr>
          <w:p w14:paraId="0899F41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0.53</w:t>
            </w:r>
          </w:p>
        </w:tc>
        <w:tc>
          <w:tcPr>
            <w:tcW w:w="563" w:type="pct"/>
            <w:vAlign w:val="center"/>
          </w:tcPr>
          <w:p w14:paraId="542DCE7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0.75</w:t>
            </w:r>
          </w:p>
        </w:tc>
        <w:tc>
          <w:tcPr>
            <w:tcW w:w="603" w:type="pct"/>
            <w:vAlign w:val="center"/>
          </w:tcPr>
          <w:p w14:paraId="29AFACC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4"/>
                <w:kern w:val="0"/>
                <w:sz w:val="21"/>
                <w:szCs w:val="21"/>
                <w:lang w:eastAsia="en-US"/>
              </w:rPr>
              <w:t>1.0</w:t>
            </w:r>
          </w:p>
        </w:tc>
      </w:tr>
      <w:tr w14:paraId="18B37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rPr>
        <w:tc>
          <w:tcPr>
            <w:tcW w:w="1046" w:type="pct"/>
            <w:vAlign w:val="center"/>
          </w:tcPr>
          <w:p w14:paraId="6CEC73D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硫化物（</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7"/>
                <w:kern w:val="0"/>
                <w:sz w:val="21"/>
                <w:szCs w:val="21"/>
                <w:lang w:val="en-US" w:eastAsia="en-US" w:bidi="ar-SA"/>
              </w:rPr>
              <w:t>/L）</w:t>
            </w:r>
          </w:p>
        </w:tc>
        <w:tc>
          <w:tcPr>
            <w:tcW w:w="554" w:type="pct"/>
            <w:vAlign w:val="center"/>
          </w:tcPr>
          <w:p w14:paraId="5F23AF6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6B3A138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5"/>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551" w:type="pct"/>
            <w:vAlign w:val="center"/>
          </w:tcPr>
          <w:p w14:paraId="21B964A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008A8EB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554" w:type="pct"/>
            <w:vAlign w:val="center"/>
          </w:tcPr>
          <w:p w14:paraId="1CED096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2A0AC52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603" w:type="pct"/>
            <w:vAlign w:val="center"/>
          </w:tcPr>
          <w:p w14:paraId="78682F0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0.2</w:t>
            </w:r>
          </w:p>
        </w:tc>
      </w:tr>
      <w:tr w14:paraId="58B03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rPr>
        <w:tc>
          <w:tcPr>
            <w:tcW w:w="1046" w:type="pct"/>
            <w:vAlign w:val="center"/>
          </w:tcPr>
          <w:p w14:paraId="172BD83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石油类（</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7"/>
                <w:kern w:val="0"/>
                <w:sz w:val="21"/>
                <w:szCs w:val="21"/>
                <w:lang w:val="en-US" w:eastAsia="en-US" w:bidi="ar-SA"/>
              </w:rPr>
              <w:t>/L）</w:t>
            </w:r>
          </w:p>
        </w:tc>
        <w:tc>
          <w:tcPr>
            <w:tcW w:w="554" w:type="pct"/>
            <w:vAlign w:val="center"/>
          </w:tcPr>
          <w:p w14:paraId="6FE65EF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069C844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5"/>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551" w:type="pct"/>
            <w:vAlign w:val="center"/>
          </w:tcPr>
          <w:p w14:paraId="1EA96BF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73B0657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554" w:type="pct"/>
            <w:vAlign w:val="center"/>
          </w:tcPr>
          <w:p w14:paraId="3B70708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21288DF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0.01</w:t>
            </w:r>
            <w:r>
              <w:rPr>
                <w:rFonts w:hint="default" w:ascii="Times New Roman" w:hAnsi="Times New Roman" w:eastAsia="宋体" w:cs="Times New Roman"/>
                <w:snapToGrid w:val="0"/>
                <w:color w:val="auto"/>
                <w:kern w:val="0"/>
                <w:sz w:val="21"/>
                <w:szCs w:val="21"/>
                <w:lang w:eastAsia="en-US"/>
              </w:rPr>
              <w:t>ND</w:t>
            </w:r>
          </w:p>
        </w:tc>
        <w:tc>
          <w:tcPr>
            <w:tcW w:w="603" w:type="pct"/>
            <w:vAlign w:val="center"/>
          </w:tcPr>
          <w:p w14:paraId="773E55B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0.05</w:t>
            </w:r>
          </w:p>
        </w:tc>
      </w:tr>
      <w:tr w14:paraId="1B290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rPr>
        <w:tc>
          <w:tcPr>
            <w:tcW w:w="1046" w:type="pct"/>
            <w:vAlign w:val="center"/>
          </w:tcPr>
          <w:p w14:paraId="0460570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挥发酚（</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7"/>
                <w:kern w:val="0"/>
                <w:sz w:val="21"/>
                <w:szCs w:val="21"/>
                <w:lang w:val="en-US" w:eastAsia="en-US" w:bidi="ar-SA"/>
              </w:rPr>
              <w:t>/L）</w:t>
            </w:r>
          </w:p>
        </w:tc>
        <w:tc>
          <w:tcPr>
            <w:tcW w:w="554" w:type="pct"/>
            <w:vAlign w:val="center"/>
          </w:tcPr>
          <w:p w14:paraId="6A4B213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0.0004</w:t>
            </w:r>
          </w:p>
        </w:tc>
        <w:tc>
          <w:tcPr>
            <w:tcW w:w="563" w:type="pct"/>
            <w:vAlign w:val="center"/>
          </w:tcPr>
          <w:p w14:paraId="719A2D2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0.0005</w:t>
            </w:r>
          </w:p>
        </w:tc>
        <w:tc>
          <w:tcPr>
            <w:tcW w:w="551" w:type="pct"/>
            <w:vAlign w:val="center"/>
          </w:tcPr>
          <w:p w14:paraId="481A8D6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0.0006</w:t>
            </w:r>
          </w:p>
        </w:tc>
        <w:tc>
          <w:tcPr>
            <w:tcW w:w="563" w:type="pct"/>
            <w:vAlign w:val="center"/>
          </w:tcPr>
          <w:p w14:paraId="1A903CF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0.0006</w:t>
            </w:r>
          </w:p>
        </w:tc>
        <w:tc>
          <w:tcPr>
            <w:tcW w:w="554" w:type="pct"/>
            <w:vAlign w:val="center"/>
          </w:tcPr>
          <w:p w14:paraId="66A80B5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0.0004</w:t>
            </w:r>
          </w:p>
        </w:tc>
        <w:tc>
          <w:tcPr>
            <w:tcW w:w="563" w:type="pct"/>
            <w:vAlign w:val="center"/>
          </w:tcPr>
          <w:p w14:paraId="3E10BFB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3"/>
                <w:kern w:val="0"/>
                <w:sz w:val="21"/>
                <w:szCs w:val="21"/>
                <w:lang w:eastAsia="en-US"/>
              </w:rPr>
              <w:t>0.0004</w:t>
            </w:r>
          </w:p>
        </w:tc>
        <w:tc>
          <w:tcPr>
            <w:tcW w:w="603" w:type="pct"/>
            <w:vAlign w:val="center"/>
          </w:tcPr>
          <w:p w14:paraId="3E38D58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0.005</w:t>
            </w:r>
          </w:p>
        </w:tc>
      </w:tr>
      <w:tr w14:paraId="5799D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trPr>
        <w:tc>
          <w:tcPr>
            <w:tcW w:w="1046" w:type="pct"/>
            <w:vAlign w:val="center"/>
          </w:tcPr>
          <w:p w14:paraId="5903D9C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1"/>
                <w:kern w:val="0"/>
                <w:sz w:val="21"/>
                <w:szCs w:val="21"/>
                <w:lang w:val="en-US" w:eastAsia="en-US" w:bidi="ar-SA"/>
              </w:rPr>
              <w:t>砷</w:t>
            </w:r>
            <w:r>
              <w:rPr>
                <w:rFonts w:hint="eastAsia" w:ascii="Times New Roman" w:hAnsi="Times New Roman" w:eastAsia="宋体" w:cs="Times New Roman"/>
                <w:snapToGrid w:val="0"/>
                <w:color w:val="auto"/>
                <w:spacing w:val="1"/>
                <w:kern w:val="0"/>
                <w:sz w:val="21"/>
                <w:szCs w:val="21"/>
                <w:lang w:val="en-US" w:eastAsia="zh-CN" w:bidi="ar-SA"/>
              </w:rPr>
              <w:t>（</w:t>
            </w:r>
            <w:r>
              <w:rPr>
                <w:rFonts w:hint="default" w:ascii="Times New Roman" w:hAnsi="Times New Roman" w:eastAsia="宋体" w:cs="Times New Roman"/>
                <w:snapToGrid w:val="0"/>
                <w:color w:val="auto"/>
                <w:spacing w:val="1"/>
                <w:kern w:val="0"/>
                <w:sz w:val="21"/>
                <w:szCs w:val="21"/>
                <w:lang w:val="en-US" w:eastAsia="en-US" w:bidi="ar-SA"/>
              </w:rPr>
              <w:t>μg/L）</w:t>
            </w:r>
          </w:p>
        </w:tc>
        <w:tc>
          <w:tcPr>
            <w:tcW w:w="554" w:type="pct"/>
            <w:vAlign w:val="center"/>
          </w:tcPr>
          <w:p w14:paraId="2AF1FC2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0.3</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3F845BF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0.3</w:t>
            </w:r>
            <w:r>
              <w:rPr>
                <w:rFonts w:hint="default" w:ascii="Times New Roman" w:hAnsi="Times New Roman" w:eastAsia="宋体" w:cs="Times New Roman"/>
                <w:snapToGrid w:val="0"/>
                <w:color w:val="auto"/>
                <w:kern w:val="0"/>
                <w:sz w:val="21"/>
                <w:szCs w:val="21"/>
                <w:lang w:eastAsia="en-US"/>
              </w:rPr>
              <w:t>ND</w:t>
            </w:r>
          </w:p>
        </w:tc>
        <w:tc>
          <w:tcPr>
            <w:tcW w:w="551" w:type="pct"/>
            <w:vAlign w:val="center"/>
          </w:tcPr>
          <w:p w14:paraId="1FFA80F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0.3</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2761FBF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0.3</w:t>
            </w:r>
            <w:r>
              <w:rPr>
                <w:rFonts w:hint="default" w:ascii="Times New Roman" w:hAnsi="Times New Roman" w:eastAsia="宋体" w:cs="Times New Roman"/>
                <w:snapToGrid w:val="0"/>
                <w:color w:val="auto"/>
                <w:kern w:val="0"/>
                <w:sz w:val="21"/>
                <w:szCs w:val="21"/>
                <w:lang w:eastAsia="en-US"/>
              </w:rPr>
              <w:t>ND</w:t>
            </w:r>
          </w:p>
        </w:tc>
        <w:tc>
          <w:tcPr>
            <w:tcW w:w="554" w:type="pct"/>
            <w:vAlign w:val="center"/>
          </w:tcPr>
          <w:p w14:paraId="474963D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0.3</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21C49A8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0.3</w:t>
            </w:r>
            <w:r>
              <w:rPr>
                <w:rFonts w:hint="default" w:ascii="Times New Roman" w:hAnsi="Times New Roman" w:eastAsia="宋体" w:cs="Times New Roman"/>
                <w:snapToGrid w:val="0"/>
                <w:color w:val="auto"/>
                <w:kern w:val="0"/>
                <w:sz w:val="21"/>
                <w:szCs w:val="21"/>
                <w:lang w:eastAsia="en-US"/>
              </w:rPr>
              <w:t>ND</w:t>
            </w:r>
          </w:p>
        </w:tc>
        <w:tc>
          <w:tcPr>
            <w:tcW w:w="603" w:type="pct"/>
            <w:vAlign w:val="center"/>
          </w:tcPr>
          <w:p w14:paraId="2897FF0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50</w:t>
            </w:r>
          </w:p>
        </w:tc>
      </w:tr>
      <w:tr w14:paraId="0CF41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046" w:type="pct"/>
            <w:vAlign w:val="center"/>
          </w:tcPr>
          <w:p w14:paraId="019B21F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1"/>
                <w:kern w:val="0"/>
                <w:sz w:val="21"/>
                <w:szCs w:val="21"/>
                <w:lang w:val="en-US" w:eastAsia="en-US" w:bidi="ar-SA"/>
              </w:rPr>
              <w:t>镉</w:t>
            </w:r>
            <w:r>
              <w:rPr>
                <w:rFonts w:hint="eastAsia" w:ascii="Times New Roman" w:hAnsi="Times New Roman" w:eastAsia="宋体" w:cs="Times New Roman"/>
                <w:snapToGrid w:val="0"/>
                <w:color w:val="auto"/>
                <w:spacing w:val="1"/>
                <w:kern w:val="0"/>
                <w:sz w:val="21"/>
                <w:szCs w:val="21"/>
                <w:lang w:val="en-US" w:eastAsia="zh-CN" w:bidi="ar-SA"/>
              </w:rPr>
              <w:t>（</w:t>
            </w:r>
            <w:r>
              <w:rPr>
                <w:rFonts w:hint="default" w:ascii="Times New Roman" w:hAnsi="Times New Roman" w:eastAsia="宋体" w:cs="Times New Roman"/>
                <w:snapToGrid w:val="0"/>
                <w:color w:val="auto"/>
                <w:spacing w:val="1"/>
                <w:kern w:val="0"/>
                <w:sz w:val="21"/>
                <w:szCs w:val="21"/>
                <w:lang w:val="en-US" w:eastAsia="en-US" w:bidi="ar-SA"/>
              </w:rPr>
              <w:t>μg/L）</w:t>
            </w:r>
          </w:p>
        </w:tc>
        <w:tc>
          <w:tcPr>
            <w:tcW w:w="554" w:type="pct"/>
            <w:vAlign w:val="center"/>
          </w:tcPr>
          <w:p w14:paraId="6DCFDA9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1ND</w:t>
            </w:r>
          </w:p>
        </w:tc>
        <w:tc>
          <w:tcPr>
            <w:tcW w:w="563" w:type="pct"/>
            <w:vAlign w:val="center"/>
          </w:tcPr>
          <w:p w14:paraId="42DDE1B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1ND</w:t>
            </w:r>
          </w:p>
        </w:tc>
        <w:tc>
          <w:tcPr>
            <w:tcW w:w="551" w:type="pct"/>
            <w:vAlign w:val="center"/>
          </w:tcPr>
          <w:p w14:paraId="3AC0141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1ND</w:t>
            </w:r>
          </w:p>
        </w:tc>
        <w:tc>
          <w:tcPr>
            <w:tcW w:w="563" w:type="pct"/>
            <w:vAlign w:val="center"/>
          </w:tcPr>
          <w:p w14:paraId="6608950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1ND</w:t>
            </w:r>
          </w:p>
        </w:tc>
        <w:tc>
          <w:tcPr>
            <w:tcW w:w="554" w:type="pct"/>
            <w:vAlign w:val="center"/>
          </w:tcPr>
          <w:p w14:paraId="5654CEC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1ND</w:t>
            </w:r>
          </w:p>
        </w:tc>
        <w:tc>
          <w:tcPr>
            <w:tcW w:w="563" w:type="pct"/>
            <w:vAlign w:val="center"/>
          </w:tcPr>
          <w:p w14:paraId="1E000E3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1ND</w:t>
            </w:r>
          </w:p>
        </w:tc>
        <w:tc>
          <w:tcPr>
            <w:tcW w:w="603" w:type="pct"/>
            <w:vAlign w:val="center"/>
          </w:tcPr>
          <w:p w14:paraId="44DB8FC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5</w:t>
            </w:r>
          </w:p>
        </w:tc>
      </w:tr>
      <w:tr w14:paraId="1731F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046" w:type="pct"/>
            <w:vAlign w:val="center"/>
          </w:tcPr>
          <w:p w14:paraId="48CBDFD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1"/>
                <w:kern w:val="0"/>
                <w:sz w:val="21"/>
                <w:szCs w:val="21"/>
                <w:lang w:val="en-US" w:eastAsia="en-US" w:bidi="ar-SA"/>
              </w:rPr>
              <w:t>汞</w:t>
            </w:r>
            <w:r>
              <w:rPr>
                <w:rFonts w:hint="eastAsia" w:ascii="Times New Roman" w:hAnsi="Times New Roman" w:eastAsia="宋体" w:cs="Times New Roman"/>
                <w:snapToGrid w:val="0"/>
                <w:color w:val="auto"/>
                <w:spacing w:val="1"/>
                <w:kern w:val="0"/>
                <w:sz w:val="21"/>
                <w:szCs w:val="21"/>
                <w:lang w:val="en-US" w:eastAsia="zh-CN" w:bidi="ar-SA"/>
              </w:rPr>
              <w:t>（</w:t>
            </w:r>
            <w:r>
              <w:rPr>
                <w:rFonts w:hint="default" w:ascii="Times New Roman" w:hAnsi="Times New Roman" w:eastAsia="宋体" w:cs="Times New Roman"/>
                <w:snapToGrid w:val="0"/>
                <w:color w:val="auto"/>
                <w:spacing w:val="1"/>
                <w:kern w:val="0"/>
                <w:sz w:val="21"/>
                <w:szCs w:val="21"/>
                <w:lang w:val="en-US" w:eastAsia="en-US" w:bidi="ar-SA"/>
              </w:rPr>
              <w:t>μg/L）</w:t>
            </w:r>
          </w:p>
        </w:tc>
        <w:tc>
          <w:tcPr>
            <w:tcW w:w="554" w:type="pct"/>
            <w:vAlign w:val="center"/>
          </w:tcPr>
          <w:p w14:paraId="0E738E8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0.04</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164A741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5"/>
                <w:kern w:val="0"/>
                <w:sz w:val="21"/>
                <w:szCs w:val="21"/>
                <w:lang w:eastAsia="en-US"/>
              </w:rPr>
              <w:t>0.04</w:t>
            </w:r>
            <w:r>
              <w:rPr>
                <w:rFonts w:hint="default" w:ascii="Times New Roman" w:hAnsi="Times New Roman" w:eastAsia="宋体" w:cs="Times New Roman"/>
                <w:snapToGrid w:val="0"/>
                <w:color w:val="auto"/>
                <w:kern w:val="0"/>
                <w:sz w:val="21"/>
                <w:szCs w:val="21"/>
                <w:lang w:eastAsia="en-US"/>
              </w:rPr>
              <w:t>ND</w:t>
            </w:r>
          </w:p>
        </w:tc>
        <w:tc>
          <w:tcPr>
            <w:tcW w:w="551" w:type="pct"/>
            <w:vAlign w:val="center"/>
          </w:tcPr>
          <w:p w14:paraId="0AEAE8A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0.04</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4E572C6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0.04</w:t>
            </w:r>
            <w:r>
              <w:rPr>
                <w:rFonts w:hint="default" w:ascii="Times New Roman" w:hAnsi="Times New Roman" w:eastAsia="宋体" w:cs="Times New Roman"/>
                <w:snapToGrid w:val="0"/>
                <w:color w:val="auto"/>
                <w:kern w:val="0"/>
                <w:sz w:val="21"/>
                <w:szCs w:val="21"/>
                <w:lang w:eastAsia="en-US"/>
              </w:rPr>
              <w:t>ND</w:t>
            </w:r>
          </w:p>
        </w:tc>
        <w:tc>
          <w:tcPr>
            <w:tcW w:w="554" w:type="pct"/>
            <w:vAlign w:val="center"/>
          </w:tcPr>
          <w:p w14:paraId="2D130A1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0.04</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3E4D2B9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0.04</w:t>
            </w:r>
            <w:r>
              <w:rPr>
                <w:rFonts w:hint="default" w:ascii="Times New Roman" w:hAnsi="Times New Roman" w:eastAsia="宋体" w:cs="Times New Roman"/>
                <w:snapToGrid w:val="0"/>
                <w:color w:val="auto"/>
                <w:kern w:val="0"/>
                <w:sz w:val="21"/>
                <w:szCs w:val="21"/>
                <w:lang w:eastAsia="en-US"/>
              </w:rPr>
              <w:t>ND</w:t>
            </w:r>
          </w:p>
        </w:tc>
        <w:tc>
          <w:tcPr>
            <w:tcW w:w="603" w:type="pct"/>
            <w:vAlign w:val="center"/>
          </w:tcPr>
          <w:p w14:paraId="3EE5858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1</w:t>
            </w:r>
          </w:p>
        </w:tc>
      </w:tr>
      <w:tr w14:paraId="66301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046" w:type="pct"/>
            <w:vAlign w:val="center"/>
          </w:tcPr>
          <w:p w14:paraId="6F942EA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六价铬（</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6"/>
                <w:kern w:val="0"/>
                <w:sz w:val="21"/>
                <w:szCs w:val="21"/>
                <w:lang w:val="en-US" w:eastAsia="en-US" w:bidi="ar-SA"/>
              </w:rPr>
              <w:t>/L）</w:t>
            </w:r>
          </w:p>
        </w:tc>
        <w:tc>
          <w:tcPr>
            <w:tcW w:w="554" w:type="pct"/>
            <w:vAlign w:val="center"/>
          </w:tcPr>
          <w:p w14:paraId="56BEBE0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5"/>
                <w:kern w:val="0"/>
                <w:sz w:val="21"/>
                <w:szCs w:val="21"/>
                <w:lang w:eastAsia="en-US"/>
              </w:rPr>
              <w:t>0.004</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6D3CE9D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5"/>
                <w:kern w:val="0"/>
                <w:sz w:val="21"/>
                <w:szCs w:val="21"/>
                <w:lang w:eastAsia="en-US"/>
              </w:rPr>
              <w:t>0.004</w:t>
            </w:r>
            <w:r>
              <w:rPr>
                <w:rFonts w:hint="default" w:ascii="Times New Roman" w:hAnsi="Times New Roman" w:eastAsia="宋体" w:cs="Times New Roman"/>
                <w:snapToGrid w:val="0"/>
                <w:color w:val="auto"/>
                <w:kern w:val="0"/>
                <w:sz w:val="21"/>
                <w:szCs w:val="21"/>
                <w:lang w:eastAsia="en-US"/>
              </w:rPr>
              <w:t>ND</w:t>
            </w:r>
          </w:p>
        </w:tc>
        <w:tc>
          <w:tcPr>
            <w:tcW w:w="551" w:type="pct"/>
            <w:vAlign w:val="center"/>
          </w:tcPr>
          <w:p w14:paraId="47C7999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5"/>
                <w:kern w:val="0"/>
                <w:sz w:val="21"/>
                <w:szCs w:val="21"/>
                <w:lang w:eastAsia="en-US"/>
              </w:rPr>
              <w:t>0.004</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3F1C986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5"/>
                <w:kern w:val="0"/>
                <w:sz w:val="21"/>
                <w:szCs w:val="21"/>
                <w:lang w:eastAsia="en-US"/>
              </w:rPr>
              <w:t>0.004</w:t>
            </w:r>
            <w:r>
              <w:rPr>
                <w:rFonts w:hint="default" w:ascii="Times New Roman" w:hAnsi="Times New Roman" w:eastAsia="宋体" w:cs="Times New Roman"/>
                <w:snapToGrid w:val="0"/>
                <w:color w:val="auto"/>
                <w:kern w:val="0"/>
                <w:sz w:val="21"/>
                <w:szCs w:val="21"/>
                <w:lang w:eastAsia="en-US"/>
              </w:rPr>
              <w:t>ND</w:t>
            </w:r>
          </w:p>
        </w:tc>
        <w:tc>
          <w:tcPr>
            <w:tcW w:w="554" w:type="pct"/>
            <w:vAlign w:val="center"/>
          </w:tcPr>
          <w:p w14:paraId="6F46911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5"/>
                <w:kern w:val="0"/>
                <w:sz w:val="21"/>
                <w:szCs w:val="21"/>
                <w:lang w:eastAsia="en-US"/>
              </w:rPr>
              <w:t>0.004</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5746FC0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5"/>
                <w:kern w:val="0"/>
                <w:sz w:val="21"/>
                <w:szCs w:val="21"/>
                <w:lang w:eastAsia="en-US"/>
              </w:rPr>
              <w:t>0.004</w:t>
            </w:r>
            <w:r>
              <w:rPr>
                <w:rFonts w:hint="default" w:ascii="Times New Roman" w:hAnsi="Times New Roman" w:eastAsia="宋体" w:cs="Times New Roman"/>
                <w:snapToGrid w:val="0"/>
                <w:color w:val="auto"/>
                <w:kern w:val="0"/>
                <w:sz w:val="21"/>
                <w:szCs w:val="21"/>
                <w:lang w:eastAsia="en-US"/>
              </w:rPr>
              <w:t>ND</w:t>
            </w:r>
          </w:p>
        </w:tc>
        <w:tc>
          <w:tcPr>
            <w:tcW w:w="603" w:type="pct"/>
            <w:vAlign w:val="center"/>
          </w:tcPr>
          <w:p w14:paraId="1E02F3B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0.05</w:t>
            </w:r>
          </w:p>
        </w:tc>
      </w:tr>
      <w:tr w14:paraId="1F522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046" w:type="pct"/>
            <w:vAlign w:val="center"/>
          </w:tcPr>
          <w:p w14:paraId="1996A9A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5"/>
                <w:kern w:val="0"/>
                <w:sz w:val="21"/>
                <w:szCs w:val="21"/>
                <w:lang w:val="en-US" w:eastAsia="en-US" w:bidi="ar-SA"/>
              </w:rPr>
              <w:t>总磷（</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5"/>
                <w:kern w:val="0"/>
                <w:sz w:val="21"/>
                <w:szCs w:val="21"/>
                <w:lang w:val="en-US" w:eastAsia="en-US" w:bidi="ar-SA"/>
              </w:rPr>
              <w:t>/L）</w:t>
            </w:r>
          </w:p>
        </w:tc>
        <w:tc>
          <w:tcPr>
            <w:tcW w:w="554" w:type="pct"/>
            <w:vAlign w:val="center"/>
          </w:tcPr>
          <w:p w14:paraId="0B6E0CA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0.15</w:t>
            </w:r>
          </w:p>
        </w:tc>
        <w:tc>
          <w:tcPr>
            <w:tcW w:w="563" w:type="pct"/>
            <w:vAlign w:val="center"/>
          </w:tcPr>
          <w:p w14:paraId="0F17896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0.19</w:t>
            </w:r>
          </w:p>
        </w:tc>
        <w:tc>
          <w:tcPr>
            <w:tcW w:w="551" w:type="pct"/>
            <w:vAlign w:val="center"/>
          </w:tcPr>
          <w:p w14:paraId="50EB24D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0.16</w:t>
            </w:r>
          </w:p>
        </w:tc>
        <w:tc>
          <w:tcPr>
            <w:tcW w:w="563" w:type="pct"/>
            <w:vAlign w:val="center"/>
          </w:tcPr>
          <w:p w14:paraId="050BD12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0.18</w:t>
            </w:r>
          </w:p>
        </w:tc>
        <w:tc>
          <w:tcPr>
            <w:tcW w:w="554" w:type="pct"/>
            <w:vAlign w:val="center"/>
          </w:tcPr>
          <w:p w14:paraId="0C95101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0.18</w:t>
            </w:r>
          </w:p>
        </w:tc>
        <w:tc>
          <w:tcPr>
            <w:tcW w:w="563" w:type="pct"/>
            <w:vAlign w:val="center"/>
          </w:tcPr>
          <w:p w14:paraId="18B9D01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0.19</w:t>
            </w:r>
          </w:p>
        </w:tc>
        <w:tc>
          <w:tcPr>
            <w:tcW w:w="603" w:type="pct"/>
            <w:vAlign w:val="center"/>
          </w:tcPr>
          <w:p w14:paraId="6EBB598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0.2</w:t>
            </w:r>
          </w:p>
        </w:tc>
      </w:tr>
      <w:tr w14:paraId="2A8B4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trPr>
        <w:tc>
          <w:tcPr>
            <w:tcW w:w="1046" w:type="pct"/>
            <w:vAlign w:val="center"/>
          </w:tcPr>
          <w:p w14:paraId="6967235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7"/>
                <w:kern w:val="0"/>
                <w:sz w:val="21"/>
                <w:szCs w:val="21"/>
                <w:lang w:val="en-US" w:eastAsia="en-US" w:bidi="ar-SA"/>
              </w:rPr>
              <w:t>阴离子表面活性剂（</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7"/>
                <w:kern w:val="0"/>
                <w:sz w:val="21"/>
                <w:szCs w:val="21"/>
                <w:lang w:val="en-US" w:eastAsia="en-US" w:bidi="ar-SA"/>
              </w:rPr>
              <w:t>/L）</w:t>
            </w:r>
          </w:p>
        </w:tc>
        <w:tc>
          <w:tcPr>
            <w:tcW w:w="554" w:type="pct"/>
            <w:vAlign w:val="center"/>
          </w:tcPr>
          <w:p w14:paraId="70913B9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0.05</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52D811B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5"/>
                <w:kern w:val="0"/>
                <w:sz w:val="21"/>
                <w:szCs w:val="21"/>
                <w:lang w:eastAsia="en-US"/>
              </w:rPr>
              <w:t>0.05</w:t>
            </w:r>
            <w:r>
              <w:rPr>
                <w:rFonts w:hint="default" w:ascii="Times New Roman" w:hAnsi="Times New Roman" w:eastAsia="宋体" w:cs="Times New Roman"/>
                <w:snapToGrid w:val="0"/>
                <w:color w:val="auto"/>
                <w:kern w:val="0"/>
                <w:sz w:val="21"/>
                <w:szCs w:val="21"/>
                <w:lang w:eastAsia="en-US"/>
              </w:rPr>
              <w:t>ND</w:t>
            </w:r>
          </w:p>
        </w:tc>
        <w:tc>
          <w:tcPr>
            <w:tcW w:w="551" w:type="pct"/>
            <w:vAlign w:val="center"/>
          </w:tcPr>
          <w:p w14:paraId="0E3976A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0.05</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5080BDB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0.05</w:t>
            </w:r>
            <w:r>
              <w:rPr>
                <w:rFonts w:hint="default" w:ascii="Times New Roman" w:hAnsi="Times New Roman" w:eastAsia="宋体" w:cs="Times New Roman"/>
                <w:snapToGrid w:val="0"/>
                <w:color w:val="auto"/>
                <w:kern w:val="0"/>
                <w:sz w:val="21"/>
                <w:szCs w:val="21"/>
                <w:lang w:eastAsia="en-US"/>
              </w:rPr>
              <w:t>ND</w:t>
            </w:r>
          </w:p>
        </w:tc>
        <w:tc>
          <w:tcPr>
            <w:tcW w:w="554" w:type="pct"/>
            <w:vAlign w:val="center"/>
          </w:tcPr>
          <w:p w14:paraId="6D5C977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0.05</w:t>
            </w:r>
            <w:r>
              <w:rPr>
                <w:rFonts w:hint="default" w:ascii="Times New Roman" w:hAnsi="Times New Roman" w:eastAsia="宋体" w:cs="Times New Roman"/>
                <w:snapToGrid w:val="0"/>
                <w:color w:val="auto"/>
                <w:kern w:val="0"/>
                <w:sz w:val="21"/>
                <w:szCs w:val="21"/>
                <w:lang w:eastAsia="en-US"/>
              </w:rPr>
              <w:t>ND</w:t>
            </w:r>
          </w:p>
        </w:tc>
        <w:tc>
          <w:tcPr>
            <w:tcW w:w="563" w:type="pct"/>
            <w:vAlign w:val="center"/>
          </w:tcPr>
          <w:p w14:paraId="5BBA67E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6"/>
                <w:kern w:val="0"/>
                <w:sz w:val="21"/>
                <w:szCs w:val="21"/>
                <w:lang w:eastAsia="en-US"/>
              </w:rPr>
              <w:t>0.05</w:t>
            </w:r>
            <w:r>
              <w:rPr>
                <w:rFonts w:hint="default" w:ascii="Times New Roman" w:hAnsi="Times New Roman" w:eastAsia="宋体" w:cs="Times New Roman"/>
                <w:snapToGrid w:val="0"/>
                <w:color w:val="auto"/>
                <w:kern w:val="0"/>
                <w:sz w:val="21"/>
                <w:szCs w:val="21"/>
                <w:lang w:eastAsia="en-US"/>
              </w:rPr>
              <w:t>ND</w:t>
            </w:r>
          </w:p>
        </w:tc>
        <w:tc>
          <w:tcPr>
            <w:tcW w:w="603" w:type="pct"/>
            <w:vAlign w:val="center"/>
          </w:tcPr>
          <w:p w14:paraId="30697B9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0.2</w:t>
            </w:r>
          </w:p>
        </w:tc>
      </w:tr>
      <w:tr w14:paraId="7C4A5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trPr>
        <w:tc>
          <w:tcPr>
            <w:tcW w:w="1046" w:type="pct"/>
            <w:vAlign w:val="center"/>
          </w:tcPr>
          <w:p w14:paraId="4B8EAC0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溶解氧（</w:t>
            </w:r>
            <w:r>
              <w:rPr>
                <w:rFonts w:hint="default" w:ascii="Times New Roman" w:hAnsi="Times New Roman" w:eastAsia="宋体" w:cs="Times New Roman"/>
                <w:snapToGrid w:val="0"/>
                <w:color w:val="auto"/>
                <w:kern w:val="0"/>
                <w:sz w:val="21"/>
                <w:szCs w:val="21"/>
                <w:lang w:val="en-US" w:eastAsia="en-US" w:bidi="ar-SA"/>
              </w:rPr>
              <w:t>mg</w:t>
            </w:r>
            <w:r>
              <w:rPr>
                <w:rFonts w:hint="default" w:ascii="Times New Roman" w:hAnsi="Times New Roman" w:eastAsia="宋体" w:cs="Times New Roman"/>
                <w:snapToGrid w:val="0"/>
                <w:color w:val="auto"/>
                <w:spacing w:val="6"/>
                <w:kern w:val="0"/>
                <w:sz w:val="21"/>
                <w:szCs w:val="21"/>
                <w:lang w:val="en-US" w:eastAsia="en-US" w:bidi="ar-SA"/>
              </w:rPr>
              <w:t>/L）</w:t>
            </w:r>
          </w:p>
        </w:tc>
        <w:tc>
          <w:tcPr>
            <w:tcW w:w="554" w:type="pct"/>
            <w:vAlign w:val="center"/>
          </w:tcPr>
          <w:p w14:paraId="61C43BA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10.10</w:t>
            </w:r>
          </w:p>
        </w:tc>
        <w:tc>
          <w:tcPr>
            <w:tcW w:w="563" w:type="pct"/>
            <w:vAlign w:val="center"/>
          </w:tcPr>
          <w:p w14:paraId="2E4B4EC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9.85</w:t>
            </w:r>
          </w:p>
        </w:tc>
        <w:tc>
          <w:tcPr>
            <w:tcW w:w="551" w:type="pct"/>
            <w:vAlign w:val="center"/>
          </w:tcPr>
          <w:p w14:paraId="70628DC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10.01</w:t>
            </w:r>
          </w:p>
        </w:tc>
        <w:tc>
          <w:tcPr>
            <w:tcW w:w="563" w:type="pct"/>
            <w:vAlign w:val="center"/>
          </w:tcPr>
          <w:p w14:paraId="1076BFB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9.73</w:t>
            </w:r>
          </w:p>
        </w:tc>
        <w:tc>
          <w:tcPr>
            <w:tcW w:w="554" w:type="pct"/>
            <w:vAlign w:val="center"/>
          </w:tcPr>
          <w:p w14:paraId="1CC7D92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1"/>
                <w:kern w:val="0"/>
                <w:sz w:val="21"/>
                <w:szCs w:val="21"/>
                <w:lang w:eastAsia="en-US"/>
              </w:rPr>
              <w:t>10.05</w:t>
            </w:r>
          </w:p>
        </w:tc>
        <w:tc>
          <w:tcPr>
            <w:tcW w:w="563" w:type="pct"/>
            <w:vAlign w:val="center"/>
          </w:tcPr>
          <w:p w14:paraId="082104F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spacing w:val="2"/>
                <w:kern w:val="0"/>
                <w:sz w:val="21"/>
                <w:szCs w:val="21"/>
                <w:lang w:eastAsia="en-US"/>
              </w:rPr>
              <w:t>9.83</w:t>
            </w:r>
          </w:p>
        </w:tc>
        <w:tc>
          <w:tcPr>
            <w:tcW w:w="603" w:type="pct"/>
            <w:vAlign w:val="center"/>
          </w:tcPr>
          <w:p w14:paraId="6A2E9FB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5</w:t>
            </w:r>
          </w:p>
        </w:tc>
      </w:tr>
      <w:tr w14:paraId="5F668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3" w:hRule="atLeast"/>
        </w:trPr>
        <w:tc>
          <w:tcPr>
            <w:tcW w:w="1046" w:type="pct"/>
            <w:vAlign w:val="center"/>
          </w:tcPr>
          <w:p w14:paraId="140A951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备注</w:t>
            </w:r>
          </w:p>
        </w:tc>
        <w:tc>
          <w:tcPr>
            <w:tcW w:w="3953" w:type="pct"/>
            <w:gridSpan w:val="7"/>
            <w:vAlign w:val="center"/>
          </w:tcPr>
          <w:p w14:paraId="3F73797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left"/>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en-US" w:bidi="ar-SA"/>
              </w:rPr>
              <w:t>园区上游河宽：6m、流速：0.8m/秒、河深：0</w:t>
            </w:r>
            <w:r>
              <w:rPr>
                <w:rFonts w:hint="default" w:ascii="Times New Roman" w:hAnsi="Times New Roman" w:eastAsia="宋体" w:cs="Times New Roman"/>
                <w:snapToGrid w:val="0"/>
                <w:color w:val="auto"/>
                <w:kern w:val="0"/>
                <w:sz w:val="21"/>
                <w:szCs w:val="21"/>
                <w:lang w:val="en-US" w:eastAsia="en-US" w:bidi="ar-SA"/>
              </w:rPr>
              <w:t>.4m、流量：1.92m</w:t>
            </w:r>
            <w:r>
              <w:rPr>
                <w:rFonts w:hint="default" w:ascii="Times New Roman" w:hAnsi="Times New Roman" w:eastAsia="宋体" w:cs="Times New Roman"/>
                <w:snapToGrid w:val="0"/>
                <w:color w:val="auto"/>
                <w:kern w:val="0"/>
                <w:sz w:val="21"/>
                <w:szCs w:val="21"/>
                <w:vertAlign w:val="superscript"/>
                <w:lang w:val="en-US" w:eastAsia="en-US" w:bidi="ar-SA"/>
              </w:rPr>
              <w:t>3</w:t>
            </w:r>
            <w:r>
              <w:rPr>
                <w:rFonts w:hint="default" w:ascii="Times New Roman" w:hAnsi="Times New Roman" w:eastAsia="宋体" w:cs="Times New Roman"/>
                <w:snapToGrid w:val="0"/>
                <w:color w:val="auto"/>
                <w:kern w:val="0"/>
                <w:sz w:val="21"/>
                <w:szCs w:val="21"/>
                <w:lang w:val="en-US" w:eastAsia="en-US" w:bidi="ar-SA"/>
              </w:rPr>
              <w:t>/秒、水温：8.9℃</w:t>
            </w:r>
          </w:p>
          <w:p w14:paraId="28ABE4F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left"/>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en-US" w:bidi="ar-SA"/>
              </w:rPr>
              <w:t>园区下游河宽：8m、流速：0.4m/秒、河深：0.8m、流量：2.56m</w:t>
            </w:r>
            <w:r>
              <w:rPr>
                <w:rFonts w:hint="default" w:ascii="Times New Roman" w:hAnsi="Times New Roman" w:eastAsia="宋体" w:cs="Times New Roman"/>
                <w:snapToGrid w:val="0"/>
                <w:color w:val="auto"/>
                <w:kern w:val="0"/>
                <w:sz w:val="21"/>
                <w:szCs w:val="21"/>
                <w:vertAlign w:val="superscript"/>
                <w:lang w:val="en-US" w:eastAsia="en-US" w:bidi="ar-SA"/>
              </w:rPr>
              <w:t>3</w:t>
            </w:r>
            <w:r>
              <w:rPr>
                <w:rFonts w:hint="default" w:ascii="Times New Roman" w:hAnsi="Times New Roman" w:eastAsia="宋体" w:cs="Times New Roman"/>
                <w:snapToGrid w:val="0"/>
                <w:color w:val="auto"/>
                <w:kern w:val="0"/>
                <w:sz w:val="21"/>
                <w:szCs w:val="21"/>
                <w:lang w:val="en-US" w:eastAsia="en-US" w:bidi="ar-SA"/>
              </w:rPr>
              <w:t>/秒、水温：8.8℃</w:t>
            </w:r>
          </w:p>
        </w:tc>
      </w:tr>
    </w:tbl>
    <w:p w14:paraId="180A21C7">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监测结果表明，</w:t>
      </w:r>
      <w:r>
        <w:rPr>
          <w:rFonts w:hint="default" w:ascii="Times New Roman" w:hAnsi="Times New Roman" w:eastAsia="宋体" w:cs="Times New Roman"/>
          <w:color w:val="auto"/>
          <w:spacing w:val="0"/>
          <w:w w:val="100"/>
          <w:sz w:val="24"/>
          <w:szCs w:val="24"/>
          <w:lang w:val="en-US" w:eastAsia="zh-CN"/>
        </w:rPr>
        <w:t>项目</w:t>
      </w:r>
      <w:r>
        <w:rPr>
          <w:rFonts w:hint="eastAsia" w:ascii="Times New Roman" w:hAnsi="Times New Roman" w:eastAsia="宋体" w:cs="Times New Roman"/>
          <w:color w:val="auto"/>
          <w:spacing w:val="0"/>
          <w:w w:val="100"/>
          <w:sz w:val="24"/>
          <w:szCs w:val="24"/>
          <w:lang w:val="en-US" w:eastAsia="zh-CN"/>
        </w:rPr>
        <w:t>园区</w:t>
      </w:r>
      <w:r>
        <w:rPr>
          <w:rFonts w:hint="default" w:ascii="Times New Roman" w:hAnsi="Times New Roman" w:eastAsia="宋体" w:cs="Times New Roman"/>
          <w:color w:val="auto"/>
          <w:spacing w:val="0"/>
          <w:w w:val="100"/>
          <w:sz w:val="24"/>
          <w:szCs w:val="24"/>
          <w:lang w:val="en-US" w:eastAsia="zh-CN"/>
        </w:rPr>
        <w:t>上游及下游处</w:t>
      </w:r>
      <w:r>
        <w:rPr>
          <w:rFonts w:hint="eastAsia" w:ascii="Times New Roman" w:hAnsi="Times New Roman" w:eastAsia="宋体" w:cs="Times New Roman"/>
          <w:color w:val="auto"/>
          <w:spacing w:val="0"/>
          <w:w w:val="100"/>
          <w:sz w:val="24"/>
          <w:szCs w:val="24"/>
          <w:lang w:val="en-US" w:eastAsia="zh-CN"/>
        </w:rPr>
        <w:t>千河</w:t>
      </w:r>
      <w:r>
        <w:rPr>
          <w:rFonts w:hint="default" w:ascii="Times New Roman" w:hAnsi="Times New Roman" w:eastAsia="宋体" w:cs="Times New Roman"/>
          <w:color w:val="auto"/>
          <w:spacing w:val="0"/>
          <w:w w:val="100"/>
          <w:sz w:val="24"/>
          <w:szCs w:val="24"/>
          <w:lang w:val="en-US" w:eastAsia="zh-CN"/>
        </w:rPr>
        <w:t>断面水质</w:t>
      </w:r>
      <w:r>
        <w:rPr>
          <w:rFonts w:hint="default" w:ascii="Times New Roman" w:hAnsi="Times New Roman" w:eastAsia="宋体" w:cs="Times New Roman"/>
          <w:color w:val="auto"/>
          <w:spacing w:val="0"/>
          <w:w w:val="100"/>
          <w:sz w:val="24"/>
          <w:szCs w:val="24"/>
        </w:rPr>
        <w:t>指标</w:t>
      </w:r>
      <w:r>
        <w:rPr>
          <w:rFonts w:hint="eastAsia" w:ascii="Times New Roman" w:hAnsi="Times New Roman" w:eastAsia="宋体" w:cs="Times New Roman"/>
          <w:color w:val="auto"/>
          <w:spacing w:val="0"/>
          <w:w w:val="100"/>
          <w:sz w:val="24"/>
          <w:szCs w:val="32"/>
          <w:lang w:val="en-US" w:eastAsia="zh-CN"/>
        </w:rPr>
        <w:t>各因子</w:t>
      </w:r>
      <w:r>
        <w:rPr>
          <w:rFonts w:hint="default" w:ascii="Times New Roman" w:hAnsi="Times New Roman" w:eastAsia="宋体" w:cs="Times New Roman"/>
          <w:color w:val="auto"/>
          <w:spacing w:val="0"/>
          <w:w w:val="100"/>
          <w:sz w:val="24"/>
          <w:szCs w:val="32"/>
          <w:lang w:eastAsia="zh-CN"/>
        </w:rPr>
        <w:t>均</w:t>
      </w:r>
      <w:r>
        <w:rPr>
          <w:rFonts w:hint="default" w:ascii="Times New Roman" w:hAnsi="Times New Roman" w:eastAsia="宋体" w:cs="Times New Roman"/>
          <w:color w:val="auto"/>
          <w:spacing w:val="0"/>
          <w:w w:val="100"/>
          <w:sz w:val="24"/>
          <w:szCs w:val="24"/>
        </w:rPr>
        <w:t>能达到《地表水环境质量标准》（GB3838-2002）Ⅲ类标准要求。</w:t>
      </w:r>
    </w:p>
    <w:p w14:paraId="42037D6D">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8"/>
          <w:szCs w:val="28"/>
          <w:lang w:val="en-US" w:eastAsia="zh-CN" w:bidi="ar-SA"/>
        </w:rPr>
      </w:pPr>
      <w:r>
        <w:rPr>
          <w:rFonts w:hint="eastAsia" w:ascii="Times New Roman" w:hAnsi="Times New Roman" w:eastAsia="宋体" w:cs="Times New Roman"/>
          <w:b/>
          <w:color w:val="auto"/>
          <w:spacing w:val="0"/>
          <w:w w:val="100"/>
          <w:kern w:val="2"/>
          <w:sz w:val="28"/>
          <w:szCs w:val="28"/>
          <w:lang w:val="en-US" w:eastAsia="zh-CN" w:bidi="ar-SA"/>
        </w:rPr>
        <w:t>3.4</w:t>
      </w:r>
      <w:r>
        <w:rPr>
          <w:rFonts w:hint="default" w:ascii="Times New Roman" w:hAnsi="Times New Roman" w:eastAsia="宋体" w:cs="Times New Roman"/>
          <w:b/>
          <w:color w:val="auto"/>
          <w:spacing w:val="0"/>
          <w:w w:val="100"/>
          <w:kern w:val="2"/>
          <w:sz w:val="28"/>
          <w:szCs w:val="28"/>
          <w:lang w:val="en-US" w:eastAsia="zh-CN" w:bidi="ar-SA"/>
        </w:rPr>
        <w:t>、环境敏感目标调查</w:t>
      </w:r>
    </w:p>
    <w:p w14:paraId="35181CA5">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eastAsia="zh-CN"/>
        </w:rPr>
      </w:pPr>
      <w:bookmarkStart w:id="45" w:name="_Toc5235"/>
      <w:bookmarkStart w:id="46" w:name="_Toc25864"/>
      <w:r>
        <w:rPr>
          <w:rFonts w:hint="default" w:ascii="Times New Roman" w:hAnsi="Times New Roman" w:eastAsia="宋体" w:cs="Times New Roman"/>
          <w:color w:val="auto"/>
          <w:spacing w:val="0"/>
          <w:w w:val="100"/>
          <w:sz w:val="24"/>
          <w:szCs w:val="24"/>
          <w:lang w:eastAsia="zh-CN"/>
        </w:rPr>
        <w:t>地表水</w:t>
      </w:r>
      <w:r>
        <w:rPr>
          <w:rFonts w:hint="default" w:ascii="Times New Roman" w:hAnsi="Times New Roman" w:eastAsia="宋体" w:cs="Times New Roman"/>
          <w:color w:val="auto"/>
          <w:spacing w:val="0"/>
          <w:w w:val="100"/>
          <w:sz w:val="24"/>
          <w:szCs w:val="24"/>
        </w:rPr>
        <w:t>环境影响评价范围</w:t>
      </w:r>
      <w:r>
        <w:rPr>
          <w:rFonts w:hint="default" w:ascii="Times New Roman" w:hAnsi="Times New Roman" w:eastAsia="宋体" w:cs="Times New Roman"/>
          <w:color w:val="auto"/>
          <w:spacing w:val="0"/>
          <w:w w:val="100"/>
          <w:sz w:val="24"/>
          <w:szCs w:val="24"/>
          <w:lang w:eastAsia="zh-CN"/>
        </w:rPr>
        <w:t>为排污口上游</w:t>
      </w:r>
      <w:r>
        <w:rPr>
          <w:rFonts w:hint="default" w:ascii="Times New Roman" w:hAnsi="Times New Roman" w:eastAsia="宋体" w:cs="Times New Roman"/>
          <w:color w:val="auto"/>
          <w:spacing w:val="0"/>
          <w:w w:val="100"/>
          <w:sz w:val="24"/>
          <w:szCs w:val="24"/>
          <w:lang w:val="en-US" w:eastAsia="zh-CN"/>
        </w:rPr>
        <w:t>500m至</w:t>
      </w:r>
      <w:r>
        <w:rPr>
          <w:rFonts w:hint="default" w:ascii="Times New Roman" w:hAnsi="Times New Roman" w:eastAsia="宋体" w:cs="Times New Roman"/>
          <w:color w:val="auto"/>
          <w:spacing w:val="0"/>
          <w:w w:val="100"/>
          <w:sz w:val="24"/>
          <w:szCs w:val="24"/>
          <w:lang w:eastAsia="zh-CN"/>
        </w:rPr>
        <w:t>下游</w:t>
      </w:r>
      <w:r>
        <w:rPr>
          <w:rFonts w:hint="eastAsia" w:ascii="Times New Roman" w:hAnsi="Times New Roman" w:eastAsia="宋体" w:cs="Times New Roman"/>
          <w:color w:val="auto"/>
          <w:spacing w:val="0"/>
          <w:w w:val="100"/>
          <w:sz w:val="24"/>
          <w:szCs w:val="24"/>
          <w:lang w:val="en-US" w:eastAsia="zh-CN"/>
        </w:rPr>
        <w:t>15</w:t>
      </w:r>
      <w:r>
        <w:rPr>
          <w:rFonts w:hint="default" w:ascii="Times New Roman" w:hAnsi="Times New Roman" w:eastAsia="宋体" w:cs="Times New Roman"/>
          <w:color w:val="auto"/>
          <w:spacing w:val="0"/>
          <w:w w:val="100"/>
          <w:sz w:val="24"/>
          <w:szCs w:val="24"/>
          <w:lang w:val="en-US" w:eastAsia="zh-CN"/>
        </w:rPr>
        <w:t>00m</w:t>
      </w:r>
      <w:r>
        <w:rPr>
          <w:rFonts w:hint="default" w:ascii="Times New Roman" w:hAnsi="Times New Roman" w:eastAsia="宋体" w:cs="Times New Roman"/>
          <w:color w:val="auto"/>
          <w:spacing w:val="0"/>
          <w:w w:val="100"/>
          <w:sz w:val="24"/>
          <w:szCs w:val="24"/>
        </w:rPr>
        <w:t>，</w:t>
      </w:r>
      <w:r>
        <w:rPr>
          <w:rFonts w:hint="default" w:ascii="Times New Roman" w:hAnsi="Times New Roman" w:eastAsia="宋体" w:cs="Times New Roman"/>
          <w:color w:val="auto"/>
          <w:spacing w:val="0"/>
          <w:w w:val="100"/>
          <w:sz w:val="24"/>
          <w:szCs w:val="24"/>
          <w:lang w:eastAsia="zh-CN"/>
        </w:rPr>
        <w:t>经调查本项目评价范围内无地表水敏感目标</w:t>
      </w:r>
      <w:r>
        <w:rPr>
          <w:rFonts w:hint="eastAsia" w:ascii="Times New Roman" w:hAnsi="Times New Roman" w:eastAsia="宋体" w:cs="Times New Roman"/>
          <w:color w:val="auto"/>
          <w:spacing w:val="0"/>
          <w:w w:val="100"/>
          <w:sz w:val="24"/>
          <w:szCs w:val="24"/>
          <w:lang w:eastAsia="zh-CN"/>
        </w:rPr>
        <w:t>。</w:t>
      </w:r>
    </w:p>
    <w:p w14:paraId="43BCECFA">
      <w:pPr>
        <w:tabs>
          <w:tab w:val="left" w:pos="4057"/>
        </w:tabs>
        <w:spacing w:line="360" w:lineRule="auto"/>
        <w:ind w:firstLine="422" w:firstLineChars="200"/>
        <w:jc w:val="center"/>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b/>
          <w:bCs/>
          <w:color w:val="auto"/>
          <w:spacing w:val="0"/>
          <w:w w:val="100"/>
          <w:sz w:val="21"/>
          <w:szCs w:val="21"/>
        </w:rPr>
        <w:t>表</w:t>
      </w:r>
      <w:r>
        <w:rPr>
          <w:rFonts w:hint="default" w:ascii="Times New Roman" w:hAnsi="Times New Roman" w:eastAsia="宋体" w:cs="Times New Roman"/>
          <w:b/>
          <w:bCs/>
          <w:color w:val="auto"/>
          <w:spacing w:val="0"/>
          <w:w w:val="100"/>
          <w:sz w:val="21"/>
          <w:szCs w:val="21"/>
          <w:lang w:val="en-US" w:eastAsia="zh-CN"/>
        </w:rPr>
        <w:t>3-</w:t>
      </w:r>
      <w:r>
        <w:rPr>
          <w:rFonts w:hint="eastAsia" w:ascii="Times New Roman" w:hAnsi="Times New Roman" w:eastAsia="宋体" w:cs="Times New Roman"/>
          <w:b/>
          <w:bCs/>
          <w:color w:val="auto"/>
          <w:spacing w:val="0"/>
          <w:w w:val="100"/>
          <w:sz w:val="21"/>
          <w:szCs w:val="21"/>
          <w:lang w:val="en-US" w:eastAsia="zh-CN"/>
        </w:rPr>
        <w:t>4</w:t>
      </w:r>
      <w:r>
        <w:rPr>
          <w:rFonts w:hint="default" w:ascii="Times New Roman" w:hAnsi="Times New Roman" w:eastAsia="宋体" w:cs="Times New Roman"/>
          <w:b/>
          <w:bCs/>
          <w:color w:val="auto"/>
          <w:spacing w:val="0"/>
          <w:w w:val="100"/>
          <w:sz w:val="21"/>
          <w:szCs w:val="21"/>
        </w:rPr>
        <w:t xml:space="preserve"> </w:t>
      </w:r>
      <w:r>
        <w:rPr>
          <w:rFonts w:hint="eastAsia" w:ascii="Times New Roman" w:hAnsi="Times New Roman" w:eastAsia="宋体" w:cs="Times New Roman"/>
          <w:b/>
          <w:bCs/>
          <w:color w:val="auto"/>
          <w:spacing w:val="0"/>
          <w:w w:val="100"/>
          <w:sz w:val="21"/>
          <w:szCs w:val="21"/>
          <w:lang w:val="en-US" w:eastAsia="zh-CN"/>
        </w:rPr>
        <w:t xml:space="preserve">  </w:t>
      </w:r>
      <w:r>
        <w:rPr>
          <w:rFonts w:hint="default" w:ascii="Times New Roman" w:hAnsi="Times New Roman" w:eastAsia="宋体" w:cs="Times New Roman"/>
          <w:b/>
          <w:bCs/>
          <w:color w:val="auto"/>
          <w:spacing w:val="0"/>
          <w:w w:val="100"/>
          <w:sz w:val="21"/>
          <w:szCs w:val="21"/>
        </w:rPr>
        <w:t>地表水</w:t>
      </w:r>
      <w:r>
        <w:rPr>
          <w:rFonts w:hint="eastAsia" w:ascii="Times New Roman" w:hAnsi="Times New Roman" w:eastAsia="宋体" w:cs="Times New Roman"/>
          <w:b/>
          <w:bCs/>
          <w:color w:val="auto"/>
          <w:spacing w:val="0"/>
          <w:w w:val="100"/>
          <w:sz w:val="21"/>
          <w:szCs w:val="21"/>
          <w:lang w:val="en-US" w:eastAsia="zh-CN"/>
        </w:rPr>
        <w:t>敏感目标</w:t>
      </w:r>
    </w:p>
    <w:tbl>
      <w:tblPr>
        <w:tblStyle w:val="58"/>
        <w:tblW w:w="5016" w:type="pct"/>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569"/>
        <w:gridCol w:w="1503"/>
        <w:gridCol w:w="1365"/>
        <w:gridCol w:w="1303"/>
        <w:gridCol w:w="1282"/>
        <w:gridCol w:w="652"/>
        <w:gridCol w:w="860"/>
        <w:gridCol w:w="811"/>
      </w:tblGrid>
      <w:tr w14:paraId="3BCC914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340" w:type="pct"/>
            <w:vMerge w:val="restart"/>
            <w:tcBorders>
              <w:bottom w:val="nil"/>
            </w:tcBorders>
            <w:vAlign w:val="center"/>
          </w:tcPr>
          <w:p w14:paraId="7FF206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环境</w:t>
            </w:r>
          </w:p>
          <w:p w14:paraId="24D4C6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要素</w:t>
            </w:r>
          </w:p>
        </w:tc>
        <w:tc>
          <w:tcPr>
            <w:tcW w:w="900" w:type="pct"/>
            <w:vMerge w:val="restart"/>
            <w:tcBorders>
              <w:bottom w:val="nil"/>
            </w:tcBorders>
            <w:vAlign w:val="center"/>
          </w:tcPr>
          <w:p w14:paraId="35A98A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名称</w:t>
            </w:r>
          </w:p>
        </w:tc>
        <w:tc>
          <w:tcPr>
            <w:tcW w:w="1598" w:type="pct"/>
            <w:gridSpan w:val="2"/>
            <w:vAlign w:val="center"/>
          </w:tcPr>
          <w:p w14:paraId="5A142D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经纬度</w:t>
            </w:r>
            <w:r>
              <w:rPr>
                <w:rFonts w:hint="eastAsia" w:ascii="Times New Roman" w:hAnsi="Times New Roman" w:cs="Times New Roman"/>
                <w:color w:val="auto"/>
                <w:spacing w:val="0"/>
                <w:w w:val="100"/>
                <w:sz w:val="21"/>
                <w:szCs w:val="21"/>
                <w:lang w:val="en-US" w:eastAsia="zh-CN"/>
              </w:rPr>
              <w:t>（</w:t>
            </w:r>
            <w:r>
              <w:rPr>
                <w:rFonts w:hint="default" w:ascii="Times New Roman" w:hAnsi="Times New Roman" w:cs="Times New Roman"/>
                <w:color w:val="auto"/>
                <w:spacing w:val="0"/>
                <w:w w:val="100"/>
                <w:sz w:val="21"/>
                <w:szCs w:val="21"/>
                <w:lang w:val="en-US" w:eastAsia="zh-CN"/>
              </w:rPr>
              <w:t>°</w:t>
            </w:r>
            <w:r>
              <w:rPr>
                <w:rFonts w:hint="eastAsia" w:ascii="Times New Roman" w:hAnsi="Times New Roman" w:cs="Times New Roman"/>
                <w:color w:val="auto"/>
                <w:spacing w:val="0"/>
                <w:w w:val="100"/>
                <w:sz w:val="21"/>
                <w:szCs w:val="21"/>
                <w:lang w:val="en-US" w:eastAsia="zh-CN"/>
              </w:rPr>
              <w:t>）</w:t>
            </w:r>
          </w:p>
        </w:tc>
        <w:tc>
          <w:tcPr>
            <w:tcW w:w="768" w:type="pct"/>
            <w:vMerge w:val="restart"/>
            <w:tcBorders>
              <w:bottom w:val="nil"/>
            </w:tcBorders>
            <w:vAlign w:val="center"/>
          </w:tcPr>
          <w:p w14:paraId="7DEB2B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保护对象</w:t>
            </w:r>
          </w:p>
        </w:tc>
        <w:tc>
          <w:tcPr>
            <w:tcW w:w="390" w:type="pct"/>
            <w:vMerge w:val="restart"/>
            <w:tcBorders>
              <w:bottom w:val="nil"/>
            </w:tcBorders>
            <w:vAlign w:val="center"/>
          </w:tcPr>
          <w:p w14:paraId="1AD60F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保护</w:t>
            </w:r>
          </w:p>
          <w:p w14:paraId="68181C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内容</w:t>
            </w:r>
          </w:p>
        </w:tc>
        <w:tc>
          <w:tcPr>
            <w:tcW w:w="515" w:type="pct"/>
            <w:vMerge w:val="restart"/>
            <w:tcBorders>
              <w:bottom w:val="nil"/>
            </w:tcBorders>
            <w:vAlign w:val="center"/>
          </w:tcPr>
          <w:p w14:paraId="297E96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相对规</w:t>
            </w:r>
          </w:p>
          <w:p w14:paraId="4879AE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划区方</w:t>
            </w:r>
          </w:p>
          <w:p w14:paraId="10A81D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位</w:t>
            </w:r>
          </w:p>
        </w:tc>
        <w:tc>
          <w:tcPr>
            <w:tcW w:w="486" w:type="pct"/>
            <w:vMerge w:val="restart"/>
            <w:tcBorders>
              <w:bottom w:val="nil"/>
            </w:tcBorders>
            <w:vAlign w:val="center"/>
          </w:tcPr>
          <w:p w14:paraId="5CDFBB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相对规</w:t>
            </w:r>
          </w:p>
          <w:p w14:paraId="55B832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划区距</w:t>
            </w:r>
          </w:p>
          <w:p w14:paraId="1ABD40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离/m</w:t>
            </w:r>
          </w:p>
        </w:tc>
      </w:tr>
      <w:tr w14:paraId="430205B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340" w:type="pct"/>
            <w:vMerge w:val="continue"/>
            <w:tcBorders>
              <w:top w:val="nil"/>
            </w:tcBorders>
            <w:vAlign w:val="center"/>
          </w:tcPr>
          <w:p w14:paraId="1A495F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p>
        </w:tc>
        <w:tc>
          <w:tcPr>
            <w:tcW w:w="900" w:type="pct"/>
            <w:vMerge w:val="continue"/>
            <w:tcBorders>
              <w:top w:val="nil"/>
            </w:tcBorders>
            <w:vAlign w:val="center"/>
          </w:tcPr>
          <w:p w14:paraId="6F1CA0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p>
        </w:tc>
        <w:tc>
          <w:tcPr>
            <w:tcW w:w="817" w:type="pct"/>
            <w:vAlign w:val="center"/>
          </w:tcPr>
          <w:p w14:paraId="4B6B85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经度</w:t>
            </w:r>
          </w:p>
        </w:tc>
        <w:tc>
          <w:tcPr>
            <w:tcW w:w="780" w:type="pct"/>
            <w:vAlign w:val="center"/>
          </w:tcPr>
          <w:p w14:paraId="524F21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纬度</w:t>
            </w:r>
          </w:p>
        </w:tc>
        <w:tc>
          <w:tcPr>
            <w:tcW w:w="768" w:type="pct"/>
            <w:vMerge w:val="continue"/>
            <w:tcBorders>
              <w:top w:val="nil"/>
            </w:tcBorders>
            <w:vAlign w:val="center"/>
          </w:tcPr>
          <w:p w14:paraId="60E912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p>
        </w:tc>
        <w:tc>
          <w:tcPr>
            <w:tcW w:w="390" w:type="pct"/>
            <w:vMerge w:val="continue"/>
            <w:tcBorders>
              <w:top w:val="nil"/>
            </w:tcBorders>
            <w:vAlign w:val="center"/>
          </w:tcPr>
          <w:p w14:paraId="2DFEAB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p>
        </w:tc>
        <w:tc>
          <w:tcPr>
            <w:tcW w:w="515" w:type="pct"/>
            <w:vMerge w:val="continue"/>
            <w:tcBorders>
              <w:top w:val="nil"/>
            </w:tcBorders>
            <w:vAlign w:val="center"/>
          </w:tcPr>
          <w:p w14:paraId="0D73DF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p>
        </w:tc>
        <w:tc>
          <w:tcPr>
            <w:tcW w:w="486" w:type="pct"/>
            <w:vMerge w:val="continue"/>
            <w:tcBorders>
              <w:top w:val="nil"/>
            </w:tcBorders>
            <w:vAlign w:val="center"/>
          </w:tcPr>
          <w:p w14:paraId="4DAB2E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p>
        </w:tc>
      </w:tr>
      <w:tr w14:paraId="37F0260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6" w:hRule="atLeast"/>
        </w:trPr>
        <w:tc>
          <w:tcPr>
            <w:tcW w:w="340" w:type="pct"/>
            <w:vMerge w:val="restart"/>
            <w:vAlign w:val="center"/>
          </w:tcPr>
          <w:p w14:paraId="274F95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地表水环境</w:t>
            </w:r>
          </w:p>
        </w:tc>
        <w:tc>
          <w:tcPr>
            <w:tcW w:w="900" w:type="pct"/>
            <w:shd w:val="clear" w:color="auto" w:fill="auto"/>
            <w:vAlign w:val="center"/>
          </w:tcPr>
          <w:p w14:paraId="7DED48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en-US"/>
              </w:rPr>
            </w:pPr>
            <w:r>
              <w:rPr>
                <w:rFonts w:hint="default" w:ascii="Times New Roman" w:hAnsi="Times New Roman" w:cs="Times New Roman"/>
                <w:color w:val="auto"/>
                <w:spacing w:val="0"/>
                <w:w w:val="100"/>
                <w:sz w:val="21"/>
                <w:szCs w:val="21"/>
                <w:lang w:val="en-US" w:eastAsia="zh-CN"/>
              </w:rPr>
              <w:t>千河国家级水种质资源保护区</w:t>
            </w:r>
          </w:p>
        </w:tc>
        <w:tc>
          <w:tcPr>
            <w:tcW w:w="817" w:type="pct"/>
            <w:vMerge w:val="restart"/>
            <w:tcBorders>
              <w:right w:val="single" w:color="auto" w:sz="4" w:space="0"/>
            </w:tcBorders>
            <w:vAlign w:val="center"/>
          </w:tcPr>
          <w:p w14:paraId="256399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106.910429633</w:t>
            </w:r>
          </w:p>
        </w:tc>
        <w:tc>
          <w:tcPr>
            <w:tcW w:w="780" w:type="pct"/>
            <w:vMerge w:val="restart"/>
            <w:tcBorders>
              <w:left w:val="single" w:color="auto" w:sz="4" w:space="0"/>
            </w:tcBorders>
            <w:vAlign w:val="center"/>
          </w:tcPr>
          <w:p w14:paraId="7F6475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34.852949029</w:t>
            </w:r>
          </w:p>
        </w:tc>
        <w:tc>
          <w:tcPr>
            <w:tcW w:w="768" w:type="pct"/>
            <w:vMerge w:val="restart"/>
            <w:vAlign w:val="center"/>
          </w:tcPr>
          <w:p w14:paraId="7DF974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保护物种：青虾、鲤、鲫、鲇和黄颡鱼等</w:t>
            </w:r>
          </w:p>
        </w:tc>
        <w:tc>
          <w:tcPr>
            <w:tcW w:w="390" w:type="pct"/>
            <w:vMerge w:val="restart"/>
            <w:vAlign w:val="center"/>
          </w:tcPr>
          <w:p w14:paraId="20523C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栖息地</w:t>
            </w:r>
          </w:p>
        </w:tc>
        <w:tc>
          <w:tcPr>
            <w:tcW w:w="515" w:type="pct"/>
            <w:vMerge w:val="restart"/>
            <w:vAlign w:val="center"/>
          </w:tcPr>
          <w:p w14:paraId="7FC508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lang w:val="en-US" w:eastAsia="zh-CN"/>
              </w:rPr>
              <w:t>W</w:t>
            </w:r>
          </w:p>
        </w:tc>
        <w:tc>
          <w:tcPr>
            <w:tcW w:w="486" w:type="pct"/>
            <w:vMerge w:val="restart"/>
            <w:vAlign w:val="center"/>
          </w:tcPr>
          <w:p w14:paraId="3F408D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70</w:t>
            </w:r>
          </w:p>
        </w:tc>
      </w:tr>
      <w:tr w14:paraId="63F06C4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340" w:type="pct"/>
            <w:vMerge w:val="continue"/>
            <w:vAlign w:val="center"/>
          </w:tcPr>
          <w:p w14:paraId="3CE233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eastAsia" w:ascii="Times New Roman" w:hAnsi="Times New Roman" w:cs="Times New Roman"/>
                <w:color w:val="auto"/>
                <w:spacing w:val="0"/>
                <w:w w:val="100"/>
                <w:sz w:val="21"/>
                <w:szCs w:val="21"/>
                <w:lang w:val="en-US" w:eastAsia="zh-CN"/>
              </w:rPr>
            </w:pPr>
          </w:p>
        </w:tc>
        <w:tc>
          <w:tcPr>
            <w:tcW w:w="900" w:type="pct"/>
            <w:shd w:val="clear" w:color="auto" w:fill="auto"/>
            <w:vAlign w:val="center"/>
          </w:tcPr>
          <w:p w14:paraId="33AC08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千河湿地</w:t>
            </w:r>
          </w:p>
        </w:tc>
        <w:tc>
          <w:tcPr>
            <w:tcW w:w="817" w:type="pct"/>
            <w:vMerge w:val="continue"/>
            <w:tcBorders>
              <w:right w:val="single" w:color="auto" w:sz="4" w:space="0"/>
            </w:tcBorders>
            <w:vAlign w:val="center"/>
          </w:tcPr>
          <w:p w14:paraId="09DD6A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p>
        </w:tc>
        <w:tc>
          <w:tcPr>
            <w:tcW w:w="780" w:type="pct"/>
            <w:vMerge w:val="continue"/>
            <w:tcBorders>
              <w:left w:val="single" w:color="auto" w:sz="4" w:space="0"/>
            </w:tcBorders>
            <w:vAlign w:val="center"/>
          </w:tcPr>
          <w:p w14:paraId="4E2258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p>
        </w:tc>
        <w:tc>
          <w:tcPr>
            <w:tcW w:w="768" w:type="pct"/>
            <w:vMerge w:val="continue"/>
            <w:vAlign w:val="center"/>
          </w:tcPr>
          <w:p w14:paraId="4C0744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eastAsia" w:ascii="Times New Roman" w:hAnsi="Times New Roman" w:cs="Times New Roman"/>
                <w:color w:val="auto"/>
                <w:spacing w:val="0"/>
                <w:w w:val="100"/>
                <w:sz w:val="21"/>
                <w:szCs w:val="21"/>
                <w:lang w:val="en-US" w:eastAsia="zh-CN"/>
              </w:rPr>
            </w:pPr>
          </w:p>
        </w:tc>
        <w:tc>
          <w:tcPr>
            <w:tcW w:w="390" w:type="pct"/>
            <w:vMerge w:val="continue"/>
            <w:vAlign w:val="center"/>
          </w:tcPr>
          <w:p w14:paraId="1DAF40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eastAsia" w:ascii="Times New Roman" w:hAnsi="Times New Roman" w:cs="Times New Roman"/>
                <w:color w:val="auto"/>
                <w:spacing w:val="0"/>
                <w:w w:val="100"/>
                <w:sz w:val="21"/>
                <w:szCs w:val="21"/>
                <w:lang w:val="en-US" w:eastAsia="zh-CN"/>
              </w:rPr>
            </w:pPr>
          </w:p>
        </w:tc>
        <w:tc>
          <w:tcPr>
            <w:tcW w:w="515" w:type="pct"/>
            <w:vMerge w:val="continue"/>
            <w:vAlign w:val="center"/>
          </w:tcPr>
          <w:p w14:paraId="151725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pacing w:val="0"/>
                <w:w w:val="100"/>
                <w:sz w:val="21"/>
                <w:szCs w:val="21"/>
                <w:lang w:val="en-US" w:eastAsia="zh-CN"/>
              </w:rPr>
            </w:pPr>
          </w:p>
        </w:tc>
        <w:tc>
          <w:tcPr>
            <w:tcW w:w="486" w:type="pct"/>
            <w:vMerge w:val="continue"/>
            <w:vAlign w:val="center"/>
          </w:tcPr>
          <w:p w14:paraId="100737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eastAsia" w:ascii="Times New Roman" w:hAnsi="Times New Roman" w:cs="Times New Roman"/>
                <w:color w:val="auto"/>
                <w:spacing w:val="0"/>
                <w:w w:val="100"/>
                <w:sz w:val="21"/>
                <w:szCs w:val="21"/>
                <w:lang w:val="en-US" w:eastAsia="zh-CN"/>
              </w:rPr>
            </w:pPr>
          </w:p>
        </w:tc>
      </w:tr>
    </w:tbl>
    <w:p w14:paraId="4F9FE421">
      <w:pPr>
        <w:keepNext w:val="0"/>
        <w:keepLines w:val="0"/>
        <w:widowControl/>
        <w:suppressLineNumbers w:val="0"/>
        <w:jc w:val="left"/>
        <w:rPr>
          <w:color w:val="auto"/>
        </w:rPr>
      </w:pPr>
      <w:r>
        <w:rPr>
          <w:rFonts w:hint="eastAsia" w:ascii="Times New Roman" w:hAnsi="Times New Roman" w:eastAsia="宋体" w:cs="Times New Roman"/>
          <w:b/>
          <w:color w:val="auto"/>
          <w:spacing w:val="0"/>
          <w:w w:val="100"/>
          <w:kern w:val="2"/>
          <w:sz w:val="28"/>
          <w:szCs w:val="28"/>
          <w:lang w:val="en-US" w:eastAsia="zh-CN" w:bidi="ar-SA"/>
        </w:rPr>
        <w:t>3.5、水文参数调查</w:t>
      </w:r>
    </w:p>
    <w:p w14:paraId="5A4479C9">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eastAsia" w:ascii="Times New Roman" w:hAnsi="Times New Roman" w:eastAsia="宋体" w:cs="Times New Roman"/>
          <w:color w:val="auto"/>
          <w:spacing w:val="0"/>
          <w:w w:val="100"/>
          <w:sz w:val="24"/>
          <w:szCs w:val="24"/>
          <w:lang w:val="en-US" w:eastAsia="zh-CN"/>
        </w:rPr>
        <w:t>1、</w:t>
      </w:r>
      <w:r>
        <w:rPr>
          <w:rFonts w:hint="eastAsia" w:ascii="Times New Roman" w:hAnsi="Times New Roman" w:eastAsia="宋体" w:cs="Times New Roman"/>
          <w:color w:val="auto"/>
          <w:spacing w:val="0"/>
          <w:w w:val="100"/>
          <w:sz w:val="24"/>
          <w:szCs w:val="24"/>
          <w:lang w:val="zh-CN" w:eastAsia="zh-CN"/>
        </w:rPr>
        <w:t>河名</w:t>
      </w:r>
    </w:p>
    <w:p w14:paraId="6284F576">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default" w:ascii="Times New Roman" w:hAnsi="Times New Roman" w:eastAsia="宋体" w:cs="Times New Roman"/>
          <w:color w:val="auto"/>
          <w:spacing w:val="0"/>
          <w:w w:val="100"/>
          <w:sz w:val="24"/>
          <w:szCs w:val="24"/>
          <w:lang w:val="zh-CN" w:eastAsia="zh-CN"/>
        </w:rPr>
        <w:t>千河，古称汧河，因流经千山脚下故称千河，为渭河左岸较大支流之一，发源于甘肃六盘山南坡石嘴梁南侧（一说张家川县，一说华亭县境内），于陕西省陈仓区底店汇入渭河；流经甘肃张家川、陕西陇县、千阳县、凤翔县、陈仓区，流域面积3493平方公里，干流总长152.6公里，河道平均比降为0.58%。</w:t>
      </w:r>
    </w:p>
    <w:p w14:paraId="7568199E">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eastAsia" w:ascii="Times New Roman" w:hAnsi="Times New Roman" w:eastAsia="宋体" w:cs="Times New Roman"/>
          <w:color w:val="auto"/>
          <w:spacing w:val="0"/>
          <w:w w:val="100"/>
          <w:sz w:val="24"/>
          <w:szCs w:val="24"/>
          <w:lang w:val="en-US" w:eastAsia="zh-CN"/>
        </w:rPr>
        <w:t>2、</w:t>
      </w:r>
      <w:r>
        <w:rPr>
          <w:rFonts w:hint="eastAsia" w:ascii="Times New Roman" w:hAnsi="Times New Roman" w:eastAsia="宋体" w:cs="Times New Roman"/>
          <w:color w:val="auto"/>
          <w:spacing w:val="0"/>
          <w:w w:val="100"/>
          <w:sz w:val="24"/>
          <w:szCs w:val="24"/>
          <w:lang w:val="zh-CN" w:eastAsia="zh-CN"/>
        </w:rPr>
        <w:t>河流状况</w:t>
      </w:r>
    </w:p>
    <w:p w14:paraId="2C79B40D">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eastAsia" w:ascii="Times New Roman" w:hAnsi="Times New Roman" w:eastAsia="宋体" w:cs="Times New Roman"/>
          <w:color w:val="auto"/>
          <w:spacing w:val="0"/>
          <w:w w:val="100"/>
          <w:sz w:val="24"/>
          <w:szCs w:val="24"/>
          <w:lang w:val="zh-CN" w:eastAsia="zh-CN"/>
        </w:rPr>
        <w:t>2.1源头。</w:t>
      </w:r>
      <w:r>
        <w:rPr>
          <w:rFonts w:hint="eastAsia" w:ascii="Times New Roman" w:hAnsi="Times New Roman" w:eastAsia="宋体" w:cs="Times New Roman"/>
          <w:color w:val="auto"/>
          <w:spacing w:val="0"/>
          <w:w w:val="100"/>
          <w:sz w:val="24"/>
          <w:szCs w:val="24"/>
          <w:lang w:val="en-US" w:eastAsia="zh-CN"/>
        </w:rPr>
        <w:t>发源于甘肃省华亭县麻庵乡庙岭梁，从县境西部固关乡唐家河入境，至东风镇交界村出境入千阳县。</w:t>
      </w:r>
    </w:p>
    <w:p w14:paraId="3A8C54F4">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eastAsia" w:ascii="Times New Roman" w:hAnsi="Times New Roman" w:eastAsia="宋体" w:cs="Times New Roman"/>
          <w:color w:val="auto"/>
          <w:spacing w:val="0"/>
          <w:w w:val="100"/>
          <w:sz w:val="24"/>
          <w:szCs w:val="24"/>
          <w:lang w:val="zh-CN" w:eastAsia="zh-CN"/>
        </w:rPr>
        <w:t>2.2干流：</w:t>
      </w:r>
      <w:r>
        <w:rPr>
          <w:rFonts w:hint="eastAsia" w:ascii="Times New Roman" w:hAnsi="Times New Roman" w:eastAsia="宋体" w:cs="Times New Roman"/>
          <w:color w:val="auto"/>
          <w:spacing w:val="0"/>
          <w:w w:val="100"/>
          <w:sz w:val="24"/>
          <w:szCs w:val="24"/>
          <w:lang w:val="en-US" w:eastAsia="zh-CN"/>
        </w:rPr>
        <w:t>千河横贯全县东西，境内流长68.8公里。河床平均比降1:135，河道宽阔，漫滩较多。流域面积1957.9平方公里，占县境内渭河水系流域总面积的90%，占全县土地面积的85.60%。年径流量3.3亿立方米，多年平均流量5.6立方米／秒。千河上游比降大，水流湍急，属花岗岩、灰岩、砂岩、片麻岩山区，植被良好；下游河谷阶地较宽，土地肥沃，灌溉条件较好，为宜农区。</w:t>
      </w:r>
    </w:p>
    <w:p w14:paraId="424AEAD2">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zh-CN" w:eastAsia="zh-CN"/>
        </w:rPr>
        <w:t>2.3汇入河流：</w:t>
      </w:r>
      <w:r>
        <w:rPr>
          <w:rFonts w:hint="eastAsia" w:ascii="Times New Roman" w:hAnsi="Times New Roman" w:eastAsia="宋体" w:cs="Times New Roman"/>
          <w:color w:val="auto"/>
          <w:spacing w:val="0"/>
          <w:w w:val="100"/>
          <w:sz w:val="24"/>
          <w:szCs w:val="24"/>
          <w:lang w:val="en-US" w:eastAsia="zh-CN"/>
        </w:rPr>
        <w:t>县内流入千河的支流北侧有24条，南侧有25条。流域面积在100平方公里以上的有石关沟河、咸宜河、蒲峪河、大杜阳沟河、梨林河、峡口河、杨家河、苏家河等10条，其中主要的7条</w:t>
      </w:r>
    </w:p>
    <w:p w14:paraId="7A59268E">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eastAsia" w:ascii="Times New Roman" w:hAnsi="Times New Roman" w:eastAsia="宋体" w:cs="Times New Roman"/>
          <w:color w:val="auto"/>
          <w:spacing w:val="0"/>
          <w:w w:val="100"/>
          <w:sz w:val="24"/>
          <w:szCs w:val="24"/>
          <w:lang w:val="zh-CN" w:eastAsia="zh-CN"/>
        </w:rPr>
        <w:t>3、河流水系</w:t>
      </w:r>
    </w:p>
    <w:p w14:paraId="7EE162C2">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eastAsia" w:ascii="Times New Roman" w:hAnsi="Times New Roman" w:eastAsia="宋体" w:cs="Times New Roman"/>
          <w:color w:val="auto"/>
          <w:spacing w:val="0"/>
          <w:w w:val="100"/>
          <w:sz w:val="24"/>
          <w:szCs w:val="24"/>
          <w:lang w:val="en-US" w:eastAsia="zh-CN"/>
        </w:rPr>
        <w:t>千河属于渭河水系。</w:t>
      </w:r>
    </w:p>
    <w:p w14:paraId="5C1657D8">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eastAsia" w:ascii="Times New Roman" w:hAnsi="Times New Roman" w:eastAsia="宋体" w:cs="Times New Roman"/>
          <w:color w:val="auto"/>
          <w:spacing w:val="0"/>
          <w:w w:val="100"/>
          <w:sz w:val="24"/>
          <w:szCs w:val="24"/>
          <w:lang w:val="zh-CN" w:eastAsia="zh-CN"/>
        </w:rPr>
        <w:t>4、流域状况</w:t>
      </w:r>
    </w:p>
    <w:p w14:paraId="51A3E869">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eastAsia" w:ascii="Times New Roman" w:hAnsi="Times New Roman" w:eastAsia="宋体" w:cs="Times New Roman"/>
          <w:color w:val="auto"/>
          <w:spacing w:val="0"/>
          <w:w w:val="100"/>
          <w:sz w:val="24"/>
          <w:szCs w:val="24"/>
          <w:lang w:val="zh-CN" w:eastAsia="zh-CN"/>
        </w:rPr>
        <w:t>4.1流域范围：</w:t>
      </w:r>
      <w:r>
        <w:rPr>
          <w:rFonts w:hint="eastAsia" w:ascii="Times New Roman" w:hAnsi="Times New Roman" w:eastAsia="宋体" w:cs="Times New Roman"/>
          <w:color w:val="auto"/>
          <w:spacing w:val="0"/>
          <w:w w:val="100"/>
          <w:sz w:val="24"/>
          <w:szCs w:val="24"/>
          <w:lang w:val="en-US" w:eastAsia="zh-CN"/>
        </w:rPr>
        <w:t>千河横贯全县东西，境内流长68.8公里。河床平均比降1:135，河道宽阔，漫滩较多。流域面积1957.9平方公里，占县境内渭河水系流域总面积的90%，占全县土地面积的85.60%</w:t>
      </w:r>
      <w:r>
        <w:rPr>
          <w:rFonts w:hint="eastAsia" w:ascii="Times New Roman" w:hAnsi="Times New Roman" w:eastAsia="宋体" w:cs="Times New Roman"/>
          <w:color w:val="auto"/>
          <w:spacing w:val="0"/>
          <w:w w:val="100"/>
          <w:sz w:val="24"/>
          <w:szCs w:val="24"/>
          <w:lang w:val="zh-CN" w:eastAsia="zh-CN"/>
        </w:rPr>
        <w:t>。</w:t>
      </w:r>
    </w:p>
    <w:p w14:paraId="3C32728B">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eastAsia" w:ascii="Times New Roman" w:hAnsi="Times New Roman" w:eastAsia="宋体" w:cs="Times New Roman"/>
          <w:color w:val="auto"/>
          <w:spacing w:val="0"/>
          <w:w w:val="100"/>
          <w:sz w:val="24"/>
          <w:szCs w:val="24"/>
          <w:lang w:val="zh-CN" w:eastAsia="zh-CN"/>
        </w:rPr>
        <w:t>4.2流域地形地貌：流域处于河谷狭道区。</w:t>
      </w:r>
    </w:p>
    <w:p w14:paraId="3F8F3D01">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val="zh-CN" w:eastAsia="zh-CN"/>
        </w:rPr>
      </w:pPr>
      <w:r>
        <w:rPr>
          <w:rFonts w:hint="eastAsia" w:ascii="Times New Roman" w:hAnsi="Times New Roman" w:eastAsia="宋体" w:cs="Times New Roman"/>
          <w:color w:val="auto"/>
          <w:spacing w:val="0"/>
          <w:w w:val="100"/>
          <w:sz w:val="24"/>
          <w:szCs w:val="24"/>
          <w:lang w:val="zh-CN" w:eastAsia="zh-CN"/>
        </w:rPr>
        <w:t>4.3流域地质：该流域包括白垩系砂砾岩、第三系红土、白垩系砂岩。</w:t>
      </w:r>
    </w:p>
    <w:p w14:paraId="73E967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5、水文监测</w:t>
      </w:r>
    </w:p>
    <w:p w14:paraId="262F58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为了解建设项目所在地地表水环境质量现状，</w:t>
      </w:r>
      <w:r>
        <w:rPr>
          <w:rFonts w:hint="eastAsia" w:ascii="Times New Roman" w:hAnsi="Times New Roman" w:eastAsia="宋体" w:cs="Times New Roman"/>
          <w:color w:val="auto"/>
          <w:spacing w:val="0"/>
          <w:w w:val="100"/>
          <w:sz w:val="24"/>
          <w:szCs w:val="24"/>
          <w:lang w:eastAsia="zh-CN"/>
        </w:rPr>
        <w:t>本次环评</w:t>
      </w:r>
      <w:r>
        <w:rPr>
          <w:rFonts w:hint="eastAsia" w:ascii="Times New Roman" w:hAnsi="Times New Roman" w:eastAsia="宋体" w:cs="Times New Roman"/>
          <w:color w:val="auto"/>
          <w:spacing w:val="0"/>
          <w:w w:val="100"/>
          <w:sz w:val="24"/>
          <w:szCs w:val="24"/>
          <w:lang w:val="en-US" w:eastAsia="zh-CN"/>
        </w:rPr>
        <w:t>引用《陕西陇县经济技术开发区总体规划（2022-2035）环境影响报告书》中监测数据，</w:t>
      </w:r>
      <w:r>
        <w:rPr>
          <w:rFonts w:hint="default" w:ascii="Times New Roman" w:hAnsi="Times New Roman" w:eastAsia="宋体" w:cs="Times New Roman"/>
          <w:color w:val="auto"/>
          <w:spacing w:val="0"/>
          <w:w w:val="100"/>
          <w:sz w:val="24"/>
          <w:szCs w:val="28"/>
          <w:lang w:eastAsia="zh-CN"/>
        </w:rPr>
        <w:t>（</w:t>
      </w:r>
      <w:r>
        <w:rPr>
          <w:rFonts w:hint="eastAsia" w:ascii="Times New Roman" w:hAnsi="Times New Roman" w:eastAsia="宋体" w:cs="Times New Roman"/>
          <w:color w:val="auto"/>
          <w:spacing w:val="0"/>
          <w:w w:val="100"/>
          <w:sz w:val="24"/>
          <w:szCs w:val="28"/>
          <w:lang w:eastAsia="zh-CN"/>
        </w:rPr>
        <w:t>枯水期</w:t>
      </w: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8"/>
        </w:rPr>
        <w:t>20</w:t>
      </w:r>
      <w:r>
        <w:rPr>
          <w:rFonts w:hint="default" w:ascii="Times New Roman" w:hAnsi="Times New Roman" w:eastAsia="宋体" w:cs="Times New Roman"/>
          <w:color w:val="auto"/>
          <w:spacing w:val="0"/>
          <w:w w:val="100"/>
          <w:sz w:val="24"/>
          <w:szCs w:val="28"/>
          <w:lang w:val="en-US" w:eastAsia="zh-CN"/>
        </w:rPr>
        <w:t>2</w:t>
      </w:r>
      <w:r>
        <w:rPr>
          <w:rFonts w:hint="eastAsia" w:ascii="Times New Roman" w:hAnsi="Times New Roman" w:eastAsia="宋体" w:cs="Times New Roman"/>
          <w:color w:val="auto"/>
          <w:spacing w:val="0"/>
          <w:w w:val="100"/>
          <w:sz w:val="24"/>
          <w:szCs w:val="28"/>
          <w:lang w:val="en-US" w:eastAsia="zh-CN"/>
        </w:rPr>
        <w:t>3</w:t>
      </w:r>
      <w:r>
        <w:rPr>
          <w:rFonts w:hint="default" w:ascii="Times New Roman" w:hAnsi="Times New Roman" w:eastAsia="宋体" w:cs="Times New Roman"/>
          <w:color w:val="auto"/>
          <w:spacing w:val="0"/>
          <w:w w:val="100"/>
          <w:sz w:val="24"/>
          <w:szCs w:val="28"/>
        </w:rPr>
        <w:t>年</w:t>
      </w:r>
      <w:r>
        <w:rPr>
          <w:rFonts w:hint="eastAsia" w:ascii="Times New Roman" w:hAnsi="Times New Roman" w:eastAsia="宋体" w:cs="Times New Roman"/>
          <w:color w:val="auto"/>
          <w:spacing w:val="0"/>
          <w:w w:val="100"/>
          <w:sz w:val="24"/>
          <w:szCs w:val="28"/>
          <w:lang w:val="en-US" w:eastAsia="zh-CN"/>
        </w:rPr>
        <w:t>3</w:t>
      </w:r>
      <w:r>
        <w:rPr>
          <w:rFonts w:hint="default" w:ascii="Times New Roman" w:hAnsi="Times New Roman" w:eastAsia="宋体" w:cs="Times New Roman"/>
          <w:color w:val="auto"/>
          <w:spacing w:val="0"/>
          <w:w w:val="100"/>
          <w:sz w:val="24"/>
          <w:szCs w:val="28"/>
        </w:rPr>
        <w:t>月</w:t>
      </w:r>
      <w:r>
        <w:rPr>
          <w:rFonts w:hint="eastAsia" w:ascii="Times New Roman" w:hAnsi="Times New Roman" w:eastAsia="宋体" w:cs="Times New Roman"/>
          <w:color w:val="auto"/>
          <w:spacing w:val="0"/>
          <w:w w:val="100"/>
          <w:sz w:val="24"/>
          <w:szCs w:val="28"/>
          <w:lang w:val="en-US" w:eastAsia="zh-CN"/>
        </w:rPr>
        <w:t>7</w:t>
      </w:r>
      <w:r>
        <w:rPr>
          <w:rFonts w:hint="default" w:ascii="Times New Roman" w:hAnsi="Times New Roman" w:eastAsia="宋体" w:cs="Times New Roman"/>
          <w:color w:val="auto"/>
          <w:spacing w:val="0"/>
          <w:w w:val="100"/>
          <w:sz w:val="24"/>
          <w:szCs w:val="28"/>
        </w:rPr>
        <w:t>日</w:t>
      </w:r>
      <w:r>
        <w:rPr>
          <w:rFonts w:hint="eastAsia" w:ascii="Times New Roman" w:hAnsi="Times New Roman" w:eastAsia="宋体" w:cs="Times New Roman"/>
          <w:color w:val="auto"/>
          <w:spacing w:val="0"/>
          <w:w w:val="100"/>
          <w:sz w:val="24"/>
          <w:szCs w:val="28"/>
          <w:lang w:eastAsia="zh-CN"/>
        </w:rPr>
        <w:t>—</w:t>
      </w:r>
      <w:r>
        <w:rPr>
          <w:rFonts w:hint="eastAsia" w:ascii="Times New Roman" w:hAnsi="Times New Roman" w:eastAsia="宋体" w:cs="Times New Roman"/>
          <w:color w:val="auto"/>
          <w:spacing w:val="0"/>
          <w:w w:val="100"/>
          <w:sz w:val="24"/>
          <w:szCs w:val="28"/>
          <w:lang w:val="en-US" w:eastAsia="zh-CN"/>
        </w:rPr>
        <w:t>9</w:t>
      </w:r>
      <w:r>
        <w:rPr>
          <w:rFonts w:hint="default" w:ascii="Times New Roman" w:hAnsi="Times New Roman" w:eastAsia="宋体" w:cs="Times New Roman"/>
          <w:color w:val="auto"/>
          <w:spacing w:val="0"/>
          <w:w w:val="100"/>
          <w:sz w:val="24"/>
          <w:szCs w:val="28"/>
        </w:rPr>
        <w:t>日</w:t>
      </w: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4"/>
          <w:lang w:eastAsia="zh-CN"/>
        </w:rPr>
        <w:t>对项目</w:t>
      </w:r>
      <w:r>
        <w:rPr>
          <w:rFonts w:hint="eastAsia" w:ascii="Times New Roman" w:hAnsi="Times New Roman" w:eastAsia="宋体" w:cs="Times New Roman"/>
          <w:color w:val="auto"/>
          <w:spacing w:val="0"/>
          <w:w w:val="100"/>
          <w:sz w:val="24"/>
          <w:szCs w:val="24"/>
          <w:lang w:val="en-US" w:eastAsia="zh-CN"/>
        </w:rPr>
        <w:t>区</w:t>
      </w:r>
      <w:r>
        <w:rPr>
          <w:rFonts w:hint="default" w:ascii="Times New Roman" w:hAnsi="Times New Roman" w:eastAsia="宋体" w:cs="Times New Roman"/>
          <w:color w:val="auto"/>
          <w:spacing w:val="0"/>
          <w:w w:val="100"/>
          <w:sz w:val="24"/>
          <w:szCs w:val="24"/>
          <w:lang w:eastAsia="zh-CN"/>
        </w:rPr>
        <w:t>上下游的地表水体</w:t>
      </w:r>
      <w:r>
        <w:rPr>
          <w:rFonts w:hint="eastAsia" w:ascii="Times New Roman" w:hAnsi="Times New Roman" w:eastAsia="宋体" w:cs="Times New Roman"/>
          <w:color w:val="auto"/>
          <w:spacing w:val="0"/>
          <w:w w:val="100"/>
          <w:sz w:val="24"/>
          <w:szCs w:val="24"/>
          <w:lang w:eastAsia="zh-CN"/>
        </w:rPr>
        <w:t>水文资料</w:t>
      </w:r>
      <w:r>
        <w:rPr>
          <w:rFonts w:hint="default" w:ascii="Times New Roman" w:hAnsi="Times New Roman" w:eastAsia="宋体" w:cs="Times New Roman"/>
          <w:color w:val="auto"/>
          <w:spacing w:val="0"/>
          <w:w w:val="100"/>
          <w:sz w:val="24"/>
          <w:szCs w:val="24"/>
          <w:lang w:eastAsia="zh-CN"/>
        </w:rPr>
        <w:t>进行了环境现状监测。</w:t>
      </w:r>
    </w:p>
    <w:p w14:paraId="79EF2B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8"/>
        </w:rPr>
      </w:pP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8"/>
          <w:lang w:val="en-US" w:eastAsia="zh-CN"/>
        </w:rPr>
        <w:t>1</w:t>
      </w: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8"/>
        </w:rPr>
        <w:t>监测布点</w:t>
      </w: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8"/>
        </w:rPr>
        <w:t>地</w:t>
      </w:r>
      <w:r>
        <w:rPr>
          <w:rFonts w:hint="default" w:ascii="Times New Roman" w:hAnsi="Times New Roman" w:eastAsia="宋体" w:cs="Times New Roman"/>
          <w:color w:val="auto"/>
          <w:spacing w:val="0"/>
          <w:w w:val="100"/>
          <w:sz w:val="24"/>
          <w:szCs w:val="28"/>
          <w:lang w:eastAsia="zh-CN"/>
        </w:rPr>
        <w:t>表</w:t>
      </w:r>
      <w:r>
        <w:rPr>
          <w:rFonts w:hint="default" w:ascii="Times New Roman" w:hAnsi="Times New Roman" w:eastAsia="宋体" w:cs="Times New Roman"/>
          <w:color w:val="auto"/>
          <w:spacing w:val="0"/>
          <w:w w:val="100"/>
          <w:sz w:val="24"/>
          <w:szCs w:val="28"/>
        </w:rPr>
        <w:t>水监测断面见图</w:t>
      </w:r>
      <w:r>
        <w:rPr>
          <w:rFonts w:hint="default" w:ascii="Times New Roman" w:hAnsi="Times New Roman" w:eastAsia="宋体" w:cs="Times New Roman"/>
          <w:color w:val="auto"/>
          <w:spacing w:val="0"/>
          <w:w w:val="100"/>
          <w:sz w:val="24"/>
          <w:szCs w:val="28"/>
          <w:lang w:val="en-US" w:eastAsia="zh-CN"/>
        </w:rPr>
        <w:t>3-1</w:t>
      </w:r>
      <w:r>
        <w:rPr>
          <w:rFonts w:hint="default" w:ascii="Times New Roman" w:hAnsi="Times New Roman" w:eastAsia="宋体" w:cs="Times New Roman"/>
          <w:color w:val="auto"/>
          <w:spacing w:val="0"/>
          <w:w w:val="100"/>
          <w:sz w:val="24"/>
          <w:szCs w:val="28"/>
        </w:rPr>
        <w:t>：</w:t>
      </w:r>
    </w:p>
    <w:p w14:paraId="74FBE7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8"/>
          <w:lang w:val="en-US" w:eastAsia="zh-CN"/>
        </w:rPr>
        <w:t>2</w:t>
      </w: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8"/>
        </w:rPr>
        <w:t>监测项目</w:t>
      </w:r>
      <w:r>
        <w:rPr>
          <w:rFonts w:hint="default" w:ascii="Times New Roman" w:hAnsi="Times New Roman" w:eastAsia="宋体" w:cs="Times New Roman"/>
          <w:color w:val="auto"/>
          <w:spacing w:val="0"/>
          <w:w w:val="100"/>
          <w:sz w:val="24"/>
          <w:szCs w:val="28"/>
          <w:lang w:eastAsia="zh-CN"/>
        </w:rPr>
        <w:t>：</w:t>
      </w:r>
      <w:r>
        <w:rPr>
          <w:rFonts w:hint="eastAsia" w:ascii="Times New Roman" w:hAnsi="Times New Roman" w:eastAsia="宋体" w:cs="Times New Roman"/>
          <w:color w:val="auto"/>
          <w:spacing w:val="0"/>
          <w:w w:val="100"/>
          <w:sz w:val="24"/>
          <w:szCs w:val="24"/>
          <w:lang w:eastAsia="zh-CN"/>
        </w:rPr>
        <w:t>流速、河宽</w:t>
      </w:r>
      <w:r>
        <w:rPr>
          <w:rFonts w:hint="default" w:ascii="Times New Roman" w:hAnsi="Times New Roman" w:eastAsia="宋体" w:cs="Times New Roman"/>
          <w:color w:val="auto"/>
          <w:spacing w:val="0"/>
          <w:w w:val="100"/>
          <w:sz w:val="24"/>
          <w:szCs w:val="24"/>
          <w:lang w:eastAsia="zh-CN"/>
        </w:rPr>
        <w:t>。</w:t>
      </w:r>
    </w:p>
    <w:p w14:paraId="338337F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8"/>
          <w:lang w:eastAsia="zh-CN"/>
        </w:rPr>
      </w:pP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8"/>
          <w:lang w:val="en-US" w:eastAsia="zh-CN"/>
        </w:rPr>
        <w:t>3</w:t>
      </w:r>
      <w:r>
        <w:rPr>
          <w:rFonts w:hint="default" w:ascii="Times New Roman" w:hAnsi="Times New Roman" w:eastAsia="宋体" w:cs="Times New Roman"/>
          <w:color w:val="auto"/>
          <w:spacing w:val="0"/>
          <w:w w:val="100"/>
          <w:sz w:val="24"/>
          <w:szCs w:val="28"/>
          <w:lang w:eastAsia="zh-CN"/>
        </w:rPr>
        <w:t>）</w:t>
      </w:r>
      <w:r>
        <w:rPr>
          <w:rFonts w:hint="default" w:ascii="Times New Roman" w:hAnsi="Times New Roman" w:eastAsia="宋体" w:cs="Times New Roman"/>
          <w:color w:val="auto"/>
          <w:spacing w:val="0"/>
          <w:w w:val="100"/>
          <w:sz w:val="24"/>
          <w:szCs w:val="28"/>
        </w:rPr>
        <w:t>监测时间和频率</w:t>
      </w:r>
    </w:p>
    <w:p w14:paraId="58A5CFCE">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枯水期：20</w:t>
      </w:r>
      <w:r>
        <w:rPr>
          <w:rFonts w:hint="default" w:ascii="Times New Roman" w:hAnsi="Times New Roman" w:eastAsia="宋体" w:cs="Times New Roman"/>
          <w:color w:val="auto"/>
          <w:spacing w:val="0"/>
          <w:w w:val="100"/>
          <w:sz w:val="24"/>
          <w:szCs w:val="24"/>
          <w:lang w:val="en-US" w:eastAsia="zh-CN"/>
        </w:rPr>
        <w:t>2</w:t>
      </w:r>
      <w:r>
        <w:rPr>
          <w:rFonts w:hint="eastAsia" w:ascii="Times New Roman" w:hAnsi="Times New Roman" w:eastAsia="宋体" w:cs="Times New Roman"/>
          <w:color w:val="auto"/>
          <w:spacing w:val="0"/>
          <w:w w:val="100"/>
          <w:sz w:val="24"/>
          <w:szCs w:val="24"/>
          <w:lang w:val="en-US" w:eastAsia="zh-CN"/>
        </w:rPr>
        <w:t>3</w:t>
      </w:r>
      <w:r>
        <w:rPr>
          <w:rFonts w:hint="default" w:ascii="Times New Roman" w:hAnsi="Times New Roman" w:eastAsia="宋体" w:cs="Times New Roman"/>
          <w:color w:val="auto"/>
          <w:spacing w:val="0"/>
          <w:w w:val="100"/>
          <w:sz w:val="24"/>
          <w:szCs w:val="24"/>
          <w:lang w:eastAsia="zh-CN"/>
        </w:rPr>
        <w:t>年</w:t>
      </w:r>
      <w:r>
        <w:rPr>
          <w:rFonts w:hint="eastAsia" w:ascii="Times New Roman" w:hAnsi="Times New Roman" w:eastAsia="宋体" w:cs="Times New Roman"/>
          <w:color w:val="auto"/>
          <w:spacing w:val="0"/>
          <w:w w:val="100"/>
          <w:sz w:val="24"/>
          <w:szCs w:val="24"/>
          <w:lang w:val="en-US" w:eastAsia="zh-CN"/>
        </w:rPr>
        <w:t>3</w:t>
      </w:r>
      <w:r>
        <w:rPr>
          <w:rFonts w:hint="default" w:ascii="Times New Roman" w:hAnsi="Times New Roman" w:eastAsia="宋体" w:cs="Times New Roman"/>
          <w:color w:val="auto"/>
          <w:spacing w:val="0"/>
          <w:w w:val="100"/>
          <w:sz w:val="24"/>
          <w:szCs w:val="24"/>
          <w:lang w:eastAsia="zh-CN"/>
        </w:rPr>
        <w:t>月</w:t>
      </w:r>
      <w:r>
        <w:rPr>
          <w:rFonts w:hint="eastAsia" w:ascii="Times New Roman" w:hAnsi="Times New Roman" w:eastAsia="宋体" w:cs="Times New Roman"/>
          <w:color w:val="auto"/>
          <w:spacing w:val="0"/>
          <w:w w:val="100"/>
          <w:sz w:val="24"/>
          <w:szCs w:val="24"/>
          <w:lang w:val="en-US" w:eastAsia="zh-CN"/>
        </w:rPr>
        <w:t>7</w:t>
      </w:r>
      <w:r>
        <w:rPr>
          <w:rFonts w:hint="default" w:ascii="Times New Roman" w:hAnsi="Times New Roman" w:eastAsia="宋体" w:cs="Times New Roman"/>
          <w:color w:val="auto"/>
          <w:spacing w:val="0"/>
          <w:w w:val="100"/>
          <w:sz w:val="24"/>
          <w:szCs w:val="24"/>
          <w:lang w:eastAsia="zh-CN"/>
        </w:rPr>
        <w:t>日</w:t>
      </w:r>
      <w:r>
        <w:rPr>
          <w:rFonts w:hint="eastAsia" w:ascii="Times New Roman" w:hAnsi="Times New Roman" w:eastAsia="宋体" w:cs="Times New Roman"/>
          <w:color w:val="auto"/>
          <w:spacing w:val="0"/>
          <w:w w:val="100"/>
          <w:sz w:val="24"/>
          <w:szCs w:val="24"/>
          <w:lang w:eastAsia="zh-CN"/>
        </w:rPr>
        <w:t>—</w:t>
      </w:r>
      <w:r>
        <w:rPr>
          <w:rFonts w:hint="eastAsia" w:ascii="Times New Roman" w:hAnsi="Times New Roman" w:eastAsia="宋体" w:cs="Times New Roman"/>
          <w:color w:val="auto"/>
          <w:spacing w:val="0"/>
          <w:w w:val="100"/>
          <w:sz w:val="24"/>
          <w:szCs w:val="24"/>
          <w:lang w:val="en-US" w:eastAsia="zh-CN"/>
        </w:rPr>
        <w:t>9</w:t>
      </w:r>
      <w:r>
        <w:rPr>
          <w:rFonts w:hint="default" w:ascii="Times New Roman" w:hAnsi="Times New Roman" w:eastAsia="宋体" w:cs="Times New Roman"/>
          <w:color w:val="auto"/>
          <w:spacing w:val="0"/>
          <w:w w:val="100"/>
          <w:sz w:val="24"/>
          <w:szCs w:val="24"/>
          <w:lang w:eastAsia="zh-CN"/>
        </w:rPr>
        <w:t>日，共计三天，每天</w:t>
      </w:r>
      <w:r>
        <w:rPr>
          <w:rFonts w:hint="default" w:ascii="Times New Roman" w:hAnsi="Times New Roman" w:eastAsia="宋体" w:cs="Times New Roman"/>
          <w:color w:val="auto"/>
          <w:spacing w:val="0"/>
          <w:w w:val="100"/>
          <w:sz w:val="24"/>
          <w:szCs w:val="24"/>
          <w:lang w:val="en-US" w:eastAsia="zh-CN"/>
        </w:rPr>
        <w:t>1次</w:t>
      </w:r>
      <w:r>
        <w:rPr>
          <w:rFonts w:hint="default" w:ascii="Times New Roman" w:hAnsi="Times New Roman" w:eastAsia="宋体" w:cs="Times New Roman"/>
          <w:color w:val="auto"/>
          <w:spacing w:val="0"/>
          <w:w w:val="100"/>
          <w:sz w:val="24"/>
          <w:szCs w:val="24"/>
          <w:lang w:eastAsia="zh-CN"/>
        </w:rPr>
        <w:t>。</w:t>
      </w:r>
      <w:bookmarkEnd w:id="45"/>
      <w:bookmarkEnd w:id="46"/>
    </w:p>
    <w:p w14:paraId="252DFFBE">
      <w:pPr>
        <w:tabs>
          <w:tab w:val="left" w:pos="4057"/>
        </w:tabs>
        <w:spacing w:line="360" w:lineRule="auto"/>
        <w:ind w:firstLine="480" w:firstLineChars="200"/>
        <w:rPr>
          <w:rFonts w:hint="eastAsia" w:ascii="Times New Roman" w:hAnsi="Times New Roman" w:eastAsia="宋体" w:cs="Times New Roman"/>
          <w:color w:val="auto"/>
          <w:spacing w:val="0"/>
          <w:w w:val="100"/>
          <w:sz w:val="24"/>
          <w:szCs w:val="24"/>
          <w:lang w:eastAsia="zh-CN"/>
        </w:rPr>
      </w:pPr>
      <w:bookmarkStart w:id="47" w:name="_Toc9791"/>
      <w:r>
        <w:rPr>
          <w:rFonts w:hint="eastAsia" w:ascii="Times New Roman" w:hAnsi="Times New Roman" w:eastAsia="宋体" w:cs="Times New Roman"/>
          <w:color w:val="auto"/>
          <w:spacing w:val="0"/>
          <w:w w:val="100"/>
          <w:sz w:val="24"/>
          <w:szCs w:val="24"/>
          <w:lang w:eastAsia="zh-CN"/>
        </w:rPr>
        <w:t>园区上游河宽：6m、流速：0.8m/秒、河深：0.4m、流量：1.92m</w:t>
      </w:r>
      <w:r>
        <w:rPr>
          <w:rFonts w:hint="eastAsia" w:ascii="Times New Roman" w:hAnsi="Times New Roman" w:eastAsia="宋体" w:cs="Times New Roman"/>
          <w:color w:val="auto"/>
          <w:spacing w:val="0"/>
          <w:w w:val="100"/>
          <w:sz w:val="24"/>
          <w:szCs w:val="24"/>
          <w:vertAlign w:val="superscript"/>
          <w:lang w:eastAsia="zh-CN"/>
        </w:rPr>
        <w:t>3</w:t>
      </w:r>
      <w:r>
        <w:rPr>
          <w:rFonts w:hint="eastAsia" w:ascii="Times New Roman" w:hAnsi="Times New Roman" w:eastAsia="宋体" w:cs="Times New Roman"/>
          <w:color w:val="auto"/>
          <w:spacing w:val="0"/>
          <w:w w:val="100"/>
          <w:sz w:val="24"/>
          <w:szCs w:val="24"/>
          <w:lang w:eastAsia="zh-CN"/>
        </w:rPr>
        <w:t>/秒、水温：8.9℃</w:t>
      </w:r>
    </w:p>
    <w:p w14:paraId="07DAF766">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lang w:eastAsia="zh-CN"/>
        </w:rPr>
      </w:pPr>
      <w:r>
        <w:rPr>
          <w:rFonts w:hint="eastAsia" w:ascii="Times New Roman" w:hAnsi="Times New Roman" w:eastAsia="宋体" w:cs="Times New Roman"/>
          <w:color w:val="auto"/>
          <w:spacing w:val="0"/>
          <w:w w:val="100"/>
          <w:sz w:val="24"/>
          <w:szCs w:val="24"/>
          <w:lang w:eastAsia="zh-CN"/>
        </w:rPr>
        <w:t>园区下游河宽：8m、流速：0.4m/秒、河深：0.8m、流量：2.56m</w:t>
      </w:r>
      <w:r>
        <w:rPr>
          <w:rFonts w:hint="eastAsia" w:ascii="Times New Roman" w:hAnsi="Times New Roman" w:eastAsia="宋体" w:cs="Times New Roman"/>
          <w:color w:val="auto"/>
          <w:spacing w:val="0"/>
          <w:w w:val="100"/>
          <w:sz w:val="24"/>
          <w:szCs w:val="24"/>
          <w:vertAlign w:val="superscript"/>
          <w:lang w:eastAsia="zh-CN"/>
        </w:rPr>
        <w:t>3</w:t>
      </w:r>
      <w:r>
        <w:rPr>
          <w:rFonts w:hint="eastAsia" w:ascii="Times New Roman" w:hAnsi="Times New Roman" w:eastAsia="宋体" w:cs="Times New Roman"/>
          <w:color w:val="auto"/>
          <w:spacing w:val="0"/>
          <w:w w:val="100"/>
          <w:sz w:val="24"/>
          <w:szCs w:val="24"/>
          <w:lang w:eastAsia="zh-CN"/>
        </w:rPr>
        <w:t>/秒、水温：8.8℃</w:t>
      </w:r>
      <w:r>
        <w:rPr>
          <w:rFonts w:hint="default" w:ascii="Times New Roman" w:hAnsi="Times New Roman" w:eastAsia="宋体" w:cs="Times New Roman"/>
          <w:color w:val="auto"/>
          <w:spacing w:val="0"/>
          <w:w w:val="100"/>
          <w:sz w:val="24"/>
          <w:szCs w:val="24"/>
          <w:lang w:eastAsia="zh-CN"/>
        </w:rPr>
        <w:t>。</w:t>
      </w:r>
    </w:p>
    <w:p w14:paraId="25A966C0">
      <w:pPr>
        <w:tabs>
          <w:tab w:val="left" w:pos="4057"/>
        </w:tabs>
        <w:spacing w:line="360" w:lineRule="auto"/>
        <w:ind w:firstLine="420" w:firstLineChars="200"/>
        <w:rPr>
          <w:rFonts w:hint="eastAsia" w:ascii="Times New Roman" w:hAnsi="Times New Roman" w:eastAsia="宋体" w:cs="Times New Roman"/>
          <w:color w:val="auto"/>
          <w:spacing w:val="0"/>
          <w:w w:val="100"/>
          <w:sz w:val="24"/>
          <w:szCs w:val="24"/>
          <w:lang w:val="zh-CN" w:eastAsia="zh-CN"/>
        </w:rPr>
      </w:pPr>
      <w:r>
        <w:rPr>
          <w:rFonts w:hint="default" w:ascii="Times New Roman" w:hAnsi="Times New Roman" w:eastAsia="宋体" w:cs="Times New Roman"/>
          <w:color w:val="auto"/>
          <w:spacing w:val="0"/>
          <w:w w:val="100"/>
          <w:sz w:val="21"/>
          <w:szCs w:val="24"/>
        </w:rPr>
        <w:br w:type="page"/>
      </w:r>
    </w:p>
    <w:p w14:paraId="2E79DCCE">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32"/>
          <w:szCs w:val="32"/>
          <w:lang w:val="en-US" w:eastAsia="zh-CN" w:bidi="ar-SA"/>
        </w:rPr>
      </w:pPr>
      <w:r>
        <w:rPr>
          <w:rFonts w:hint="default" w:ascii="Times New Roman" w:hAnsi="Times New Roman" w:eastAsia="宋体" w:cs="Times New Roman"/>
          <w:b/>
          <w:color w:val="auto"/>
          <w:spacing w:val="0"/>
          <w:w w:val="100"/>
          <w:kern w:val="2"/>
          <w:sz w:val="32"/>
          <w:szCs w:val="32"/>
          <w:lang w:val="en-US" w:eastAsia="zh-CN" w:bidi="ar-SA"/>
        </w:rPr>
        <w:t>第 4章、环境影响分析评价</w:t>
      </w:r>
      <w:bookmarkEnd w:id="47"/>
    </w:p>
    <w:p w14:paraId="2F0A0BAE">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8"/>
          <w:szCs w:val="28"/>
          <w:lang w:val="en-US" w:eastAsia="zh-CN" w:bidi="ar-SA"/>
        </w:rPr>
      </w:pPr>
      <w:bookmarkStart w:id="48" w:name="_Toc23263"/>
      <w:r>
        <w:rPr>
          <w:rFonts w:hint="default" w:ascii="Times New Roman" w:hAnsi="Times New Roman" w:eastAsia="宋体" w:cs="Times New Roman"/>
          <w:b/>
          <w:color w:val="auto"/>
          <w:spacing w:val="0"/>
          <w:w w:val="100"/>
          <w:kern w:val="2"/>
          <w:sz w:val="28"/>
          <w:szCs w:val="28"/>
          <w:lang w:val="en-US" w:eastAsia="zh-CN" w:bidi="ar-SA"/>
        </w:rPr>
        <w:t>4.1 设计处理污水量</w:t>
      </w:r>
      <w:bookmarkEnd w:id="48"/>
    </w:p>
    <w:p w14:paraId="7DF3B97D">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vertAlign w:val="baseline"/>
          <w:lang w:eastAsia="zh-CN"/>
        </w:rPr>
      </w:pPr>
      <w:r>
        <w:rPr>
          <w:rFonts w:hint="eastAsia" w:ascii="Times New Roman" w:hAnsi="Times New Roman" w:eastAsia="宋体" w:cs="Times New Roman"/>
          <w:color w:val="auto"/>
          <w:spacing w:val="0"/>
          <w:w w:val="100"/>
          <w:sz w:val="24"/>
          <w:szCs w:val="24"/>
          <w:lang w:val="en-US" w:eastAsia="zh-CN"/>
        </w:rPr>
        <w:t>陇县经济技术开发区污水处理厂</w:t>
      </w:r>
      <w:r>
        <w:rPr>
          <w:rFonts w:hint="default" w:ascii="Times New Roman" w:hAnsi="Times New Roman" w:eastAsia="宋体" w:cs="Times New Roman"/>
          <w:color w:val="auto"/>
          <w:spacing w:val="0"/>
          <w:w w:val="100"/>
          <w:sz w:val="24"/>
          <w:szCs w:val="24"/>
          <w:vertAlign w:val="baseline"/>
          <w:lang w:eastAsia="zh-CN"/>
        </w:rPr>
        <w:t>实现</w:t>
      </w:r>
      <w:r>
        <w:rPr>
          <w:rFonts w:hint="default" w:ascii="Times New Roman" w:hAnsi="Times New Roman" w:eastAsia="宋体" w:cs="Times New Roman"/>
          <w:color w:val="auto"/>
          <w:spacing w:val="0"/>
          <w:w w:val="100"/>
          <w:sz w:val="24"/>
          <w:szCs w:val="24"/>
          <w:vertAlign w:val="baseline"/>
        </w:rPr>
        <w:t>远期</w:t>
      </w:r>
      <w:r>
        <w:rPr>
          <w:rFonts w:hint="default" w:ascii="Times New Roman" w:hAnsi="Times New Roman" w:eastAsia="宋体" w:cs="Times New Roman"/>
          <w:color w:val="auto"/>
          <w:spacing w:val="0"/>
          <w:w w:val="100"/>
          <w:sz w:val="24"/>
          <w:szCs w:val="24"/>
          <w:vertAlign w:val="baseline"/>
          <w:lang w:eastAsia="zh-CN"/>
        </w:rPr>
        <w:t>污水</w:t>
      </w:r>
      <w:r>
        <w:rPr>
          <w:rFonts w:hint="default" w:ascii="Times New Roman" w:hAnsi="Times New Roman" w:eastAsia="宋体" w:cs="Times New Roman"/>
          <w:color w:val="auto"/>
          <w:spacing w:val="0"/>
          <w:w w:val="100"/>
          <w:sz w:val="24"/>
          <w:szCs w:val="24"/>
          <w:vertAlign w:val="baseline"/>
        </w:rPr>
        <w:t>处理规模达到</w:t>
      </w:r>
      <w:r>
        <w:rPr>
          <w:rFonts w:hint="eastAsia" w:ascii="Times New Roman" w:hAnsi="Times New Roman" w:eastAsia="宋体" w:cs="Times New Roman"/>
          <w:color w:val="auto"/>
          <w:spacing w:val="0"/>
          <w:w w:val="100"/>
          <w:sz w:val="24"/>
          <w:szCs w:val="24"/>
          <w:vertAlign w:val="baseline"/>
          <w:lang w:val="en-US" w:eastAsia="zh-CN"/>
        </w:rPr>
        <w:t>2000m</w:t>
      </w:r>
      <w:r>
        <w:rPr>
          <w:rFonts w:hint="default" w:ascii="Times New Roman" w:hAnsi="Times New Roman" w:eastAsia="宋体" w:cs="Times New Roman"/>
          <w:color w:val="auto"/>
          <w:spacing w:val="0"/>
          <w:w w:val="100"/>
          <w:sz w:val="24"/>
          <w:szCs w:val="24"/>
          <w:vertAlign w:val="superscript"/>
        </w:rPr>
        <w:t>3</w:t>
      </w:r>
      <w:r>
        <w:rPr>
          <w:rFonts w:hint="default" w:ascii="Times New Roman" w:hAnsi="Times New Roman" w:eastAsia="宋体" w:cs="Times New Roman"/>
          <w:color w:val="auto"/>
          <w:spacing w:val="0"/>
          <w:w w:val="100"/>
          <w:sz w:val="24"/>
          <w:szCs w:val="24"/>
          <w:vertAlign w:val="baseline"/>
        </w:rPr>
        <w:t>/d</w:t>
      </w:r>
      <w:r>
        <w:rPr>
          <w:rFonts w:hint="default" w:ascii="Times New Roman" w:hAnsi="Times New Roman" w:eastAsia="宋体" w:cs="Times New Roman"/>
          <w:color w:val="auto"/>
          <w:spacing w:val="0"/>
          <w:w w:val="100"/>
          <w:sz w:val="24"/>
          <w:szCs w:val="24"/>
          <w:vertAlign w:val="baseline"/>
          <w:lang w:eastAsia="zh-CN"/>
        </w:rPr>
        <w:t>，</w:t>
      </w:r>
      <w:r>
        <w:rPr>
          <w:rFonts w:hint="eastAsia" w:ascii="Times New Roman" w:hAnsi="Times New Roman" w:eastAsia="宋体" w:cs="Times New Roman"/>
          <w:color w:val="auto"/>
          <w:spacing w:val="0"/>
          <w:w w:val="100"/>
          <w:sz w:val="24"/>
          <w:szCs w:val="24"/>
          <w:vertAlign w:val="baseline"/>
          <w:lang w:val="en-US" w:eastAsia="zh-CN"/>
        </w:rPr>
        <w:t>排水量1600m</w:t>
      </w:r>
      <w:r>
        <w:rPr>
          <w:rFonts w:hint="eastAsia" w:ascii="Times New Roman" w:hAnsi="Times New Roman" w:eastAsia="宋体" w:cs="Times New Roman"/>
          <w:color w:val="auto"/>
          <w:spacing w:val="0"/>
          <w:w w:val="100"/>
          <w:sz w:val="24"/>
          <w:szCs w:val="24"/>
          <w:vertAlign w:val="superscript"/>
          <w:lang w:val="en-US" w:eastAsia="zh-CN"/>
        </w:rPr>
        <w:t>3</w:t>
      </w:r>
      <w:r>
        <w:rPr>
          <w:rFonts w:hint="eastAsia" w:ascii="Times New Roman" w:hAnsi="Times New Roman" w:eastAsia="宋体" w:cs="Times New Roman"/>
          <w:color w:val="auto"/>
          <w:spacing w:val="0"/>
          <w:w w:val="100"/>
          <w:sz w:val="24"/>
          <w:szCs w:val="24"/>
          <w:vertAlign w:val="baseline"/>
          <w:lang w:val="en-US" w:eastAsia="zh-CN"/>
        </w:rPr>
        <w:t>/d，</w:t>
      </w:r>
      <w:r>
        <w:rPr>
          <w:rFonts w:hint="default" w:ascii="Times New Roman" w:hAnsi="Times New Roman" w:eastAsia="宋体" w:cs="Times New Roman"/>
          <w:color w:val="auto"/>
          <w:spacing w:val="0"/>
          <w:w w:val="100"/>
          <w:sz w:val="24"/>
          <w:szCs w:val="24"/>
          <w:vertAlign w:val="baseline"/>
          <w:lang w:eastAsia="zh-CN"/>
        </w:rPr>
        <w:t>出水水质满足《陕西省黄河流域污水综合排放标准》（</w:t>
      </w:r>
      <w:r>
        <w:rPr>
          <w:rFonts w:hint="default" w:ascii="Times New Roman" w:hAnsi="Times New Roman" w:eastAsia="宋体" w:cs="Times New Roman"/>
          <w:color w:val="auto"/>
          <w:spacing w:val="0"/>
          <w:w w:val="100"/>
          <w:sz w:val="24"/>
          <w:szCs w:val="24"/>
          <w:vertAlign w:val="baseline"/>
          <w:lang w:val="en-US" w:eastAsia="zh-CN"/>
        </w:rPr>
        <w:t>DB61/224-2018</w:t>
      </w:r>
      <w:r>
        <w:rPr>
          <w:rFonts w:hint="default" w:ascii="Times New Roman" w:hAnsi="Times New Roman" w:eastAsia="宋体" w:cs="Times New Roman"/>
          <w:color w:val="auto"/>
          <w:spacing w:val="0"/>
          <w:w w:val="100"/>
          <w:sz w:val="24"/>
          <w:szCs w:val="24"/>
          <w:vertAlign w:val="baseline"/>
          <w:lang w:eastAsia="zh-CN"/>
        </w:rPr>
        <w:t>）</w:t>
      </w:r>
      <w:r>
        <w:rPr>
          <w:rFonts w:hint="default" w:ascii="Times New Roman" w:hAnsi="Times New Roman" w:eastAsia="宋体" w:cs="Times New Roman"/>
          <w:color w:val="auto"/>
          <w:spacing w:val="0"/>
          <w:w w:val="100"/>
          <w:sz w:val="24"/>
          <w:szCs w:val="24"/>
          <w:vertAlign w:val="baseline"/>
          <w:lang w:val="en-US" w:eastAsia="zh-CN"/>
        </w:rPr>
        <w:t>A标准</w:t>
      </w:r>
      <w:r>
        <w:rPr>
          <w:rFonts w:hint="default" w:ascii="Times New Roman" w:hAnsi="Times New Roman" w:eastAsia="宋体" w:cs="Times New Roman"/>
          <w:color w:val="auto"/>
          <w:spacing w:val="0"/>
          <w:w w:val="100"/>
          <w:sz w:val="24"/>
          <w:szCs w:val="24"/>
          <w:vertAlign w:val="baseline"/>
          <w:lang w:eastAsia="zh-CN"/>
        </w:rPr>
        <w:t>。</w:t>
      </w:r>
    </w:p>
    <w:p w14:paraId="409A439B">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8"/>
          <w:szCs w:val="28"/>
          <w:lang w:val="en-US" w:eastAsia="zh-CN" w:bidi="ar-SA"/>
        </w:rPr>
      </w:pPr>
      <w:bookmarkStart w:id="49" w:name="_Toc21505"/>
      <w:r>
        <w:rPr>
          <w:rFonts w:hint="default" w:ascii="Times New Roman" w:hAnsi="Times New Roman" w:eastAsia="宋体" w:cs="Times New Roman"/>
          <w:b/>
          <w:color w:val="auto"/>
          <w:spacing w:val="0"/>
          <w:w w:val="100"/>
          <w:kern w:val="2"/>
          <w:sz w:val="28"/>
          <w:szCs w:val="28"/>
          <w:lang w:val="en-US" w:eastAsia="zh-CN" w:bidi="ar-SA"/>
        </w:rPr>
        <w:t>4.2地表水环境影响</w:t>
      </w:r>
      <w:bookmarkEnd w:id="49"/>
      <w:r>
        <w:rPr>
          <w:rFonts w:hint="eastAsia" w:ascii="Times New Roman" w:hAnsi="Times New Roman" w:eastAsia="宋体" w:cs="Times New Roman"/>
          <w:b/>
          <w:color w:val="auto"/>
          <w:spacing w:val="0"/>
          <w:w w:val="100"/>
          <w:kern w:val="2"/>
          <w:sz w:val="28"/>
          <w:szCs w:val="28"/>
          <w:lang w:val="en-US" w:eastAsia="zh-CN" w:bidi="ar-SA"/>
        </w:rPr>
        <w:t>评价</w:t>
      </w:r>
    </w:p>
    <w:p w14:paraId="51E19B35">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本项目属于市政基础设施，亦属于环保工程，对于区域污染有明显的减排作用，评价主要从区域污染消减和尾水排放这两个方面分析其环境影响。</w:t>
      </w:r>
    </w:p>
    <w:p w14:paraId="0EF28078">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4"/>
          <w:szCs w:val="24"/>
          <w:lang w:val="en-US" w:eastAsia="zh-CN" w:bidi="ar-SA"/>
        </w:rPr>
      </w:pPr>
      <w:r>
        <w:rPr>
          <w:rFonts w:hint="default" w:ascii="Times New Roman" w:hAnsi="Times New Roman" w:eastAsia="宋体" w:cs="Times New Roman"/>
          <w:b/>
          <w:color w:val="auto"/>
          <w:spacing w:val="0"/>
          <w:w w:val="100"/>
          <w:kern w:val="2"/>
          <w:sz w:val="24"/>
          <w:szCs w:val="24"/>
          <w:lang w:val="en-US" w:eastAsia="zh-CN" w:bidi="ar-SA"/>
        </w:rPr>
        <w:t>4.2</w:t>
      </w:r>
      <w:r>
        <w:rPr>
          <w:rFonts w:hint="eastAsia" w:ascii="Times New Roman" w:hAnsi="Times New Roman" w:eastAsia="宋体" w:cs="Times New Roman"/>
          <w:b/>
          <w:color w:val="auto"/>
          <w:spacing w:val="0"/>
          <w:w w:val="100"/>
          <w:kern w:val="2"/>
          <w:sz w:val="24"/>
          <w:szCs w:val="24"/>
          <w:lang w:val="en-US" w:eastAsia="zh-CN" w:bidi="ar-SA"/>
        </w:rPr>
        <w:t>.1</w:t>
      </w:r>
      <w:r>
        <w:rPr>
          <w:rFonts w:hint="default" w:ascii="Times New Roman" w:hAnsi="Times New Roman" w:eastAsia="宋体" w:cs="Times New Roman"/>
          <w:b/>
          <w:color w:val="auto"/>
          <w:spacing w:val="0"/>
          <w:w w:val="100"/>
          <w:kern w:val="2"/>
          <w:sz w:val="24"/>
          <w:szCs w:val="24"/>
          <w:lang w:val="en-GB" w:eastAsia="zh-CN" w:bidi="ar-SA"/>
        </w:rPr>
        <w:t>区域污染消减</w:t>
      </w:r>
      <w:r>
        <w:rPr>
          <w:rFonts w:hint="eastAsia" w:ascii="Times New Roman" w:hAnsi="Times New Roman" w:eastAsia="宋体" w:cs="Times New Roman"/>
          <w:b/>
          <w:color w:val="auto"/>
          <w:spacing w:val="0"/>
          <w:w w:val="100"/>
          <w:kern w:val="2"/>
          <w:sz w:val="24"/>
          <w:szCs w:val="24"/>
          <w:lang w:val="en-GB" w:eastAsia="zh-CN" w:bidi="ar-SA"/>
        </w:rPr>
        <w:t>影响评价</w:t>
      </w:r>
    </w:p>
    <w:p w14:paraId="208F1358">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本项目处理的污水对象主要为服务范围内</w:t>
      </w:r>
      <w:r>
        <w:rPr>
          <w:rFonts w:hint="eastAsia" w:ascii="Times New Roman" w:hAnsi="Times New Roman" w:eastAsia="宋体" w:cs="Times New Roman"/>
          <w:color w:val="auto"/>
          <w:spacing w:val="0"/>
          <w:w w:val="100"/>
          <w:sz w:val="24"/>
          <w:szCs w:val="24"/>
          <w:lang w:val="en-US" w:eastAsia="zh-CN"/>
        </w:rPr>
        <w:t>园区工业废水及职工</w:t>
      </w:r>
      <w:r>
        <w:rPr>
          <w:rFonts w:hint="default" w:ascii="Times New Roman" w:hAnsi="Times New Roman" w:eastAsia="宋体" w:cs="Times New Roman"/>
          <w:color w:val="auto"/>
          <w:spacing w:val="0"/>
          <w:w w:val="100"/>
          <w:sz w:val="24"/>
          <w:szCs w:val="24"/>
          <w:lang w:val="en-GB" w:eastAsia="zh-CN"/>
        </w:rPr>
        <w:t>生活污水，</w:t>
      </w:r>
      <w:r>
        <w:rPr>
          <w:rFonts w:hint="eastAsia" w:ascii="Times New Roman" w:hAnsi="Times New Roman" w:eastAsia="宋体" w:cs="Times New Roman"/>
          <w:color w:val="auto"/>
          <w:spacing w:val="0"/>
          <w:w w:val="100"/>
          <w:sz w:val="24"/>
          <w:szCs w:val="24"/>
          <w:lang w:val="en-GB" w:eastAsia="zh-CN"/>
        </w:rPr>
        <w:t>污水处理厂</w:t>
      </w:r>
      <w:r>
        <w:rPr>
          <w:rFonts w:hint="default" w:ascii="Times New Roman" w:hAnsi="Times New Roman" w:eastAsia="宋体" w:cs="Times New Roman"/>
          <w:color w:val="auto"/>
          <w:spacing w:val="0"/>
          <w:w w:val="100"/>
          <w:sz w:val="24"/>
          <w:szCs w:val="24"/>
          <w:lang w:val="en-GB" w:eastAsia="zh-CN"/>
        </w:rPr>
        <w:t>水质中主要污染物为COD、SS、BOD</w:t>
      </w:r>
      <w:r>
        <w:rPr>
          <w:rFonts w:hint="default" w:ascii="Times New Roman" w:hAnsi="Times New Roman" w:eastAsia="宋体" w:cs="Times New Roman"/>
          <w:color w:val="auto"/>
          <w:spacing w:val="0"/>
          <w:w w:val="100"/>
          <w:sz w:val="24"/>
          <w:szCs w:val="24"/>
          <w:vertAlign w:val="subscript"/>
          <w:lang w:val="en-GB" w:eastAsia="zh-CN"/>
        </w:rPr>
        <w:t>5</w:t>
      </w:r>
      <w:r>
        <w:rPr>
          <w:rFonts w:hint="default" w:ascii="Times New Roman" w:hAnsi="Times New Roman" w:eastAsia="宋体" w:cs="Times New Roman"/>
          <w:color w:val="auto"/>
          <w:spacing w:val="0"/>
          <w:w w:val="100"/>
          <w:sz w:val="24"/>
          <w:szCs w:val="24"/>
          <w:lang w:val="en-GB" w:eastAsia="zh-CN"/>
        </w:rPr>
        <w:t>、氨氮、总氮、总磷等。项目运行后，对污水处理厂出水水质中的污染物（如COD、BOD</w:t>
      </w:r>
      <w:r>
        <w:rPr>
          <w:rFonts w:hint="default" w:ascii="Times New Roman" w:hAnsi="Times New Roman" w:eastAsia="宋体" w:cs="Times New Roman"/>
          <w:color w:val="auto"/>
          <w:spacing w:val="0"/>
          <w:w w:val="100"/>
          <w:sz w:val="24"/>
          <w:szCs w:val="24"/>
          <w:vertAlign w:val="subscript"/>
          <w:lang w:val="en-GB" w:eastAsia="zh-CN"/>
        </w:rPr>
        <w:t>5</w:t>
      </w:r>
      <w:r>
        <w:rPr>
          <w:rFonts w:hint="default" w:ascii="Times New Roman" w:hAnsi="Times New Roman" w:eastAsia="宋体" w:cs="Times New Roman"/>
          <w:color w:val="auto"/>
          <w:spacing w:val="0"/>
          <w:w w:val="100"/>
          <w:sz w:val="24"/>
          <w:szCs w:val="24"/>
          <w:lang w:val="en-GB" w:eastAsia="zh-CN"/>
        </w:rPr>
        <w:t>、SS、NH</w:t>
      </w:r>
      <w:r>
        <w:rPr>
          <w:rFonts w:hint="default" w:ascii="Times New Roman" w:hAnsi="Times New Roman" w:eastAsia="宋体" w:cs="Times New Roman"/>
          <w:color w:val="auto"/>
          <w:spacing w:val="0"/>
          <w:w w:val="100"/>
          <w:sz w:val="24"/>
          <w:szCs w:val="24"/>
          <w:vertAlign w:val="subscript"/>
          <w:lang w:val="en-GB" w:eastAsia="zh-CN"/>
        </w:rPr>
        <w:t>3</w:t>
      </w:r>
      <w:r>
        <w:rPr>
          <w:rFonts w:hint="default" w:ascii="Times New Roman" w:hAnsi="Times New Roman" w:eastAsia="宋体" w:cs="Times New Roman"/>
          <w:color w:val="auto"/>
          <w:spacing w:val="0"/>
          <w:w w:val="100"/>
          <w:sz w:val="24"/>
          <w:szCs w:val="24"/>
          <w:lang w:val="en-GB" w:eastAsia="zh-CN"/>
        </w:rPr>
        <w:t>-N、TN、TP等）有较为明显的消减，大幅度</w:t>
      </w:r>
      <w:r>
        <w:rPr>
          <w:rFonts w:hint="eastAsia" w:ascii="Times New Roman" w:hAnsi="Times New Roman" w:eastAsia="宋体" w:cs="Times New Roman"/>
          <w:color w:val="auto"/>
          <w:spacing w:val="0"/>
          <w:w w:val="100"/>
          <w:sz w:val="24"/>
          <w:szCs w:val="24"/>
          <w:lang w:val="en-GB" w:eastAsia="zh-CN"/>
        </w:rPr>
        <w:t>地</w:t>
      </w:r>
      <w:r>
        <w:rPr>
          <w:rFonts w:hint="default" w:ascii="Times New Roman" w:hAnsi="Times New Roman" w:eastAsia="宋体" w:cs="Times New Roman"/>
          <w:color w:val="auto"/>
          <w:spacing w:val="0"/>
          <w:w w:val="100"/>
          <w:sz w:val="24"/>
          <w:szCs w:val="24"/>
          <w:lang w:val="en-GB" w:eastAsia="zh-CN"/>
        </w:rPr>
        <w:t>降低了对地表水环境的污染程度，对</w:t>
      </w:r>
      <w:r>
        <w:rPr>
          <w:rFonts w:hint="eastAsia" w:ascii="Times New Roman" w:hAnsi="Times New Roman" w:eastAsia="宋体" w:cs="Times New Roman"/>
          <w:color w:val="auto"/>
          <w:spacing w:val="0"/>
          <w:w w:val="100"/>
          <w:sz w:val="24"/>
          <w:szCs w:val="24"/>
          <w:lang w:val="en-GB" w:eastAsia="zh-CN"/>
        </w:rPr>
        <w:t>千河</w:t>
      </w:r>
      <w:r>
        <w:rPr>
          <w:rFonts w:hint="default" w:ascii="Times New Roman" w:hAnsi="Times New Roman" w:eastAsia="宋体" w:cs="Times New Roman"/>
          <w:color w:val="auto"/>
          <w:spacing w:val="0"/>
          <w:w w:val="100"/>
          <w:sz w:val="24"/>
          <w:szCs w:val="24"/>
          <w:lang w:val="en-GB" w:eastAsia="zh-CN"/>
        </w:rPr>
        <w:t>水质有环境正效益。</w:t>
      </w:r>
    </w:p>
    <w:p w14:paraId="26653314">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4"/>
          <w:szCs w:val="24"/>
          <w:lang w:val="en-US" w:eastAsia="zh-CN" w:bidi="ar-SA"/>
        </w:rPr>
      </w:pPr>
      <w:r>
        <w:rPr>
          <w:rFonts w:hint="default" w:ascii="Times New Roman" w:hAnsi="Times New Roman" w:eastAsia="宋体" w:cs="Times New Roman"/>
          <w:b/>
          <w:color w:val="auto"/>
          <w:spacing w:val="0"/>
          <w:w w:val="100"/>
          <w:kern w:val="2"/>
          <w:sz w:val="24"/>
          <w:szCs w:val="24"/>
          <w:lang w:val="en-US" w:eastAsia="zh-CN" w:bidi="ar-SA"/>
        </w:rPr>
        <w:t>4.2</w:t>
      </w:r>
      <w:r>
        <w:rPr>
          <w:rFonts w:hint="eastAsia" w:ascii="Times New Roman" w:hAnsi="Times New Roman" w:eastAsia="宋体" w:cs="Times New Roman"/>
          <w:b/>
          <w:color w:val="auto"/>
          <w:spacing w:val="0"/>
          <w:w w:val="100"/>
          <w:kern w:val="2"/>
          <w:sz w:val="24"/>
          <w:szCs w:val="24"/>
          <w:lang w:val="en-US" w:eastAsia="zh-CN" w:bidi="ar-SA"/>
        </w:rPr>
        <w:t>.2</w:t>
      </w:r>
      <w:r>
        <w:rPr>
          <w:rFonts w:hint="default" w:ascii="Times New Roman" w:hAnsi="Times New Roman" w:eastAsia="宋体" w:cs="Times New Roman"/>
          <w:b/>
          <w:color w:val="auto"/>
          <w:spacing w:val="0"/>
          <w:w w:val="100"/>
          <w:kern w:val="2"/>
          <w:sz w:val="24"/>
          <w:szCs w:val="24"/>
          <w:lang w:val="en-GB" w:eastAsia="zh-CN" w:bidi="ar-SA"/>
        </w:rPr>
        <w:t>尾水排放</w:t>
      </w:r>
      <w:r>
        <w:rPr>
          <w:rFonts w:hint="eastAsia" w:ascii="Times New Roman" w:hAnsi="Times New Roman" w:eastAsia="宋体" w:cs="Times New Roman"/>
          <w:b/>
          <w:color w:val="auto"/>
          <w:spacing w:val="0"/>
          <w:w w:val="100"/>
          <w:kern w:val="2"/>
          <w:sz w:val="24"/>
          <w:szCs w:val="24"/>
          <w:lang w:val="en-GB" w:eastAsia="zh-CN" w:bidi="ar-SA"/>
        </w:rPr>
        <w:t>影响评价</w:t>
      </w:r>
    </w:p>
    <w:p w14:paraId="64E8B7B1">
      <w:pPr>
        <w:numPr>
          <w:ilvl w:val="0"/>
          <w:numId w:val="8"/>
        </w:numPr>
        <w:adjustRightInd w:val="0"/>
        <w:snapToGrid w:val="0"/>
        <w:spacing w:line="360" w:lineRule="auto"/>
        <w:ind w:firstLine="470" w:firstLineChars="196"/>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rPr>
        <w:t>预测</w:t>
      </w:r>
      <w:r>
        <w:rPr>
          <w:rFonts w:hint="default" w:ascii="Times New Roman" w:hAnsi="Times New Roman" w:eastAsia="宋体" w:cs="Times New Roman"/>
          <w:color w:val="auto"/>
          <w:spacing w:val="0"/>
          <w:w w:val="100"/>
          <w:sz w:val="24"/>
          <w:szCs w:val="24"/>
          <w:lang w:eastAsia="zh-CN"/>
        </w:rPr>
        <w:t>因子</w:t>
      </w:r>
    </w:p>
    <w:p w14:paraId="71175647">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根据项目的特征污染物、评价河段各项水质参数背景浓度及采用的水质标准，河流流量以及区域污染源排放情况，结合污染物排放总量控制要求等，确定本次地表水环境影响预测因子为COD、NH</w:t>
      </w:r>
      <w:r>
        <w:rPr>
          <w:rFonts w:hint="default" w:ascii="Times New Roman" w:hAnsi="Times New Roman" w:eastAsia="宋体" w:cs="Times New Roman"/>
          <w:color w:val="auto"/>
          <w:spacing w:val="0"/>
          <w:w w:val="100"/>
          <w:sz w:val="24"/>
          <w:szCs w:val="24"/>
          <w:vertAlign w:val="subscript"/>
        </w:rPr>
        <w:t>3</w:t>
      </w:r>
      <w:r>
        <w:rPr>
          <w:rFonts w:hint="default" w:ascii="Times New Roman" w:hAnsi="Times New Roman" w:eastAsia="宋体" w:cs="Times New Roman"/>
          <w:color w:val="auto"/>
          <w:spacing w:val="0"/>
          <w:w w:val="100"/>
          <w:sz w:val="24"/>
          <w:szCs w:val="24"/>
        </w:rPr>
        <w:t>-N。</w:t>
      </w:r>
    </w:p>
    <w:p w14:paraId="78550814">
      <w:pPr>
        <w:tabs>
          <w:tab w:val="left" w:pos="4057"/>
        </w:tabs>
        <w:spacing w:line="360" w:lineRule="auto"/>
        <w:ind w:firstLine="480" w:firstLineChars="200"/>
        <w:rPr>
          <w:rFonts w:hint="default" w:ascii="Times New Roman" w:hAnsi="Times New Roman" w:eastAsia="华文仿宋"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t>2、</w:t>
      </w:r>
      <w:r>
        <w:rPr>
          <w:rFonts w:hint="default" w:ascii="Times New Roman" w:hAnsi="Times New Roman" w:eastAsia="宋体" w:cs="Times New Roman"/>
          <w:color w:val="auto"/>
          <w:spacing w:val="0"/>
          <w:w w:val="100"/>
          <w:sz w:val="24"/>
          <w:szCs w:val="24"/>
        </w:rPr>
        <w:t>预测情景及污染源强</w:t>
      </w:r>
    </w:p>
    <w:p w14:paraId="2E1091E0">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考虑两种地表水预测评价方案。</w:t>
      </w:r>
    </w:p>
    <w:p w14:paraId="1E2E747D">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①正常</w:t>
      </w:r>
      <w:r>
        <w:rPr>
          <w:rFonts w:hint="default" w:ascii="Times New Roman" w:hAnsi="Times New Roman" w:eastAsia="宋体" w:cs="Times New Roman"/>
          <w:color w:val="auto"/>
          <w:spacing w:val="0"/>
          <w:w w:val="100"/>
          <w:sz w:val="24"/>
          <w:szCs w:val="24"/>
          <w:lang w:eastAsia="zh-CN"/>
        </w:rPr>
        <w:t>工况下</w:t>
      </w:r>
      <w:r>
        <w:rPr>
          <w:rFonts w:hint="default" w:ascii="Times New Roman" w:hAnsi="Times New Roman" w:eastAsia="宋体" w:cs="Times New Roman"/>
          <w:color w:val="auto"/>
          <w:spacing w:val="0"/>
          <w:w w:val="100"/>
          <w:sz w:val="24"/>
          <w:szCs w:val="24"/>
        </w:rPr>
        <w:t>，污水经过处理达到采用</w:t>
      </w:r>
      <w:r>
        <w:rPr>
          <w:rFonts w:hint="default" w:ascii="Times New Roman" w:hAnsi="Times New Roman" w:eastAsia="Times New Roman" w:cs="Times New Roman"/>
          <w:color w:val="auto"/>
          <w:spacing w:val="0"/>
          <w:w w:val="100"/>
          <w:sz w:val="24"/>
          <w:szCs w:val="24"/>
        </w:rPr>
        <w:t>“</w:t>
      </w:r>
      <w:r>
        <w:rPr>
          <w:rFonts w:hint="eastAsia" w:ascii="Times New Roman" w:hAnsi="Times New Roman" w:eastAsia="宋体" w:cs="Times New Roman"/>
          <w:color w:val="auto"/>
          <w:spacing w:val="0"/>
          <w:w w:val="100"/>
          <w:sz w:val="24"/>
          <w:szCs w:val="24"/>
          <w:lang w:val="en-US" w:eastAsia="zh-CN"/>
        </w:rPr>
        <w:t>格栅+沉砂+</w:t>
      </w:r>
      <w:r>
        <w:rPr>
          <w:rFonts w:hint="eastAsia" w:ascii="Times New Roman" w:hAnsi="Times New Roman" w:eastAsia="宋体" w:cs="Times New Roman"/>
          <w:color w:val="auto"/>
          <w:spacing w:val="0"/>
          <w:w w:val="100"/>
          <w:sz w:val="24"/>
          <w:szCs w:val="24"/>
          <w:lang w:eastAsia="zh-CN"/>
        </w:rPr>
        <w:t>AAO+MBR+消毒</w:t>
      </w:r>
      <w:r>
        <w:rPr>
          <w:rFonts w:hint="default" w:ascii="Times New Roman" w:hAnsi="Times New Roman" w:eastAsia="Times New Roman" w:cs="Times New Roman"/>
          <w:color w:val="auto"/>
          <w:spacing w:val="0"/>
          <w:w w:val="100"/>
          <w:sz w:val="24"/>
          <w:szCs w:val="24"/>
          <w:vertAlign w:val="baseline"/>
        </w:rPr>
        <w:t>”</w:t>
      </w:r>
      <w:r>
        <w:rPr>
          <w:rFonts w:hint="default" w:ascii="Times New Roman" w:hAnsi="Times New Roman" w:eastAsia="宋体" w:cs="Times New Roman"/>
          <w:color w:val="auto"/>
          <w:spacing w:val="0"/>
          <w:w w:val="100"/>
          <w:sz w:val="24"/>
          <w:szCs w:val="24"/>
          <w:vertAlign w:val="baseline"/>
        </w:rPr>
        <w:t>处理工艺处理后</w:t>
      </w:r>
      <w:r>
        <w:rPr>
          <w:rFonts w:hint="default" w:ascii="Times New Roman" w:hAnsi="Times New Roman" w:eastAsia="宋体" w:cs="Times New Roman"/>
          <w:color w:val="auto"/>
          <w:spacing w:val="0"/>
          <w:w w:val="100"/>
          <w:sz w:val="24"/>
          <w:szCs w:val="24"/>
          <w:vertAlign w:val="baseline"/>
          <w:lang w:eastAsia="zh-CN"/>
        </w:rPr>
        <w:t>，</w:t>
      </w:r>
      <w:r>
        <w:rPr>
          <w:rFonts w:hint="default" w:ascii="Times New Roman" w:hAnsi="Times New Roman" w:eastAsia="宋体" w:cs="Times New Roman"/>
          <w:color w:val="auto"/>
          <w:spacing w:val="0"/>
          <w:w w:val="100"/>
          <w:sz w:val="24"/>
          <w:szCs w:val="24"/>
          <w:vertAlign w:val="baseline"/>
        </w:rPr>
        <w:t>出水水质达到《陕西省黄河流域污水综合排放标准》</w:t>
      </w:r>
      <w:r>
        <w:rPr>
          <w:rFonts w:hint="default" w:ascii="Times New Roman" w:hAnsi="Times New Roman" w:eastAsia="宋体" w:cs="Times New Roman"/>
          <w:color w:val="auto"/>
          <w:spacing w:val="0"/>
          <w:w w:val="100"/>
          <w:sz w:val="24"/>
          <w:szCs w:val="24"/>
        </w:rPr>
        <w:t>（</w:t>
      </w:r>
      <w:r>
        <w:rPr>
          <w:rFonts w:hint="eastAsia" w:ascii="Times New Roman" w:hAnsi="Times New Roman" w:eastAsia="宋体" w:cs="Times New Roman"/>
          <w:color w:val="auto"/>
          <w:spacing w:val="0"/>
          <w:w w:val="100"/>
          <w:sz w:val="24"/>
          <w:szCs w:val="24"/>
          <w:lang w:eastAsia="zh-CN"/>
        </w:rPr>
        <w:t>DB61/224-2018</w:t>
      </w:r>
      <w:r>
        <w:rPr>
          <w:rFonts w:hint="default" w:ascii="Times New Roman" w:hAnsi="Times New Roman" w:eastAsia="宋体" w:cs="Times New Roman"/>
          <w:color w:val="auto"/>
          <w:spacing w:val="0"/>
          <w:w w:val="100"/>
          <w:sz w:val="24"/>
          <w:szCs w:val="24"/>
        </w:rPr>
        <w:t>）表</w:t>
      </w:r>
      <w:r>
        <w:rPr>
          <w:rFonts w:hint="default" w:ascii="Times New Roman" w:hAnsi="Times New Roman" w:eastAsia="Times New Roman" w:cs="Times New Roman"/>
          <w:color w:val="auto"/>
          <w:spacing w:val="0"/>
          <w:w w:val="100"/>
          <w:sz w:val="24"/>
          <w:szCs w:val="24"/>
        </w:rPr>
        <w:t>1</w:t>
      </w:r>
      <w:r>
        <w:rPr>
          <w:rFonts w:hint="default" w:ascii="Times New Roman" w:hAnsi="Times New Roman" w:eastAsia="宋体" w:cs="Times New Roman"/>
          <w:color w:val="auto"/>
          <w:spacing w:val="0"/>
          <w:w w:val="100"/>
          <w:sz w:val="24"/>
          <w:szCs w:val="24"/>
        </w:rPr>
        <w:t>中</w:t>
      </w:r>
      <w:r>
        <w:rPr>
          <w:rFonts w:hint="default" w:ascii="Times New Roman" w:hAnsi="Times New Roman" w:eastAsia="Times New Roman" w:cs="Times New Roman"/>
          <w:color w:val="auto"/>
          <w:spacing w:val="0"/>
          <w:w w:val="100"/>
          <w:sz w:val="24"/>
          <w:szCs w:val="24"/>
        </w:rPr>
        <w:t>A</w:t>
      </w:r>
      <w:r>
        <w:rPr>
          <w:rFonts w:hint="default" w:ascii="Times New Roman" w:hAnsi="Times New Roman" w:eastAsia="宋体" w:cs="Times New Roman"/>
          <w:color w:val="auto"/>
          <w:spacing w:val="0"/>
          <w:w w:val="100"/>
          <w:sz w:val="24"/>
          <w:szCs w:val="24"/>
        </w:rPr>
        <w:t>标准后，尾水排入</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w:t>
      </w:r>
    </w:p>
    <w:p w14:paraId="6B0BE11A">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vertAlign w:val="baseline"/>
        </w:rPr>
      </w:pPr>
      <w:r>
        <w:rPr>
          <w:rFonts w:hint="default" w:ascii="Times New Roman" w:hAnsi="Times New Roman" w:eastAsia="宋体" w:cs="Times New Roman"/>
          <w:color w:val="auto"/>
          <w:spacing w:val="0"/>
          <w:w w:val="100"/>
          <w:sz w:val="24"/>
          <w:szCs w:val="24"/>
        </w:rPr>
        <w:t>②非</w:t>
      </w:r>
      <w:r>
        <w:rPr>
          <w:rFonts w:hint="default" w:ascii="Times New Roman" w:hAnsi="Times New Roman" w:eastAsia="宋体" w:cs="Times New Roman"/>
          <w:color w:val="auto"/>
          <w:spacing w:val="0"/>
          <w:w w:val="100"/>
          <w:sz w:val="24"/>
          <w:szCs w:val="24"/>
          <w:lang w:eastAsia="zh-CN"/>
        </w:rPr>
        <w:t>正常工况下</w:t>
      </w:r>
      <w:r>
        <w:rPr>
          <w:rFonts w:hint="default" w:ascii="Times New Roman" w:hAnsi="Times New Roman" w:eastAsia="宋体" w:cs="Times New Roman"/>
          <w:color w:val="auto"/>
          <w:spacing w:val="0"/>
          <w:w w:val="100"/>
          <w:sz w:val="24"/>
          <w:szCs w:val="24"/>
        </w:rPr>
        <w:t>，</w:t>
      </w:r>
      <w:r>
        <w:rPr>
          <w:rFonts w:hint="default" w:ascii="Times New Roman" w:hAnsi="Times New Roman" w:eastAsia="宋体" w:cs="Times New Roman"/>
          <w:color w:val="auto"/>
          <w:spacing w:val="0"/>
          <w:w w:val="100"/>
          <w:sz w:val="24"/>
          <w:szCs w:val="24"/>
          <w:lang w:eastAsia="zh-CN"/>
        </w:rPr>
        <w:t>污水处理设施不能正常运行时，</w:t>
      </w:r>
      <w:r>
        <w:rPr>
          <w:rFonts w:hint="default" w:ascii="Times New Roman" w:hAnsi="Times New Roman" w:eastAsia="宋体" w:cs="Times New Roman"/>
          <w:color w:val="auto"/>
          <w:spacing w:val="0"/>
          <w:w w:val="100"/>
          <w:sz w:val="24"/>
          <w:szCs w:val="24"/>
        </w:rPr>
        <w:t>污水未经处理全部直接排入</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w:t>
      </w:r>
      <w:r>
        <w:rPr>
          <w:rFonts w:hint="default" w:ascii="Times New Roman" w:hAnsi="Times New Roman" w:eastAsia="宋体" w:cs="Times New Roman"/>
          <w:color w:val="auto"/>
          <w:spacing w:val="0"/>
          <w:w w:val="100"/>
          <w:sz w:val="24"/>
          <w:szCs w:val="24"/>
          <w:vertAlign w:val="baseline"/>
        </w:rPr>
        <w:t>对地表水水质环境的影响。</w:t>
      </w:r>
    </w:p>
    <w:p w14:paraId="1046E1D1">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本次预测设计情景及污染源强见下表</w:t>
      </w:r>
      <w:r>
        <w:rPr>
          <w:rFonts w:hint="default" w:ascii="Times New Roman" w:hAnsi="Times New Roman" w:eastAsia="宋体" w:cs="Times New Roman"/>
          <w:color w:val="auto"/>
          <w:spacing w:val="0"/>
          <w:w w:val="100"/>
          <w:sz w:val="24"/>
          <w:szCs w:val="24"/>
          <w:lang w:val="en-US" w:eastAsia="zh-CN"/>
        </w:rPr>
        <w:t>4-1</w:t>
      </w:r>
      <w:r>
        <w:rPr>
          <w:rFonts w:hint="default" w:ascii="Times New Roman" w:hAnsi="Times New Roman" w:eastAsia="宋体" w:cs="Times New Roman"/>
          <w:color w:val="auto"/>
          <w:spacing w:val="0"/>
          <w:w w:val="100"/>
          <w:sz w:val="24"/>
          <w:szCs w:val="24"/>
        </w:rPr>
        <w:t>。</w:t>
      </w:r>
    </w:p>
    <w:p w14:paraId="7587190E">
      <w:pPr>
        <w:spacing w:line="360" w:lineRule="auto"/>
        <w:jc w:val="center"/>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表</w:t>
      </w:r>
      <w:r>
        <w:rPr>
          <w:rFonts w:hint="default" w:ascii="Times New Roman" w:hAnsi="Times New Roman" w:eastAsia="宋体" w:cs="Times New Roman"/>
          <w:b/>
          <w:bCs/>
          <w:color w:val="auto"/>
          <w:spacing w:val="0"/>
          <w:w w:val="100"/>
          <w:sz w:val="21"/>
          <w:szCs w:val="21"/>
          <w:lang w:val="en-US" w:eastAsia="zh-CN"/>
        </w:rPr>
        <w:t>4-1</w:t>
      </w:r>
      <w:r>
        <w:rPr>
          <w:rFonts w:hint="default" w:ascii="Times New Roman" w:hAnsi="Times New Roman" w:eastAsia="宋体" w:cs="Times New Roman"/>
          <w:b/>
          <w:bCs/>
          <w:color w:val="auto"/>
          <w:spacing w:val="0"/>
          <w:w w:val="100"/>
          <w:sz w:val="21"/>
          <w:szCs w:val="21"/>
        </w:rPr>
        <w:t xml:space="preserve">   项目水环境影响</w:t>
      </w:r>
      <w:r>
        <w:rPr>
          <w:rFonts w:hint="default" w:ascii="Times New Roman" w:hAnsi="Times New Roman" w:eastAsia="宋体" w:cs="Times New Roman"/>
          <w:b/>
          <w:bCs/>
          <w:color w:val="auto"/>
          <w:spacing w:val="0"/>
          <w:w w:val="100"/>
          <w:sz w:val="21"/>
          <w:szCs w:val="21"/>
          <w:lang w:eastAsia="zh-CN"/>
        </w:rPr>
        <w:t>源强</w:t>
      </w:r>
      <w:r>
        <w:rPr>
          <w:rFonts w:hint="default" w:ascii="Times New Roman" w:hAnsi="Times New Roman" w:eastAsia="宋体" w:cs="Times New Roman"/>
          <w:b/>
          <w:bCs/>
          <w:color w:val="auto"/>
          <w:spacing w:val="0"/>
          <w:w w:val="100"/>
          <w:sz w:val="21"/>
          <w:szCs w:val="21"/>
        </w:rPr>
        <w:t xml:space="preserve"> </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309"/>
        <w:gridCol w:w="2089"/>
        <w:gridCol w:w="1406"/>
        <w:gridCol w:w="1193"/>
        <w:gridCol w:w="1416"/>
      </w:tblGrid>
      <w:tr w14:paraId="7017C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650" w:type="pct"/>
            <w:vMerge w:val="restart"/>
            <w:noWrap w:val="0"/>
            <w:vAlign w:val="center"/>
          </w:tcPr>
          <w:p w14:paraId="284FDD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情景模式</w:t>
            </w:r>
          </w:p>
        </w:tc>
        <w:tc>
          <w:tcPr>
            <w:tcW w:w="768" w:type="pct"/>
            <w:vMerge w:val="restart"/>
            <w:noWrap w:val="0"/>
            <w:vAlign w:val="center"/>
          </w:tcPr>
          <w:p w14:paraId="564316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污染源</w:t>
            </w:r>
          </w:p>
        </w:tc>
        <w:tc>
          <w:tcPr>
            <w:tcW w:w="1226" w:type="pct"/>
            <w:vMerge w:val="restart"/>
            <w:noWrap w:val="0"/>
            <w:vAlign w:val="center"/>
          </w:tcPr>
          <w:p w14:paraId="432C50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r>
              <w:rPr>
                <w:rFonts w:hint="eastAsia" w:ascii="Times New Roman" w:hAnsi="Times New Roman" w:eastAsia="宋体" w:cs="Times New Roman"/>
                <w:color w:val="auto"/>
                <w:spacing w:val="0"/>
                <w:w w:val="100"/>
                <w:sz w:val="21"/>
                <w:szCs w:val="21"/>
                <w:lang w:val="en-US" w:eastAsia="zh-CN"/>
              </w:rPr>
              <w:t>陇县千河南岸新城污水处理厂</w:t>
            </w:r>
            <w:r>
              <w:rPr>
                <w:rFonts w:hint="default" w:ascii="Times New Roman" w:hAnsi="Times New Roman" w:eastAsia="宋体" w:cs="Times New Roman"/>
                <w:color w:val="auto"/>
                <w:spacing w:val="0"/>
                <w:w w:val="100"/>
                <w:sz w:val="21"/>
                <w:szCs w:val="21"/>
              </w:rPr>
              <w:t>废水排放量</w:t>
            </w:r>
            <w:r>
              <w:rPr>
                <w:rFonts w:hint="default" w:ascii="Times New Roman" w:hAnsi="Times New Roman" w:eastAsia="宋体" w:cs="Times New Roman"/>
                <w:b w:val="0"/>
                <w:bCs/>
                <w:color w:val="auto"/>
                <w:spacing w:val="0"/>
                <w:w w:val="100"/>
                <w:sz w:val="21"/>
                <w:szCs w:val="21"/>
              </w:rPr>
              <w:t>（</w:t>
            </w:r>
            <w:r>
              <w:rPr>
                <w:rFonts w:hint="default" w:ascii="Times New Roman" w:hAnsi="Times New Roman" w:eastAsia="Times New Roman" w:cs="Times New Roman"/>
                <w:b w:val="0"/>
                <w:bCs/>
                <w:color w:val="auto"/>
                <w:spacing w:val="0"/>
                <w:w w:val="100"/>
                <w:sz w:val="21"/>
                <w:szCs w:val="21"/>
              </w:rPr>
              <w:t>m</w:t>
            </w:r>
            <w:r>
              <w:rPr>
                <w:rFonts w:hint="default" w:ascii="Times New Roman" w:hAnsi="Times New Roman" w:eastAsia="Times New Roman" w:cs="Times New Roman"/>
                <w:b w:val="0"/>
                <w:bCs/>
                <w:color w:val="auto"/>
                <w:spacing w:val="0"/>
                <w:w w:val="100"/>
                <w:sz w:val="21"/>
                <w:szCs w:val="21"/>
                <w:vertAlign w:val="superscript"/>
              </w:rPr>
              <w:t>3</w:t>
            </w:r>
            <w:r>
              <w:rPr>
                <w:rFonts w:hint="default" w:ascii="Times New Roman" w:hAnsi="Times New Roman" w:eastAsia="Times New Roman" w:cs="Times New Roman"/>
                <w:b w:val="0"/>
                <w:bCs/>
                <w:color w:val="auto"/>
                <w:spacing w:val="0"/>
                <w:w w:val="100"/>
                <w:sz w:val="21"/>
                <w:szCs w:val="21"/>
                <w:vertAlign w:val="baseline"/>
              </w:rPr>
              <w:t>/s</w:t>
            </w:r>
            <w:r>
              <w:rPr>
                <w:rFonts w:hint="default" w:ascii="Times New Roman" w:hAnsi="Times New Roman" w:eastAsia="宋体" w:cs="Times New Roman"/>
                <w:b w:val="0"/>
                <w:bCs/>
                <w:color w:val="auto"/>
                <w:spacing w:val="0"/>
                <w:w w:val="100"/>
                <w:sz w:val="21"/>
                <w:szCs w:val="21"/>
                <w:vertAlign w:val="baseline"/>
              </w:rPr>
              <w:t>）</w:t>
            </w:r>
          </w:p>
        </w:tc>
        <w:tc>
          <w:tcPr>
            <w:tcW w:w="824" w:type="pct"/>
            <w:vMerge w:val="restart"/>
            <w:noWrap w:val="0"/>
            <w:vAlign w:val="center"/>
          </w:tcPr>
          <w:p w14:paraId="68C3C5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r>
              <w:rPr>
                <w:rFonts w:hint="eastAsia" w:ascii="Times New Roman" w:hAnsi="Times New Roman" w:eastAsia="宋体" w:cs="Times New Roman"/>
                <w:color w:val="auto"/>
                <w:spacing w:val="0"/>
                <w:w w:val="100"/>
                <w:sz w:val="21"/>
                <w:szCs w:val="21"/>
                <w:lang w:val="en-US" w:eastAsia="zh-CN"/>
              </w:rPr>
              <w:t>本项目</w:t>
            </w:r>
            <w:r>
              <w:rPr>
                <w:rFonts w:hint="default" w:ascii="Times New Roman" w:hAnsi="Times New Roman" w:eastAsia="宋体" w:cs="Times New Roman"/>
                <w:color w:val="auto"/>
                <w:spacing w:val="0"/>
                <w:w w:val="100"/>
                <w:sz w:val="21"/>
                <w:szCs w:val="21"/>
              </w:rPr>
              <w:t>废水排放量</w:t>
            </w:r>
            <w:r>
              <w:rPr>
                <w:rFonts w:hint="default" w:ascii="Times New Roman" w:hAnsi="Times New Roman" w:eastAsia="宋体" w:cs="Times New Roman"/>
                <w:b w:val="0"/>
                <w:bCs/>
                <w:color w:val="auto"/>
                <w:spacing w:val="0"/>
                <w:w w:val="100"/>
                <w:sz w:val="21"/>
                <w:szCs w:val="21"/>
              </w:rPr>
              <w:t>（</w:t>
            </w:r>
            <w:r>
              <w:rPr>
                <w:rFonts w:hint="default" w:ascii="Times New Roman" w:hAnsi="Times New Roman" w:eastAsia="Times New Roman" w:cs="Times New Roman"/>
                <w:b w:val="0"/>
                <w:bCs/>
                <w:color w:val="auto"/>
                <w:spacing w:val="0"/>
                <w:w w:val="100"/>
                <w:sz w:val="21"/>
                <w:szCs w:val="21"/>
              </w:rPr>
              <w:t>m</w:t>
            </w:r>
            <w:r>
              <w:rPr>
                <w:rFonts w:hint="default" w:ascii="Times New Roman" w:hAnsi="Times New Roman" w:eastAsia="Times New Roman" w:cs="Times New Roman"/>
                <w:b w:val="0"/>
                <w:bCs/>
                <w:color w:val="auto"/>
                <w:spacing w:val="0"/>
                <w:w w:val="100"/>
                <w:sz w:val="21"/>
                <w:szCs w:val="21"/>
                <w:vertAlign w:val="superscript"/>
              </w:rPr>
              <w:t>3</w:t>
            </w:r>
            <w:r>
              <w:rPr>
                <w:rFonts w:hint="default" w:ascii="Times New Roman" w:hAnsi="Times New Roman" w:eastAsia="Times New Roman" w:cs="Times New Roman"/>
                <w:b w:val="0"/>
                <w:bCs/>
                <w:color w:val="auto"/>
                <w:spacing w:val="0"/>
                <w:w w:val="100"/>
                <w:sz w:val="21"/>
                <w:szCs w:val="21"/>
                <w:vertAlign w:val="baseline"/>
              </w:rPr>
              <w:t>/s</w:t>
            </w:r>
            <w:r>
              <w:rPr>
                <w:rFonts w:hint="default" w:ascii="Times New Roman" w:hAnsi="Times New Roman" w:eastAsia="宋体" w:cs="Times New Roman"/>
                <w:b w:val="0"/>
                <w:bCs/>
                <w:color w:val="auto"/>
                <w:spacing w:val="0"/>
                <w:w w:val="100"/>
                <w:sz w:val="21"/>
                <w:szCs w:val="21"/>
                <w:vertAlign w:val="baseline"/>
              </w:rPr>
              <w:t>）</w:t>
            </w:r>
          </w:p>
        </w:tc>
        <w:tc>
          <w:tcPr>
            <w:tcW w:w="1530" w:type="pct"/>
            <w:gridSpan w:val="2"/>
            <w:noWrap w:val="0"/>
            <w:vAlign w:val="center"/>
          </w:tcPr>
          <w:p w14:paraId="02C16C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预测因子及其浓度（mg/L）</w:t>
            </w:r>
          </w:p>
        </w:tc>
      </w:tr>
      <w:tr w14:paraId="3A90E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vAlign w:val="center"/>
          </w:tcPr>
          <w:p w14:paraId="465D45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p>
        </w:tc>
        <w:tc>
          <w:tcPr>
            <w:tcW w:w="768" w:type="pct"/>
            <w:vMerge w:val="continue"/>
            <w:noWrap w:val="0"/>
            <w:vAlign w:val="center"/>
          </w:tcPr>
          <w:p w14:paraId="3F35E6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p>
        </w:tc>
        <w:tc>
          <w:tcPr>
            <w:tcW w:w="1226" w:type="pct"/>
            <w:vMerge w:val="continue"/>
            <w:noWrap w:val="0"/>
            <w:vAlign w:val="center"/>
          </w:tcPr>
          <w:p w14:paraId="31A818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p>
        </w:tc>
        <w:tc>
          <w:tcPr>
            <w:tcW w:w="824" w:type="pct"/>
            <w:vMerge w:val="continue"/>
            <w:noWrap w:val="0"/>
            <w:vAlign w:val="center"/>
          </w:tcPr>
          <w:p w14:paraId="77C143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p>
        </w:tc>
        <w:tc>
          <w:tcPr>
            <w:tcW w:w="700" w:type="pct"/>
            <w:noWrap w:val="0"/>
            <w:vAlign w:val="center"/>
          </w:tcPr>
          <w:p w14:paraId="381B1D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COD</w:t>
            </w:r>
          </w:p>
        </w:tc>
        <w:tc>
          <w:tcPr>
            <w:tcW w:w="829" w:type="pct"/>
            <w:noWrap w:val="0"/>
            <w:vAlign w:val="center"/>
          </w:tcPr>
          <w:p w14:paraId="3A8D43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NH</w:t>
            </w:r>
            <w:r>
              <w:rPr>
                <w:rFonts w:hint="default" w:ascii="Times New Roman" w:hAnsi="Times New Roman" w:eastAsia="宋体" w:cs="Times New Roman"/>
                <w:color w:val="auto"/>
                <w:spacing w:val="0"/>
                <w:w w:val="100"/>
                <w:sz w:val="21"/>
                <w:szCs w:val="21"/>
                <w:vertAlign w:val="subscript"/>
              </w:rPr>
              <w:t>3</w:t>
            </w:r>
            <w:r>
              <w:rPr>
                <w:rFonts w:hint="default" w:ascii="Times New Roman" w:hAnsi="Times New Roman" w:eastAsia="宋体" w:cs="Times New Roman"/>
                <w:color w:val="auto"/>
                <w:spacing w:val="0"/>
                <w:w w:val="100"/>
                <w:sz w:val="21"/>
                <w:szCs w:val="21"/>
              </w:rPr>
              <w:t>-N</w:t>
            </w:r>
          </w:p>
        </w:tc>
      </w:tr>
      <w:tr w14:paraId="308AF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650" w:type="pct"/>
            <w:vMerge w:val="restart"/>
            <w:noWrap w:val="0"/>
            <w:vAlign w:val="center"/>
          </w:tcPr>
          <w:p w14:paraId="07F35B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r>
              <w:rPr>
                <w:rFonts w:hint="eastAsia" w:ascii="Times New Roman" w:hAnsi="Times New Roman" w:eastAsia="宋体" w:cs="Times New Roman"/>
                <w:color w:val="auto"/>
                <w:spacing w:val="0"/>
                <w:w w:val="100"/>
                <w:sz w:val="21"/>
                <w:szCs w:val="21"/>
                <w:lang w:eastAsia="zh-CN"/>
              </w:rPr>
              <w:t>污水处理厂</w:t>
            </w:r>
            <w:r>
              <w:rPr>
                <w:rFonts w:hint="default" w:ascii="Times New Roman" w:hAnsi="Times New Roman" w:eastAsia="宋体" w:cs="Times New Roman"/>
                <w:color w:val="auto"/>
                <w:spacing w:val="0"/>
                <w:w w:val="100"/>
                <w:sz w:val="21"/>
                <w:szCs w:val="21"/>
              </w:rPr>
              <w:t>尾水</w:t>
            </w:r>
          </w:p>
        </w:tc>
        <w:tc>
          <w:tcPr>
            <w:tcW w:w="768" w:type="pct"/>
            <w:noWrap w:val="0"/>
            <w:vAlign w:val="center"/>
          </w:tcPr>
          <w:p w14:paraId="3FB396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正常</w:t>
            </w:r>
            <w:r>
              <w:rPr>
                <w:rFonts w:hint="default" w:ascii="Times New Roman" w:hAnsi="Times New Roman" w:eastAsia="宋体" w:cs="Times New Roman"/>
                <w:color w:val="auto"/>
                <w:spacing w:val="0"/>
                <w:w w:val="100"/>
                <w:sz w:val="21"/>
                <w:szCs w:val="21"/>
                <w:lang w:eastAsia="zh-CN"/>
              </w:rPr>
              <w:t>工况</w:t>
            </w:r>
          </w:p>
        </w:tc>
        <w:tc>
          <w:tcPr>
            <w:tcW w:w="1226" w:type="pct"/>
            <w:noWrap w:val="0"/>
            <w:vAlign w:val="center"/>
          </w:tcPr>
          <w:p w14:paraId="47555D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0.116</w:t>
            </w:r>
          </w:p>
        </w:tc>
        <w:tc>
          <w:tcPr>
            <w:tcW w:w="824" w:type="pct"/>
            <w:noWrap w:val="0"/>
            <w:vAlign w:val="center"/>
          </w:tcPr>
          <w:p w14:paraId="4D59D6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0.019</w:t>
            </w:r>
          </w:p>
        </w:tc>
        <w:tc>
          <w:tcPr>
            <w:tcW w:w="700" w:type="pct"/>
            <w:noWrap w:val="0"/>
            <w:vAlign w:val="center"/>
          </w:tcPr>
          <w:p w14:paraId="30A8AB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Cs/>
                <w:color w:val="auto"/>
                <w:spacing w:val="0"/>
                <w:w w:val="100"/>
                <w:sz w:val="21"/>
                <w:szCs w:val="21"/>
              </w:rPr>
            </w:pPr>
            <w:r>
              <w:rPr>
                <w:rFonts w:hint="default" w:ascii="Times New Roman" w:hAnsi="Times New Roman" w:eastAsia="宋体" w:cs="Times New Roman"/>
                <w:iCs/>
                <w:color w:val="auto"/>
                <w:spacing w:val="0"/>
                <w:w w:val="100"/>
                <w:sz w:val="21"/>
                <w:szCs w:val="21"/>
              </w:rPr>
              <w:t>30</w:t>
            </w:r>
          </w:p>
        </w:tc>
        <w:tc>
          <w:tcPr>
            <w:tcW w:w="829" w:type="pct"/>
            <w:noWrap w:val="0"/>
            <w:vAlign w:val="center"/>
          </w:tcPr>
          <w:p w14:paraId="3DF877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rPr>
              <w:t>1.5</w:t>
            </w:r>
          </w:p>
        </w:tc>
      </w:tr>
      <w:tr w14:paraId="3EDE8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vAlign w:val="center"/>
          </w:tcPr>
          <w:p w14:paraId="2B145D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p>
        </w:tc>
        <w:tc>
          <w:tcPr>
            <w:tcW w:w="768" w:type="pct"/>
            <w:noWrap w:val="0"/>
            <w:vAlign w:val="center"/>
          </w:tcPr>
          <w:p w14:paraId="65D546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lang w:eastAsia="zh-CN"/>
              </w:rPr>
              <w:t>非</w:t>
            </w:r>
            <w:r>
              <w:rPr>
                <w:rFonts w:hint="default" w:ascii="Times New Roman" w:hAnsi="Times New Roman" w:eastAsia="宋体" w:cs="Times New Roman"/>
                <w:color w:val="auto"/>
                <w:spacing w:val="0"/>
                <w:w w:val="100"/>
                <w:sz w:val="21"/>
                <w:szCs w:val="21"/>
              </w:rPr>
              <w:t>正常</w:t>
            </w:r>
            <w:r>
              <w:rPr>
                <w:rFonts w:hint="default" w:ascii="Times New Roman" w:hAnsi="Times New Roman" w:eastAsia="宋体" w:cs="Times New Roman"/>
                <w:color w:val="auto"/>
                <w:spacing w:val="0"/>
                <w:w w:val="100"/>
                <w:sz w:val="21"/>
                <w:szCs w:val="21"/>
                <w:lang w:eastAsia="zh-CN"/>
              </w:rPr>
              <w:t>工况</w:t>
            </w:r>
          </w:p>
        </w:tc>
        <w:tc>
          <w:tcPr>
            <w:tcW w:w="1226" w:type="pct"/>
            <w:noWrap w:val="0"/>
            <w:vAlign w:val="center"/>
          </w:tcPr>
          <w:p w14:paraId="5BBFA6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val="en-US" w:eastAsia="zh-CN"/>
              </w:rPr>
              <w:t>0.116</w:t>
            </w:r>
          </w:p>
        </w:tc>
        <w:tc>
          <w:tcPr>
            <w:tcW w:w="824" w:type="pct"/>
            <w:noWrap w:val="0"/>
            <w:vAlign w:val="center"/>
          </w:tcPr>
          <w:p w14:paraId="57B375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0.019</w:t>
            </w:r>
          </w:p>
        </w:tc>
        <w:tc>
          <w:tcPr>
            <w:tcW w:w="700" w:type="pct"/>
            <w:noWrap w:val="0"/>
            <w:vAlign w:val="center"/>
          </w:tcPr>
          <w:p w14:paraId="6542D4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Cs/>
                <w:color w:val="auto"/>
                <w:spacing w:val="0"/>
                <w:w w:val="100"/>
                <w:sz w:val="21"/>
                <w:szCs w:val="21"/>
                <w:lang w:val="en-US" w:eastAsia="zh-CN"/>
              </w:rPr>
            </w:pPr>
            <w:r>
              <w:rPr>
                <w:rFonts w:hint="eastAsia" w:ascii="Times New Roman" w:hAnsi="Times New Roman" w:eastAsia="宋体" w:cs="Times New Roman"/>
                <w:iCs/>
                <w:color w:val="auto"/>
                <w:spacing w:val="0"/>
                <w:w w:val="100"/>
                <w:sz w:val="21"/>
                <w:szCs w:val="21"/>
                <w:lang w:val="en-US" w:eastAsia="zh-CN"/>
              </w:rPr>
              <w:t>350</w:t>
            </w:r>
          </w:p>
        </w:tc>
        <w:tc>
          <w:tcPr>
            <w:tcW w:w="829" w:type="pct"/>
            <w:noWrap w:val="0"/>
            <w:vAlign w:val="center"/>
          </w:tcPr>
          <w:p w14:paraId="0716ED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25</w:t>
            </w:r>
          </w:p>
        </w:tc>
      </w:tr>
      <w:tr w14:paraId="50EA6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restart"/>
            <w:noWrap w:val="0"/>
            <w:vAlign w:val="center"/>
          </w:tcPr>
          <w:p w14:paraId="1FA08B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合计</w:t>
            </w:r>
          </w:p>
        </w:tc>
        <w:tc>
          <w:tcPr>
            <w:tcW w:w="768" w:type="pct"/>
            <w:noWrap w:val="0"/>
            <w:vAlign w:val="center"/>
          </w:tcPr>
          <w:p w14:paraId="442D17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rPr>
              <w:t>正常</w:t>
            </w:r>
            <w:r>
              <w:rPr>
                <w:rFonts w:hint="default" w:ascii="Times New Roman" w:hAnsi="Times New Roman" w:eastAsia="宋体" w:cs="Times New Roman"/>
                <w:color w:val="auto"/>
                <w:spacing w:val="0"/>
                <w:w w:val="100"/>
                <w:sz w:val="21"/>
                <w:szCs w:val="21"/>
                <w:lang w:eastAsia="zh-CN"/>
              </w:rPr>
              <w:t>工况</w:t>
            </w:r>
          </w:p>
        </w:tc>
        <w:tc>
          <w:tcPr>
            <w:tcW w:w="2051" w:type="pct"/>
            <w:gridSpan w:val="2"/>
            <w:noWrap w:val="0"/>
            <w:vAlign w:val="center"/>
          </w:tcPr>
          <w:p w14:paraId="078386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0.135</w:t>
            </w:r>
          </w:p>
        </w:tc>
        <w:tc>
          <w:tcPr>
            <w:tcW w:w="700" w:type="pct"/>
            <w:shd w:val="clear" w:color="auto" w:fill="auto"/>
            <w:noWrap w:val="0"/>
            <w:vAlign w:val="center"/>
          </w:tcPr>
          <w:p w14:paraId="1DD3B9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iCs/>
                <w:color w:val="auto"/>
                <w:spacing w:val="0"/>
                <w:w w:val="100"/>
                <w:kern w:val="2"/>
                <w:sz w:val="21"/>
                <w:szCs w:val="21"/>
                <w:lang w:val="en-US" w:eastAsia="zh-CN" w:bidi="ar-SA"/>
              </w:rPr>
            </w:pPr>
            <w:r>
              <w:rPr>
                <w:rFonts w:hint="default" w:ascii="Times New Roman" w:hAnsi="Times New Roman" w:eastAsia="宋体" w:cs="Times New Roman"/>
                <w:iCs/>
                <w:color w:val="auto"/>
                <w:spacing w:val="0"/>
                <w:w w:val="100"/>
                <w:sz w:val="21"/>
                <w:szCs w:val="21"/>
              </w:rPr>
              <w:t>30</w:t>
            </w:r>
          </w:p>
        </w:tc>
        <w:tc>
          <w:tcPr>
            <w:tcW w:w="829" w:type="pct"/>
            <w:shd w:val="clear" w:color="auto" w:fill="auto"/>
            <w:noWrap w:val="0"/>
            <w:vAlign w:val="center"/>
          </w:tcPr>
          <w:p w14:paraId="5D519A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sz w:val="21"/>
                <w:szCs w:val="21"/>
              </w:rPr>
              <w:t>1.5</w:t>
            </w:r>
          </w:p>
        </w:tc>
      </w:tr>
      <w:tr w14:paraId="7082A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vAlign w:val="center"/>
          </w:tcPr>
          <w:p w14:paraId="1FD008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w w:val="100"/>
                <w:sz w:val="21"/>
                <w:szCs w:val="21"/>
                <w:lang w:val="en-US" w:eastAsia="zh-CN"/>
              </w:rPr>
            </w:pPr>
          </w:p>
        </w:tc>
        <w:tc>
          <w:tcPr>
            <w:tcW w:w="768" w:type="pct"/>
            <w:noWrap w:val="0"/>
            <w:vAlign w:val="center"/>
          </w:tcPr>
          <w:p w14:paraId="48C732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lang w:eastAsia="zh-CN"/>
              </w:rPr>
              <w:t>非</w:t>
            </w:r>
            <w:r>
              <w:rPr>
                <w:rFonts w:hint="default" w:ascii="Times New Roman" w:hAnsi="Times New Roman" w:eastAsia="宋体" w:cs="Times New Roman"/>
                <w:color w:val="auto"/>
                <w:spacing w:val="0"/>
                <w:w w:val="100"/>
                <w:sz w:val="21"/>
                <w:szCs w:val="21"/>
              </w:rPr>
              <w:t>正常</w:t>
            </w:r>
            <w:r>
              <w:rPr>
                <w:rFonts w:hint="default" w:ascii="Times New Roman" w:hAnsi="Times New Roman" w:eastAsia="宋体" w:cs="Times New Roman"/>
                <w:color w:val="auto"/>
                <w:spacing w:val="0"/>
                <w:w w:val="100"/>
                <w:sz w:val="21"/>
                <w:szCs w:val="21"/>
                <w:lang w:eastAsia="zh-CN"/>
              </w:rPr>
              <w:t>工况</w:t>
            </w:r>
          </w:p>
        </w:tc>
        <w:tc>
          <w:tcPr>
            <w:tcW w:w="2051" w:type="pct"/>
            <w:gridSpan w:val="2"/>
            <w:noWrap w:val="0"/>
            <w:vAlign w:val="center"/>
          </w:tcPr>
          <w:p w14:paraId="101794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0.135</w:t>
            </w:r>
          </w:p>
        </w:tc>
        <w:tc>
          <w:tcPr>
            <w:tcW w:w="700" w:type="pct"/>
            <w:shd w:val="clear" w:color="auto" w:fill="auto"/>
            <w:noWrap w:val="0"/>
            <w:vAlign w:val="center"/>
          </w:tcPr>
          <w:p w14:paraId="350652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iCs/>
                <w:color w:val="auto"/>
                <w:spacing w:val="0"/>
                <w:w w:val="100"/>
                <w:kern w:val="2"/>
                <w:sz w:val="21"/>
                <w:szCs w:val="21"/>
                <w:lang w:val="en-US" w:eastAsia="zh-CN" w:bidi="ar-SA"/>
              </w:rPr>
            </w:pPr>
            <w:r>
              <w:rPr>
                <w:rFonts w:hint="eastAsia" w:ascii="Times New Roman" w:hAnsi="Times New Roman" w:eastAsia="宋体" w:cs="Times New Roman"/>
                <w:iCs/>
                <w:color w:val="auto"/>
                <w:spacing w:val="0"/>
                <w:w w:val="100"/>
                <w:sz w:val="21"/>
                <w:szCs w:val="21"/>
                <w:lang w:val="en-US" w:eastAsia="zh-CN"/>
              </w:rPr>
              <w:t>350</w:t>
            </w:r>
          </w:p>
        </w:tc>
        <w:tc>
          <w:tcPr>
            <w:tcW w:w="829" w:type="pct"/>
            <w:shd w:val="clear" w:color="auto" w:fill="auto"/>
            <w:noWrap w:val="0"/>
            <w:vAlign w:val="center"/>
          </w:tcPr>
          <w:p w14:paraId="1DB19D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sz w:val="21"/>
                <w:szCs w:val="21"/>
                <w:lang w:val="en-US" w:eastAsia="zh-CN"/>
              </w:rPr>
              <w:t>25</w:t>
            </w:r>
          </w:p>
        </w:tc>
      </w:tr>
      <w:tr w14:paraId="5EBE8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6"/>
            <w:noWrap w:val="0"/>
            <w:vAlign w:val="center"/>
          </w:tcPr>
          <w:p w14:paraId="6F3A2B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w w:val="100"/>
                <w:sz w:val="21"/>
                <w:szCs w:val="21"/>
                <w:lang w:val="en-US" w:eastAsia="zh-CN"/>
              </w:rPr>
            </w:pPr>
            <w:r>
              <w:rPr>
                <w:rFonts w:hint="eastAsia" w:ascii="Times New Roman" w:hAnsi="Times New Roman" w:eastAsia="宋体" w:cs="Times New Roman"/>
                <w:color w:val="auto"/>
                <w:spacing w:val="0"/>
                <w:w w:val="100"/>
                <w:sz w:val="21"/>
                <w:szCs w:val="21"/>
                <w:lang w:val="en-US" w:eastAsia="zh-CN"/>
              </w:rPr>
              <w:t>注：本项目尾水依托陇县千河南岸新城污水处理厂排放口排放</w:t>
            </w:r>
          </w:p>
        </w:tc>
      </w:tr>
    </w:tbl>
    <w:p w14:paraId="0197C0FE">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t>3、</w:t>
      </w:r>
      <w:r>
        <w:rPr>
          <w:rFonts w:hint="default" w:ascii="Times New Roman" w:hAnsi="Times New Roman" w:eastAsia="宋体" w:cs="Times New Roman"/>
          <w:color w:val="auto"/>
          <w:spacing w:val="0"/>
          <w:w w:val="100"/>
          <w:sz w:val="24"/>
          <w:szCs w:val="24"/>
        </w:rPr>
        <w:t>预测断面</w:t>
      </w:r>
    </w:p>
    <w:p w14:paraId="1E708268">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rPr>
        <w:t>混合过程段长度根据导则推荐的公式估算：</w:t>
      </w:r>
    </w:p>
    <w:p w14:paraId="4B15C71E">
      <w:pPr>
        <w:tabs>
          <w:tab w:val="left" w:pos="4057"/>
        </w:tabs>
        <w:spacing w:line="360" w:lineRule="auto"/>
        <w:jc w:val="center"/>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1"/>
          <w:szCs w:val="24"/>
        </w:rPr>
        <w:drawing>
          <wp:inline distT="0" distB="0" distL="114300" distR="114300">
            <wp:extent cx="2962910" cy="632460"/>
            <wp:effectExtent l="0" t="0" r="8890" b="7620"/>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28"/>
                    <a:stretch>
                      <a:fillRect/>
                    </a:stretch>
                  </pic:blipFill>
                  <pic:spPr>
                    <a:xfrm>
                      <a:off x="0" y="0"/>
                      <a:ext cx="2962910" cy="632460"/>
                    </a:xfrm>
                    <a:prstGeom prst="rect">
                      <a:avLst/>
                    </a:prstGeom>
                    <a:noFill/>
                    <a:ln>
                      <a:noFill/>
                    </a:ln>
                  </pic:spPr>
                </pic:pic>
              </a:graphicData>
            </a:graphic>
          </wp:inline>
        </w:drawing>
      </w:r>
    </w:p>
    <w:p w14:paraId="1AF65B1A">
      <w:pPr>
        <w:tabs>
          <w:tab w:val="left" w:pos="4057"/>
        </w:tabs>
        <w:spacing w:line="360" w:lineRule="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式中：</w:t>
      </w:r>
      <w:r>
        <w:rPr>
          <w:rFonts w:hint="default" w:ascii="Times New Roman" w:hAnsi="Times New Roman" w:eastAsia="Times New Roman" w:cs="Times New Roman"/>
          <w:color w:val="auto"/>
          <w:spacing w:val="0"/>
          <w:w w:val="100"/>
          <w:sz w:val="24"/>
          <w:szCs w:val="24"/>
        </w:rPr>
        <w:t>L</w:t>
      </w:r>
      <w:r>
        <w:rPr>
          <w:rFonts w:hint="default" w:ascii="Times New Roman" w:hAnsi="Times New Roman" w:eastAsia="Times New Roman" w:cs="Times New Roman"/>
          <w:color w:val="auto"/>
          <w:spacing w:val="0"/>
          <w:w w:val="100"/>
          <w:sz w:val="24"/>
          <w:szCs w:val="24"/>
          <w:vertAlign w:val="subscript"/>
        </w:rPr>
        <w:t>m</w:t>
      </w:r>
      <w:r>
        <w:rPr>
          <w:rFonts w:hint="default" w:ascii="Times New Roman" w:hAnsi="Times New Roman" w:eastAsia="宋体" w:cs="Times New Roman"/>
          <w:color w:val="auto"/>
          <w:spacing w:val="0"/>
          <w:w w:val="100"/>
          <w:sz w:val="24"/>
          <w:szCs w:val="24"/>
          <w:vertAlign w:val="baseline"/>
        </w:rPr>
        <w:t>——混合段长度，</w:t>
      </w:r>
      <w:r>
        <w:rPr>
          <w:rFonts w:hint="default" w:ascii="Times New Roman" w:hAnsi="Times New Roman" w:eastAsia="Times New Roman" w:cs="Times New Roman"/>
          <w:color w:val="auto"/>
          <w:spacing w:val="0"/>
          <w:w w:val="100"/>
          <w:sz w:val="24"/>
          <w:szCs w:val="24"/>
          <w:vertAlign w:val="baseline"/>
        </w:rPr>
        <w:t>m</w:t>
      </w:r>
      <w:r>
        <w:rPr>
          <w:rFonts w:hint="default" w:ascii="Times New Roman" w:hAnsi="Times New Roman" w:eastAsia="宋体" w:cs="Times New Roman"/>
          <w:color w:val="auto"/>
          <w:spacing w:val="0"/>
          <w:w w:val="100"/>
          <w:sz w:val="24"/>
          <w:szCs w:val="24"/>
          <w:vertAlign w:val="baseline"/>
        </w:rPr>
        <w:t>；</w:t>
      </w:r>
    </w:p>
    <w:p w14:paraId="63B05CF9">
      <w:pPr>
        <w:tabs>
          <w:tab w:val="left" w:pos="4057"/>
        </w:tabs>
        <w:spacing w:line="360" w:lineRule="auto"/>
        <w:ind w:firstLine="720" w:firstLineChars="300"/>
        <w:rPr>
          <w:rFonts w:hint="default" w:ascii="Times New Roman" w:hAnsi="Times New Roman" w:eastAsia="宋体" w:cs="Times New Roman"/>
          <w:color w:val="auto"/>
          <w:spacing w:val="0"/>
          <w:w w:val="100"/>
          <w:sz w:val="24"/>
          <w:szCs w:val="24"/>
        </w:rPr>
      </w:pPr>
      <w:r>
        <w:rPr>
          <w:rFonts w:hint="default" w:ascii="Times New Roman" w:hAnsi="Times New Roman" w:eastAsia="Times New Roman" w:cs="Times New Roman"/>
          <w:color w:val="auto"/>
          <w:spacing w:val="0"/>
          <w:w w:val="100"/>
          <w:sz w:val="24"/>
          <w:szCs w:val="24"/>
        </w:rPr>
        <w:t>B</w:t>
      </w:r>
      <w:r>
        <w:rPr>
          <w:rFonts w:hint="default" w:ascii="Times New Roman" w:hAnsi="Times New Roman" w:eastAsia="宋体" w:cs="Times New Roman"/>
          <w:color w:val="auto"/>
          <w:spacing w:val="0"/>
          <w:w w:val="100"/>
          <w:sz w:val="24"/>
          <w:szCs w:val="24"/>
        </w:rPr>
        <w:t>——水面宽度，</w:t>
      </w:r>
      <w:r>
        <w:rPr>
          <w:rFonts w:hint="default" w:ascii="Times New Roman" w:hAnsi="Times New Roman" w:eastAsia="Times New Roman" w:cs="Times New Roman"/>
          <w:color w:val="auto"/>
          <w:spacing w:val="0"/>
          <w:w w:val="100"/>
          <w:sz w:val="24"/>
          <w:szCs w:val="24"/>
        </w:rPr>
        <w:t>m</w:t>
      </w:r>
      <w:r>
        <w:rPr>
          <w:rFonts w:hint="eastAsia" w:ascii="Times New Roman" w:hAnsi="Times New Roman" w:eastAsia="宋体" w:cs="Times New Roman"/>
          <w:color w:val="auto"/>
          <w:spacing w:val="0"/>
          <w:w w:val="100"/>
          <w:sz w:val="24"/>
          <w:szCs w:val="24"/>
          <w:lang w:eastAsia="zh-CN"/>
        </w:rPr>
        <w:t>，取</w:t>
      </w:r>
      <w:r>
        <w:rPr>
          <w:rFonts w:hint="eastAsia" w:ascii="Times New Roman" w:hAnsi="Times New Roman" w:eastAsia="宋体" w:cs="Times New Roman"/>
          <w:color w:val="auto"/>
          <w:spacing w:val="0"/>
          <w:w w:val="100"/>
          <w:sz w:val="24"/>
          <w:szCs w:val="24"/>
          <w:lang w:val="en-US" w:eastAsia="zh-CN"/>
        </w:rPr>
        <w:t>6m</w:t>
      </w:r>
      <w:r>
        <w:rPr>
          <w:rFonts w:hint="default" w:ascii="Times New Roman" w:hAnsi="Times New Roman" w:eastAsia="宋体" w:cs="Times New Roman"/>
          <w:color w:val="auto"/>
          <w:spacing w:val="0"/>
          <w:w w:val="100"/>
          <w:sz w:val="24"/>
          <w:szCs w:val="24"/>
        </w:rPr>
        <w:t>；</w:t>
      </w:r>
    </w:p>
    <w:p w14:paraId="67FDD29E">
      <w:pPr>
        <w:tabs>
          <w:tab w:val="left" w:pos="4057"/>
        </w:tabs>
        <w:spacing w:line="360" w:lineRule="auto"/>
        <w:ind w:firstLine="720" w:firstLineChars="300"/>
        <w:rPr>
          <w:rFonts w:hint="default" w:ascii="Times New Roman" w:hAnsi="Times New Roman" w:eastAsia="宋体" w:cs="Times New Roman"/>
          <w:color w:val="auto"/>
          <w:spacing w:val="0"/>
          <w:w w:val="100"/>
          <w:sz w:val="24"/>
          <w:szCs w:val="24"/>
        </w:rPr>
      </w:pPr>
      <w:r>
        <w:rPr>
          <w:rFonts w:hint="default" w:ascii="Times New Roman" w:hAnsi="Times New Roman" w:eastAsia="Times New Roman" w:cs="Times New Roman"/>
          <w:color w:val="auto"/>
          <w:spacing w:val="0"/>
          <w:w w:val="100"/>
          <w:sz w:val="24"/>
          <w:szCs w:val="24"/>
        </w:rPr>
        <w:t>a</w:t>
      </w:r>
      <w:r>
        <w:rPr>
          <w:rFonts w:hint="default" w:ascii="Times New Roman" w:hAnsi="Times New Roman" w:eastAsia="宋体" w:cs="Times New Roman"/>
          <w:color w:val="auto"/>
          <w:spacing w:val="0"/>
          <w:w w:val="100"/>
          <w:sz w:val="24"/>
          <w:szCs w:val="24"/>
        </w:rPr>
        <w:t>——排放口到岸边的距离，</w:t>
      </w:r>
      <w:r>
        <w:rPr>
          <w:rFonts w:hint="eastAsia" w:ascii="Times New Roman" w:hAnsi="Times New Roman" w:eastAsia="宋体" w:cs="Times New Roman"/>
          <w:color w:val="auto"/>
          <w:spacing w:val="0"/>
          <w:w w:val="100"/>
          <w:sz w:val="24"/>
          <w:szCs w:val="24"/>
          <w:lang w:val="en-US" w:eastAsia="zh-CN"/>
        </w:rPr>
        <w:t>0</w:t>
      </w:r>
      <w:r>
        <w:rPr>
          <w:rFonts w:hint="default" w:ascii="Times New Roman" w:hAnsi="Times New Roman" w:eastAsia="Times New Roman" w:cs="Times New Roman"/>
          <w:color w:val="auto"/>
          <w:spacing w:val="0"/>
          <w:w w:val="100"/>
          <w:sz w:val="24"/>
          <w:szCs w:val="24"/>
        </w:rPr>
        <w:t>m</w:t>
      </w:r>
      <w:r>
        <w:rPr>
          <w:rFonts w:hint="default" w:ascii="Times New Roman" w:hAnsi="Times New Roman" w:eastAsia="宋体" w:cs="Times New Roman"/>
          <w:color w:val="auto"/>
          <w:spacing w:val="0"/>
          <w:w w:val="100"/>
          <w:sz w:val="24"/>
          <w:szCs w:val="24"/>
        </w:rPr>
        <w:t>；</w:t>
      </w:r>
    </w:p>
    <w:p w14:paraId="77DBAC28">
      <w:pPr>
        <w:tabs>
          <w:tab w:val="left" w:pos="4057"/>
        </w:tabs>
        <w:spacing w:line="360" w:lineRule="auto"/>
        <w:ind w:firstLine="720" w:firstLineChars="300"/>
        <w:rPr>
          <w:rFonts w:hint="default" w:ascii="Times New Roman" w:hAnsi="Times New Roman" w:eastAsia="宋体" w:cs="Times New Roman"/>
          <w:color w:val="auto"/>
          <w:spacing w:val="0"/>
          <w:w w:val="100"/>
          <w:sz w:val="24"/>
          <w:szCs w:val="24"/>
        </w:rPr>
      </w:pPr>
      <w:r>
        <w:rPr>
          <w:rFonts w:hint="default" w:ascii="Times New Roman" w:hAnsi="Times New Roman" w:eastAsia="Times New Roman" w:cs="Times New Roman"/>
          <w:color w:val="auto"/>
          <w:spacing w:val="0"/>
          <w:w w:val="100"/>
          <w:sz w:val="24"/>
          <w:szCs w:val="24"/>
        </w:rPr>
        <w:t>u</w:t>
      </w:r>
      <w:r>
        <w:rPr>
          <w:rFonts w:hint="default" w:ascii="Times New Roman" w:hAnsi="Times New Roman" w:eastAsia="宋体" w:cs="Times New Roman"/>
          <w:color w:val="auto"/>
          <w:spacing w:val="0"/>
          <w:w w:val="100"/>
          <w:sz w:val="24"/>
          <w:szCs w:val="24"/>
        </w:rPr>
        <w:t>——断面流速，</w:t>
      </w:r>
      <w:r>
        <w:rPr>
          <w:rFonts w:hint="eastAsia" w:ascii="Times New Roman" w:hAnsi="Times New Roman" w:eastAsia="宋体" w:cs="Times New Roman"/>
          <w:color w:val="auto"/>
          <w:spacing w:val="0"/>
          <w:w w:val="100"/>
          <w:sz w:val="24"/>
          <w:szCs w:val="24"/>
          <w:lang w:val="en-US" w:eastAsia="zh-CN"/>
        </w:rPr>
        <w:t>取监测时</w:t>
      </w:r>
      <w:r>
        <w:rPr>
          <w:rFonts w:hint="eastAsia" w:ascii="Times New Roman" w:hAnsi="Times New Roman" w:eastAsia="宋体" w:cs="Times New Roman"/>
          <w:color w:val="auto"/>
          <w:spacing w:val="0"/>
          <w:w w:val="100"/>
          <w:sz w:val="24"/>
          <w:szCs w:val="24"/>
          <w:lang w:eastAsia="zh-CN"/>
        </w:rPr>
        <w:t>流速</w:t>
      </w:r>
      <w:r>
        <w:rPr>
          <w:rFonts w:hint="eastAsia" w:ascii="Times New Roman" w:hAnsi="Times New Roman" w:eastAsia="宋体" w:cs="Times New Roman"/>
          <w:color w:val="auto"/>
          <w:spacing w:val="0"/>
          <w:w w:val="100"/>
          <w:sz w:val="24"/>
          <w:szCs w:val="24"/>
          <w:lang w:val="en-US" w:eastAsia="zh-CN"/>
        </w:rPr>
        <w:t>0.22</w:t>
      </w:r>
      <w:r>
        <w:rPr>
          <w:rFonts w:hint="default" w:ascii="Times New Roman" w:hAnsi="Times New Roman" w:eastAsia="Times New Roman" w:cs="Times New Roman"/>
          <w:color w:val="auto"/>
          <w:spacing w:val="0"/>
          <w:w w:val="100"/>
          <w:sz w:val="24"/>
          <w:szCs w:val="24"/>
        </w:rPr>
        <w:t>m/s</w:t>
      </w:r>
      <w:r>
        <w:rPr>
          <w:rFonts w:hint="default" w:ascii="Times New Roman" w:hAnsi="Times New Roman" w:eastAsia="宋体" w:cs="Times New Roman"/>
          <w:color w:val="auto"/>
          <w:spacing w:val="0"/>
          <w:w w:val="100"/>
          <w:sz w:val="24"/>
          <w:szCs w:val="24"/>
        </w:rPr>
        <w:t>；</w:t>
      </w:r>
    </w:p>
    <w:p w14:paraId="66FFCAA8">
      <w:pPr>
        <w:tabs>
          <w:tab w:val="left" w:pos="4057"/>
        </w:tabs>
        <w:spacing w:line="360" w:lineRule="auto"/>
        <w:ind w:firstLine="720" w:firstLineChars="300"/>
        <w:rPr>
          <w:rFonts w:hint="default" w:ascii="Times New Roman" w:hAnsi="Times New Roman" w:eastAsia="宋体" w:cs="Times New Roman"/>
          <w:color w:val="auto"/>
          <w:spacing w:val="0"/>
          <w:w w:val="100"/>
          <w:sz w:val="24"/>
          <w:szCs w:val="24"/>
        </w:rPr>
      </w:pPr>
      <w:r>
        <w:rPr>
          <w:rFonts w:hint="default" w:ascii="Times New Roman" w:hAnsi="Times New Roman" w:eastAsia="Times New Roman" w:cs="Times New Roman"/>
          <w:color w:val="auto"/>
          <w:spacing w:val="0"/>
          <w:w w:val="100"/>
          <w:sz w:val="24"/>
          <w:szCs w:val="24"/>
        </w:rPr>
        <w:t>Ey</w:t>
      </w:r>
      <w:r>
        <w:rPr>
          <w:rFonts w:hint="default" w:ascii="Times New Roman" w:hAnsi="Times New Roman" w:eastAsia="宋体" w:cs="Times New Roman"/>
          <w:color w:val="auto"/>
          <w:spacing w:val="0"/>
          <w:w w:val="100"/>
          <w:sz w:val="24"/>
          <w:szCs w:val="24"/>
        </w:rPr>
        <w:t>——污染物横向扩散系数，</w:t>
      </w:r>
      <w:r>
        <w:rPr>
          <w:rFonts w:hint="default" w:ascii="Times New Roman" w:hAnsi="Times New Roman" w:eastAsia="Times New Roman" w:cs="Times New Roman"/>
          <w:color w:val="auto"/>
          <w:spacing w:val="0"/>
          <w:w w:val="100"/>
          <w:sz w:val="24"/>
          <w:szCs w:val="24"/>
        </w:rPr>
        <w:t>m</w:t>
      </w:r>
      <w:r>
        <w:rPr>
          <w:rFonts w:hint="default" w:ascii="Times New Roman" w:hAnsi="Times New Roman" w:eastAsia="Times New Roman" w:cs="Times New Roman"/>
          <w:color w:val="auto"/>
          <w:spacing w:val="0"/>
          <w:w w:val="100"/>
          <w:sz w:val="24"/>
          <w:szCs w:val="24"/>
          <w:vertAlign w:val="superscript"/>
        </w:rPr>
        <w:t>2</w:t>
      </w:r>
      <w:r>
        <w:rPr>
          <w:rFonts w:hint="default" w:ascii="Times New Roman" w:hAnsi="Times New Roman" w:eastAsia="Times New Roman" w:cs="Times New Roman"/>
          <w:color w:val="auto"/>
          <w:spacing w:val="0"/>
          <w:w w:val="100"/>
          <w:sz w:val="24"/>
          <w:szCs w:val="24"/>
          <w:vertAlign w:val="baseline"/>
        </w:rPr>
        <w:t>/s</w:t>
      </w:r>
      <w:r>
        <w:rPr>
          <w:rFonts w:hint="default" w:ascii="Times New Roman" w:hAnsi="Times New Roman" w:eastAsia="宋体" w:cs="Times New Roman"/>
          <w:color w:val="auto"/>
          <w:spacing w:val="0"/>
          <w:w w:val="100"/>
          <w:sz w:val="24"/>
          <w:szCs w:val="24"/>
          <w:vertAlign w:val="baseline"/>
        </w:rPr>
        <w:t>。</w:t>
      </w:r>
      <w:r>
        <w:rPr>
          <w:rFonts w:hint="default" w:ascii="Times New Roman" w:hAnsi="Times New Roman" w:eastAsia="宋体" w:cs="Times New Roman"/>
          <w:color w:val="auto"/>
          <w:spacing w:val="0"/>
          <w:w w:val="100"/>
          <w:sz w:val="24"/>
          <w:szCs w:val="24"/>
        </w:rPr>
        <w:t>由泰勒法（0.058H+0.0065B）</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gHI</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vertAlign w:val="superscript"/>
        </w:rPr>
        <w:t>1/2</w:t>
      </w:r>
      <w:r>
        <w:rPr>
          <w:rFonts w:hint="default" w:ascii="Times New Roman" w:hAnsi="Times New Roman" w:eastAsia="宋体" w:cs="Times New Roman"/>
          <w:color w:val="auto"/>
          <w:spacing w:val="0"/>
          <w:w w:val="100"/>
          <w:sz w:val="24"/>
          <w:szCs w:val="24"/>
        </w:rPr>
        <w:t>求得，其中g为重力加速度，取9.8m/s</w:t>
      </w:r>
      <w:r>
        <w:rPr>
          <w:rFonts w:hint="default" w:ascii="Times New Roman" w:hAnsi="Times New Roman" w:eastAsia="宋体" w:cs="Times New Roman"/>
          <w:color w:val="auto"/>
          <w:spacing w:val="0"/>
          <w:w w:val="100"/>
          <w:sz w:val="24"/>
          <w:szCs w:val="24"/>
          <w:vertAlign w:val="superscript"/>
        </w:rPr>
        <w:t>2</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I为水力坡度，‰</w:t>
      </w:r>
      <w:r>
        <w:rPr>
          <w:rFonts w:hint="default"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取</w:t>
      </w:r>
      <w:r>
        <w:rPr>
          <w:rFonts w:hint="eastAsia" w:ascii="Times New Roman" w:hAnsi="Times New Roman" w:eastAsia="宋体" w:cs="Times New Roman"/>
          <w:color w:val="auto"/>
          <w:spacing w:val="0"/>
          <w:w w:val="100"/>
          <w:sz w:val="24"/>
          <w:szCs w:val="24"/>
          <w:lang w:val="en-US" w:eastAsia="zh-CN"/>
        </w:rPr>
        <w:t>7.4</w:t>
      </w:r>
      <w:r>
        <w:rPr>
          <w:rFonts w:hint="default" w:ascii="Times New Roman" w:hAnsi="Times New Roman" w:eastAsia="宋体" w:cs="Times New Roman"/>
          <w:color w:val="auto"/>
          <w:spacing w:val="0"/>
          <w:w w:val="100"/>
          <w:sz w:val="24"/>
          <w:szCs w:val="24"/>
        </w:rPr>
        <w:t>‰；</w:t>
      </w:r>
    </w:p>
    <w:p w14:paraId="28BF2FB3">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根据计算，本项目污水排入</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混合过程段长度</w:t>
      </w:r>
      <w:r>
        <w:rPr>
          <w:rFonts w:hint="eastAsia" w:ascii="Times New Roman" w:hAnsi="Times New Roman" w:eastAsia="宋体" w:cs="Times New Roman"/>
          <w:color w:val="auto"/>
          <w:spacing w:val="0"/>
          <w:w w:val="100"/>
          <w:sz w:val="24"/>
          <w:szCs w:val="24"/>
          <w:lang w:eastAsia="zh-CN"/>
        </w:rPr>
        <w:t>约</w:t>
      </w:r>
      <w:r>
        <w:rPr>
          <w:rFonts w:hint="default" w:ascii="Times New Roman" w:hAnsi="Times New Roman" w:eastAsia="宋体" w:cs="Times New Roman"/>
          <w:color w:val="auto"/>
          <w:spacing w:val="0"/>
          <w:w w:val="100"/>
          <w:sz w:val="24"/>
          <w:szCs w:val="24"/>
        </w:rPr>
        <w:t>为</w:t>
      </w:r>
      <w:r>
        <w:rPr>
          <w:rFonts w:hint="eastAsia" w:ascii="Times New Roman" w:hAnsi="Times New Roman" w:eastAsia="宋体" w:cs="Times New Roman"/>
          <w:color w:val="auto"/>
          <w:spacing w:val="0"/>
          <w:w w:val="100"/>
          <w:sz w:val="24"/>
          <w:szCs w:val="24"/>
          <w:lang w:val="en-US" w:eastAsia="zh-CN"/>
        </w:rPr>
        <w:t>10.45</w:t>
      </w:r>
      <w:r>
        <w:rPr>
          <w:rFonts w:hint="default" w:ascii="Times New Roman" w:hAnsi="Times New Roman" w:eastAsia="宋体" w:cs="Times New Roman"/>
          <w:color w:val="auto"/>
          <w:spacing w:val="0"/>
          <w:w w:val="100"/>
          <w:sz w:val="24"/>
          <w:szCs w:val="24"/>
        </w:rPr>
        <w:t>m，说明</w:t>
      </w:r>
      <w:r>
        <w:rPr>
          <w:rFonts w:hint="default" w:ascii="Times New Roman" w:hAnsi="Times New Roman" w:eastAsia="宋体" w:cs="Times New Roman"/>
          <w:color w:val="auto"/>
          <w:spacing w:val="0"/>
          <w:w w:val="100"/>
          <w:sz w:val="24"/>
          <w:szCs w:val="24"/>
          <w:lang w:eastAsia="zh-CN"/>
        </w:rPr>
        <w:t>污水</w:t>
      </w:r>
      <w:r>
        <w:rPr>
          <w:rFonts w:hint="default" w:ascii="Times New Roman" w:hAnsi="Times New Roman" w:eastAsia="宋体" w:cs="Times New Roman"/>
          <w:color w:val="auto"/>
          <w:spacing w:val="0"/>
          <w:w w:val="100"/>
          <w:sz w:val="24"/>
          <w:szCs w:val="24"/>
        </w:rPr>
        <w:t>排入</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下游</w:t>
      </w:r>
      <w:r>
        <w:rPr>
          <w:rFonts w:hint="eastAsia" w:ascii="Times New Roman" w:hAnsi="Times New Roman" w:eastAsia="宋体" w:cs="Times New Roman"/>
          <w:color w:val="auto"/>
          <w:spacing w:val="0"/>
          <w:w w:val="100"/>
          <w:sz w:val="24"/>
          <w:szCs w:val="24"/>
          <w:lang w:val="en-US" w:eastAsia="zh-CN"/>
        </w:rPr>
        <w:t>10.45</w:t>
      </w:r>
      <w:r>
        <w:rPr>
          <w:rFonts w:hint="default" w:ascii="Times New Roman" w:hAnsi="Times New Roman" w:eastAsia="宋体" w:cs="Times New Roman"/>
          <w:color w:val="auto"/>
          <w:spacing w:val="0"/>
          <w:w w:val="100"/>
          <w:sz w:val="24"/>
          <w:szCs w:val="24"/>
        </w:rPr>
        <w:t>m后可完全混合。本次评价选取</w:t>
      </w:r>
      <w:r>
        <w:rPr>
          <w:rFonts w:hint="default" w:ascii="Times New Roman" w:hAnsi="Times New Roman" w:eastAsia="宋体" w:cs="Times New Roman"/>
          <w:color w:val="auto"/>
          <w:spacing w:val="0"/>
          <w:w w:val="100"/>
          <w:sz w:val="24"/>
          <w:szCs w:val="24"/>
          <w:lang w:eastAsia="zh-CN"/>
        </w:rPr>
        <w:t>污水</w:t>
      </w:r>
      <w:r>
        <w:rPr>
          <w:rFonts w:hint="default" w:ascii="Times New Roman" w:hAnsi="Times New Roman" w:eastAsia="宋体" w:cs="Times New Roman"/>
          <w:color w:val="auto"/>
          <w:spacing w:val="0"/>
          <w:w w:val="100"/>
          <w:sz w:val="24"/>
          <w:szCs w:val="24"/>
        </w:rPr>
        <w:t>排入口处</w:t>
      </w:r>
      <w:r>
        <w:rPr>
          <w:rFonts w:hint="default" w:ascii="Times New Roman" w:hAnsi="Times New Roman" w:eastAsia="宋体" w:cs="Times New Roman"/>
          <w:color w:val="auto"/>
          <w:spacing w:val="0"/>
          <w:w w:val="100"/>
          <w:sz w:val="24"/>
          <w:szCs w:val="24"/>
          <w:lang w:eastAsia="zh-CN"/>
        </w:rPr>
        <w:t>，入河</w:t>
      </w:r>
      <w:r>
        <w:rPr>
          <w:rFonts w:hint="default" w:ascii="Times New Roman" w:hAnsi="Times New Roman" w:eastAsia="宋体" w:cs="Times New Roman"/>
          <w:color w:val="auto"/>
          <w:spacing w:val="0"/>
          <w:w w:val="100"/>
          <w:sz w:val="24"/>
          <w:szCs w:val="24"/>
        </w:rPr>
        <w:t>排污口下游</w:t>
      </w:r>
      <w:r>
        <w:rPr>
          <w:rFonts w:hint="eastAsia" w:ascii="Times New Roman" w:hAnsi="Times New Roman" w:eastAsia="宋体" w:cs="Times New Roman"/>
          <w:color w:val="auto"/>
          <w:spacing w:val="0"/>
          <w:w w:val="100"/>
          <w:sz w:val="24"/>
          <w:szCs w:val="24"/>
          <w:lang w:val="en-US" w:eastAsia="zh-CN"/>
        </w:rPr>
        <w:t>1.5</w:t>
      </w:r>
      <w:r>
        <w:rPr>
          <w:rFonts w:hint="default" w:ascii="Times New Roman" w:hAnsi="Times New Roman" w:eastAsia="宋体" w:cs="Times New Roman"/>
          <w:color w:val="auto"/>
          <w:spacing w:val="0"/>
          <w:w w:val="100"/>
          <w:sz w:val="24"/>
          <w:szCs w:val="24"/>
        </w:rPr>
        <w:t>km处为本次预测评价断面</w:t>
      </w:r>
      <w:r>
        <w:rPr>
          <w:rFonts w:hint="default" w:ascii="Times New Roman" w:hAnsi="Times New Roman" w:eastAsia="宋体" w:cs="Times New Roman"/>
          <w:color w:val="auto"/>
          <w:spacing w:val="0"/>
          <w:w w:val="100"/>
          <w:sz w:val="24"/>
          <w:szCs w:val="24"/>
          <w:lang w:eastAsia="zh-CN"/>
        </w:rPr>
        <w:t>。</w:t>
      </w:r>
    </w:p>
    <w:p w14:paraId="273167CF">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t>4、</w:t>
      </w:r>
      <w:r>
        <w:rPr>
          <w:rFonts w:hint="default" w:ascii="Times New Roman" w:hAnsi="Times New Roman" w:eastAsia="宋体" w:cs="Times New Roman"/>
          <w:color w:val="auto"/>
          <w:spacing w:val="0"/>
          <w:w w:val="100"/>
          <w:sz w:val="24"/>
          <w:szCs w:val="24"/>
        </w:rPr>
        <w:t>预测模式</w:t>
      </w:r>
    </w:p>
    <w:p w14:paraId="4FCA14D6">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t>根据本项目的污染源特性、</w:t>
      </w:r>
      <w:r>
        <w:rPr>
          <w:rFonts w:hint="eastAsia" w:ascii="Times New Roman" w:hAnsi="Times New Roman" w:eastAsia="宋体" w:cs="Times New Roman"/>
          <w:color w:val="auto"/>
          <w:spacing w:val="0"/>
          <w:w w:val="100"/>
          <w:sz w:val="24"/>
          <w:szCs w:val="24"/>
          <w:lang w:val="en-US" w:eastAsia="zh-CN"/>
        </w:rPr>
        <w:t>千河</w:t>
      </w:r>
      <w:r>
        <w:rPr>
          <w:rFonts w:hint="default" w:ascii="Times New Roman" w:hAnsi="Times New Roman" w:eastAsia="宋体" w:cs="Times New Roman"/>
          <w:color w:val="auto"/>
          <w:spacing w:val="0"/>
          <w:w w:val="100"/>
          <w:sz w:val="24"/>
          <w:szCs w:val="24"/>
          <w:lang w:val="en-US" w:eastAsia="zh-CN"/>
        </w:rPr>
        <w:t>水质类型、水环境特点，可知收纳水体</w:t>
      </w:r>
      <w:r>
        <w:rPr>
          <w:rFonts w:hint="eastAsia" w:ascii="Times New Roman" w:hAnsi="Times New Roman" w:eastAsia="宋体" w:cs="Times New Roman"/>
          <w:color w:val="auto"/>
          <w:spacing w:val="0"/>
          <w:w w:val="100"/>
          <w:sz w:val="24"/>
          <w:szCs w:val="24"/>
          <w:lang w:val="en-US" w:eastAsia="zh-CN"/>
        </w:rPr>
        <w:t>千河</w:t>
      </w:r>
      <w:r>
        <w:rPr>
          <w:rFonts w:hint="default" w:ascii="Times New Roman" w:hAnsi="Times New Roman" w:eastAsia="宋体" w:cs="Times New Roman"/>
          <w:color w:val="auto"/>
          <w:spacing w:val="0"/>
          <w:w w:val="100"/>
          <w:sz w:val="24"/>
          <w:szCs w:val="24"/>
          <w:lang w:val="en-US" w:eastAsia="zh-CN"/>
        </w:rPr>
        <w:t>水域基本均匀混合，水流稳定，</w:t>
      </w:r>
      <w:r>
        <w:rPr>
          <w:rFonts w:hint="eastAsia" w:ascii="Times New Roman" w:hAnsi="Times New Roman" w:eastAsia="宋体" w:cs="Times New Roman"/>
          <w:color w:val="auto"/>
          <w:spacing w:val="0"/>
          <w:w w:val="100"/>
          <w:sz w:val="24"/>
          <w:szCs w:val="24"/>
          <w:lang w:val="en-US" w:eastAsia="zh-CN"/>
        </w:rPr>
        <w:t>弯曲系数小于1.3，</w:t>
      </w:r>
      <w:r>
        <w:rPr>
          <w:rFonts w:hint="default" w:ascii="Times New Roman" w:hAnsi="Times New Roman" w:eastAsia="宋体" w:cs="Times New Roman"/>
          <w:color w:val="auto"/>
          <w:spacing w:val="0"/>
          <w:w w:val="100"/>
          <w:sz w:val="24"/>
          <w:szCs w:val="24"/>
          <w:lang w:val="en-US" w:eastAsia="zh-CN"/>
        </w:rPr>
        <w:t>同时本项目排污稳定，因此，本次评价采用</w:t>
      </w:r>
      <w:r>
        <w:rPr>
          <w:rFonts w:hint="eastAsia" w:ascii="Times New Roman" w:hAnsi="Times New Roman" w:eastAsia="宋体" w:cs="Times New Roman"/>
          <w:color w:val="auto"/>
          <w:spacing w:val="0"/>
          <w:w w:val="100"/>
          <w:sz w:val="24"/>
          <w:szCs w:val="24"/>
          <w:lang w:val="en-US" w:eastAsia="zh-CN"/>
        </w:rPr>
        <w:t>解析法</w:t>
      </w:r>
      <w:r>
        <w:rPr>
          <w:rFonts w:hint="default" w:ascii="Times New Roman" w:hAnsi="Times New Roman" w:eastAsia="宋体" w:cs="Times New Roman"/>
          <w:color w:val="auto"/>
          <w:spacing w:val="0"/>
          <w:w w:val="100"/>
          <w:sz w:val="24"/>
          <w:szCs w:val="24"/>
          <w:lang w:val="en-US" w:eastAsia="zh-CN"/>
        </w:rPr>
        <w:t>进行预测：</w:t>
      </w:r>
    </w:p>
    <w:p w14:paraId="6D96B652">
      <w:pPr>
        <w:tabs>
          <w:tab w:val="left" w:pos="4057"/>
        </w:tabs>
        <w:spacing w:line="360" w:lineRule="auto"/>
        <w:ind w:firstLine="480" w:firstLineChars="200"/>
        <w:rPr>
          <w:rFonts w:hint="default" w:ascii="Times New Roman" w:hAnsi="Times New Roman" w:eastAsia="宋体" w:cs="Times New Roman"/>
          <w:color w:val="auto"/>
          <w:spacing w:val="0"/>
          <w:w w:val="100"/>
          <w:sz w:val="21"/>
          <w:szCs w:val="24"/>
        </w:rPr>
      </w:pPr>
      <w:r>
        <w:rPr>
          <w:rFonts w:hint="default" w:ascii="Times New Roman" w:hAnsi="Times New Roman" w:eastAsia="宋体" w:cs="Times New Roman"/>
          <w:color w:val="auto"/>
          <w:spacing w:val="0"/>
          <w:w w:val="100"/>
          <w:sz w:val="24"/>
          <w:szCs w:val="24"/>
        </w:rPr>
        <w:t>本项目废水连续稳定排放，</w:t>
      </w:r>
      <w:r>
        <w:rPr>
          <w:rFonts w:hint="default" w:ascii="Times New Roman" w:hAnsi="Times New Roman" w:eastAsia="宋体" w:cs="Times New Roman"/>
          <w:color w:val="auto"/>
          <w:spacing w:val="0"/>
          <w:w w:val="100"/>
          <w:kern w:val="0"/>
          <w:sz w:val="24"/>
          <w:szCs w:val="24"/>
          <w:lang w:val="en-US" w:eastAsia="zh-CN" w:bidi="ar"/>
        </w:rPr>
        <w:t>O＇Connor</w:t>
      </w:r>
      <w:r>
        <w:rPr>
          <w:rFonts w:hint="default" w:ascii="Times New Roman" w:hAnsi="Times New Roman" w:eastAsia="宋体" w:cs="Times New Roman"/>
          <w:color w:val="auto"/>
          <w:spacing w:val="0"/>
          <w:w w:val="100"/>
          <w:sz w:val="24"/>
          <w:szCs w:val="24"/>
        </w:rPr>
        <w:t>数</w:t>
      </w:r>
      <w:r>
        <w:rPr>
          <w:rFonts w:hint="eastAsia" w:ascii="Times New Roman" w:hAnsi="Times New Roman" w:eastAsia="宋体" w:cs="Times New Roman"/>
          <w:color w:val="auto"/>
          <w:spacing w:val="0"/>
          <w:w w:val="100"/>
          <w:sz w:val="24"/>
          <w:szCs w:val="24"/>
          <w:lang w:eastAsia="zh-CN"/>
        </w:rPr>
        <w:t>计算公式</w:t>
      </w:r>
      <w:r>
        <w:rPr>
          <w:rFonts w:hint="default" w:ascii="Times New Roman" w:hAnsi="Times New Roman" w:eastAsia="宋体" w:cs="Times New Roman"/>
          <w:color w:val="auto"/>
          <w:spacing w:val="0"/>
          <w:w w:val="100"/>
          <w:sz w:val="24"/>
          <w:szCs w:val="24"/>
        </w:rPr>
        <w:t>如下：</w:t>
      </w:r>
    </w:p>
    <w:p w14:paraId="5915D5C0">
      <w:pPr>
        <w:widowControl w:val="0"/>
        <w:tabs>
          <w:tab w:val="left" w:pos="2520"/>
        </w:tabs>
        <w:spacing w:before="184" w:after="120" w:line="364" w:lineRule="auto"/>
        <w:ind w:right="1252" w:firstLine="480"/>
        <w:jc w:val="center"/>
        <w:rPr>
          <w:rFonts w:hint="default" w:ascii="Times New Roman" w:hAnsi="Times New Roman" w:eastAsia="宋体" w:cs="Times New Roman"/>
          <w:color w:val="auto"/>
          <w:spacing w:val="0"/>
          <w:w w:val="100"/>
          <w:kern w:val="2"/>
          <w:sz w:val="21"/>
          <w:szCs w:val="24"/>
          <w:lang w:val="en-US" w:eastAsia="zh-CN" w:bidi="ar-SA"/>
        </w:rPr>
      </w:pPr>
      <w:r>
        <w:rPr>
          <w:rFonts w:hint="default" w:ascii="Times New Roman" w:hAnsi="Times New Roman" w:eastAsia="宋体" w:cs="Times New Roman"/>
          <w:color w:val="auto"/>
          <w:spacing w:val="0"/>
          <w:w w:val="100"/>
          <w:kern w:val="2"/>
          <w:sz w:val="21"/>
          <w:szCs w:val="24"/>
          <w:lang w:val="en-US" w:eastAsia="zh-CN" w:bidi="ar-SA"/>
        </w:rPr>
        <w:drawing>
          <wp:inline distT="0" distB="0" distL="114300" distR="114300">
            <wp:extent cx="786765" cy="374650"/>
            <wp:effectExtent l="0" t="0" r="5715" b="6350"/>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29"/>
                    <a:stretch>
                      <a:fillRect/>
                    </a:stretch>
                  </pic:blipFill>
                  <pic:spPr>
                    <a:xfrm>
                      <a:off x="0" y="0"/>
                      <a:ext cx="786765" cy="374650"/>
                    </a:xfrm>
                    <a:prstGeom prst="rect">
                      <a:avLst/>
                    </a:prstGeom>
                    <a:noFill/>
                    <a:ln>
                      <a:noFill/>
                    </a:ln>
                  </pic:spPr>
                </pic:pic>
              </a:graphicData>
            </a:graphic>
          </wp:inline>
        </w:drawing>
      </w:r>
    </w:p>
    <w:p w14:paraId="4488950F">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式中：α——</w:t>
      </w:r>
      <w:r>
        <w:rPr>
          <w:rFonts w:hint="default" w:ascii="Times New Roman" w:hAnsi="Times New Roman" w:eastAsia="宋体" w:cs="Times New Roman"/>
          <w:color w:val="auto"/>
          <w:spacing w:val="0"/>
          <w:w w:val="100"/>
          <w:kern w:val="0"/>
          <w:sz w:val="24"/>
          <w:szCs w:val="24"/>
          <w:lang w:val="en-US" w:eastAsia="zh-CN" w:bidi="ar"/>
        </w:rPr>
        <w:t>O＇Connor</w:t>
      </w:r>
      <w:r>
        <w:rPr>
          <w:rFonts w:hint="default" w:ascii="Times New Roman" w:hAnsi="Times New Roman" w:eastAsia="宋体" w:cs="Times New Roman"/>
          <w:color w:val="auto"/>
          <w:spacing w:val="0"/>
          <w:w w:val="100"/>
          <w:sz w:val="24"/>
          <w:szCs w:val="24"/>
        </w:rPr>
        <w:t>数，量纲为1，表征物质离散降解通量与移流通量比值；</w:t>
      </w:r>
    </w:p>
    <w:p w14:paraId="3C8FBBBB">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Ex——污染物纵向扩散系数，m</w:t>
      </w:r>
      <w:r>
        <w:rPr>
          <w:rFonts w:hint="default" w:ascii="Times New Roman" w:hAnsi="Times New Roman" w:eastAsia="宋体" w:cs="Times New Roman"/>
          <w:color w:val="auto"/>
          <w:spacing w:val="0"/>
          <w:w w:val="100"/>
          <w:sz w:val="24"/>
          <w:szCs w:val="24"/>
          <w:vertAlign w:val="superscript"/>
        </w:rPr>
        <w:t>2</w:t>
      </w:r>
      <w:r>
        <w:rPr>
          <w:rFonts w:hint="default" w:ascii="Times New Roman" w:hAnsi="Times New Roman" w:eastAsia="宋体" w:cs="Times New Roman"/>
          <w:color w:val="auto"/>
          <w:spacing w:val="0"/>
          <w:w w:val="100"/>
          <w:sz w:val="24"/>
          <w:szCs w:val="24"/>
        </w:rPr>
        <w:t>/s；</w:t>
      </w:r>
    </w:p>
    <w:p w14:paraId="2824959C">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k——污染物综合衰减系数，1/s。</w:t>
      </w:r>
    </w:p>
    <w:p w14:paraId="798ADFA5">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贝克来数Pe的临界值计算公式如下：</w:t>
      </w:r>
    </w:p>
    <w:p w14:paraId="5A454459">
      <w:pPr>
        <w:tabs>
          <w:tab w:val="left" w:pos="4057"/>
        </w:tabs>
        <w:spacing w:line="360" w:lineRule="auto"/>
        <w:ind w:firstLine="420" w:firstLineChars="200"/>
        <w:jc w:val="center"/>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1"/>
          <w:szCs w:val="24"/>
        </w:rPr>
        <w:drawing>
          <wp:inline distT="0" distB="0" distL="114300" distR="114300">
            <wp:extent cx="807085" cy="510540"/>
            <wp:effectExtent l="0" t="0" r="12065" b="381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30"/>
                    <a:stretch>
                      <a:fillRect/>
                    </a:stretch>
                  </pic:blipFill>
                  <pic:spPr>
                    <a:xfrm>
                      <a:off x="0" y="0"/>
                      <a:ext cx="807085" cy="510540"/>
                    </a:xfrm>
                    <a:prstGeom prst="rect">
                      <a:avLst/>
                    </a:prstGeom>
                    <a:noFill/>
                    <a:ln>
                      <a:noFill/>
                    </a:ln>
                  </pic:spPr>
                </pic:pic>
              </a:graphicData>
            </a:graphic>
          </wp:inline>
        </w:drawing>
      </w:r>
    </w:p>
    <w:p w14:paraId="02FEDB5F">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式中：Pe——</w:t>
      </w:r>
      <w:r>
        <w:rPr>
          <w:rFonts w:hint="default" w:ascii="Times New Roman" w:hAnsi="Times New Roman" w:eastAsia="宋体" w:cs="Times New Roman"/>
          <w:color w:val="auto"/>
          <w:spacing w:val="0"/>
          <w:w w:val="100"/>
          <w:sz w:val="24"/>
          <w:szCs w:val="24"/>
          <w:lang w:val="en-US" w:eastAsia="zh-CN"/>
        </w:rPr>
        <w:t>贝克</w:t>
      </w:r>
      <w:r>
        <w:rPr>
          <w:rFonts w:hint="default" w:ascii="Times New Roman" w:hAnsi="Times New Roman" w:eastAsia="宋体" w:cs="Times New Roman"/>
          <w:color w:val="auto"/>
          <w:spacing w:val="0"/>
          <w:w w:val="100"/>
          <w:sz w:val="24"/>
          <w:szCs w:val="24"/>
        </w:rPr>
        <w:t>来数，量纲为1，表征物质移流通量与离散通量比值。</w:t>
      </w:r>
    </w:p>
    <w:p w14:paraId="3E52CDE2">
      <w:pPr>
        <w:tabs>
          <w:tab w:val="left" w:pos="4057"/>
        </w:tabs>
        <w:spacing w:line="360" w:lineRule="auto"/>
        <w:ind w:firstLine="480" w:firstLineChars="200"/>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color w:val="auto"/>
          <w:spacing w:val="0"/>
          <w:w w:val="100"/>
          <w:sz w:val="24"/>
          <w:szCs w:val="24"/>
        </w:rPr>
        <w:t>本项目河流参数见</w:t>
      </w:r>
      <w:r>
        <w:rPr>
          <w:rFonts w:hint="default" w:ascii="Times New Roman" w:hAnsi="Times New Roman" w:eastAsia="宋体" w:cs="Times New Roman"/>
          <w:color w:val="auto"/>
          <w:spacing w:val="0"/>
          <w:w w:val="100"/>
          <w:sz w:val="24"/>
          <w:szCs w:val="24"/>
          <w:lang w:val="en-US" w:eastAsia="zh-CN"/>
        </w:rPr>
        <w:t>4</w:t>
      </w:r>
      <w:r>
        <w:rPr>
          <w:rFonts w:hint="default" w:ascii="Times New Roman" w:hAnsi="Times New Roman" w:eastAsia="宋体" w:cs="Times New Roman"/>
          <w:color w:val="auto"/>
          <w:spacing w:val="0"/>
          <w:w w:val="100"/>
          <w:sz w:val="24"/>
          <w:szCs w:val="24"/>
        </w:rPr>
        <w:t>-</w:t>
      </w:r>
      <w:r>
        <w:rPr>
          <w:rFonts w:hint="eastAsia" w:ascii="Times New Roman" w:hAnsi="Times New Roman" w:eastAsia="宋体" w:cs="Times New Roman"/>
          <w:color w:val="auto"/>
          <w:spacing w:val="0"/>
          <w:w w:val="100"/>
          <w:sz w:val="24"/>
          <w:szCs w:val="24"/>
          <w:lang w:val="en-US" w:eastAsia="zh-CN"/>
        </w:rPr>
        <w:t>2</w:t>
      </w:r>
      <w:r>
        <w:rPr>
          <w:rFonts w:hint="default" w:ascii="Times New Roman" w:hAnsi="Times New Roman" w:eastAsia="宋体" w:cs="Times New Roman"/>
          <w:color w:val="auto"/>
          <w:spacing w:val="0"/>
          <w:w w:val="100"/>
          <w:sz w:val="24"/>
          <w:szCs w:val="24"/>
        </w:rPr>
        <w:t>。</w:t>
      </w:r>
    </w:p>
    <w:p w14:paraId="5475AF28">
      <w:pPr>
        <w:spacing w:line="360" w:lineRule="auto"/>
        <w:jc w:val="center"/>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 xml:space="preserve">表 </w:t>
      </w:r>
      <w:r>
        <w:rPr>
          <w:rFonts w:hint="default" w:ascii="Times New Roman" w:hAnsi="Times New Roman" w:eastAsia="宋体" w:cs="Times New Roman"/>
          <w:b/>
          <w:bCs/>
          <w:color w:val="auto"/>
          <w:spacing w:val="0"/>
          <w:w w:val="100"/>
          <w:sz w:val="21"/>
          <w:szCs w:val="21"/>
          <w:lang w:val="en-US" w:eastAsia="zh-CN"/>
        </w:rPr>
        <w:t>4</w:t>
      </w:r>
      <w:r>
        <w:rPr>
          <w:rFonts w:hint="default" w:ascii="Times New Roman" w:hAnsi="Times New Roman" w:eastAsia="宋体" w:cs="Times New Roman"/>
          <w:b/>
          <w:bCs/>
          <w:color w:val="auto"/>
          <w:spacing w:val="0"/>
          <w:w w:val="100"/>
          <w:sz w:val="21"/>
          <w:szCs w:val="21"/>
        </w:rPr>
        <w:t>-</w:t>
      </w:r>
      <w:r>
        <w:rPr>
          <w:rFonts w:hint="default" w:ascii="Times New Roman" w:hAnsi="Times New Roman" w:eastAsia="宋体" w:cs="Times New Roman"/>
          <w:b/>
          <w:bCs/>
          <w:color w:val="auto"/>
          <w:spacing w:val="0"/>
          <w:w w:val="100"/>
          <w:sz w:val="21"/>
          <w:szCs w:val="21"/>
          <w:lang w:val="en-US" w:eastAsia="zh-CN"/>
        </w:rPr>
        <w:t>2</w:t>
      </w:r>
      <w:r>
        <w:rPr>
          <w:rFonts w:hint="default" w:ascii="Times New Roman" w:hAnsi="Times New Roman" w:eastAsia="宋体" w:cs="Times New Roman"/>
          <w:b/>
          <w:bCs/>
          <w:color w:val="auto"/>
          <w:spacing w:val="0"/>
          <w:w w:val="100"/>
          <w:sz w:val="21"/>
          <w:szCs w:val="21"/>
        </w:rPr>
        <w:t xml:space="preserve"> </w:t>
      </w:r>
      <w:r>
        <w:rPr>
          <w:rFonts w:hint="default" w:ascii="Times New Roman" w:hAnsi="Times New Roman" w:eastAsia="宋体" w:cs="Times New Roman"/>
          <w:b/>
          <w:bCs/>
          <w:color w:val="auto"/>
          <w:spacing w:val="0"/>
          <w:w w:val="100"/>
          <w:sz w:val="21"/>
          <w:szCs w:val="21"/>
          <w:lang w:val="en-US" w:eastAsia="zh-CN"/>
        </w:rPr>
        <w:t xml:space="preserve">  </w:t>
      </w:r>
      <w:r>
        <w:rPr>
          <w:rFonts w:hint="default" w:ascii="Times New Roman" w:hAnsi="Times New Roman" w:eastAsia="宋体" w:cs="Times New Roman"/>
          <w:b/>
          <w:bCs/>
          <w:color w:val="auto"/>
          <w:spacing w:val="0"/>
          <w:w w:val="100"/>
          <w:sz w:val="21"/>
          <w:szCs w:val="21"/>
        </w:rPr>
        <w:t>地表水水文水质参数</w:t>
      </w:r>
    </w:p>
    <w:tbl>
      <w:tblPr>
        <w:tblStyle w:val="21"/>
        <w:tblW w:w="82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51"/>
        <w:gridCol w:w="1550"/>
        <w:gridCol w:w="1290"/>
        <w:gridCol w:w="1520"/>
        <w:gridCol w:w="1280"/>
        <w:gridCol w:w="1345"/>
      </w:tblGrid>
      <w:tr w14:paraId="7ABDD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5" w:hRule="atLeast"/>
          <w:jc w:val="center"/>
        </w:trPr>
        <w:tc>
          <w:tcPr>
            <w:tcW w:w="1251" w:type="dxa"/>
            <w:noWrap w:val="0"/>
            <w:vAlign w:val="center"/>
          </w:tcPr>
          <w:p w14:paraId="1C94B33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项目</w:t>
            </w:r>
          </w:p>
        </w:tc>
        <w:tc>
          <w:tcPr>
            <w:tcW w:w="1550" w:type="dxa"/>
            <w:noWrap w:val="0"/>
            <w:vAlign w:val="center"/>
          </w:tcPr>
          <w:p w14:paraId="294A9B5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流量（m</w:t>
            </w:r>
            <w:r>
              <w:rPr>
                <w:rFonts w:hint="default" w:ascii="Times New Roman" w:hAnsi="Times New Roman" w:eastAsia="宋体" w:cs="Times New Roman"/>
                <w:color w:val="auto"/>
                <w:spacing w:val="0"/>
                <w:w w:val="100"/>
                <w:kern w:val="2"/>
                <w:sz w:val="21"/>
                <w:szCs w:val="21"/>
                <w:vertAlign w:val="superscript"/>
                <w:lang w:val="en-US" w:eastAsia="zh-CN" w:bidi="ar-SA"/>
              </w:rPr>
              <w:t>3</w:t>
            </w:r>
            <w:r>
              <w:rPr>
                <w:rFonts w:hint="default" w:ascii="Times New Roman" w:hAnsi="Times New Roman" w:eastAsia="宋体" w:cs="Times New Roman"/>
                <w:color w:val="auto"/>
                <w:spacing w:val="0"/>
                <w:w w:val="100"/>
                <w:kern w:val="2"/>
                <w:sz w:val="21"/>
                <w:szCs w:val="21"/>
                <w:lang w:val="en-US" w:eastAsia="zh-CN" w:bidi="ar-SA"/>
              </w:rPr>
              <w:t>/s）</w:t>
            </w:r>
          </w:p>
        </w:tc>
        <w:tc>
          <w:tcPr>
            <w:tcW w:w="1290" w:type="dxa"/>
            <w:noWrap w:val="0"/>
            <w:vAlign w:val="center"/>
          </w:tcPr>
          <w:p w14:paraId="7AF47D8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流速u(m/s)</w:t>
            </w:r>
          </w:p>
        </w:tc>
        <w:tc>
          <w:tcPr>
            <w:tcW w:w="1520" w:type="dxa"/>
            <w:noWrap w:val="0"/>
            <w:vAlign w:val="center"/>
          </w:tcPr>
          <w:p w14:paraId="092E145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河宽B(m)</w:t>
            </w:r>
          </w:p>
        </w:tc>
        <w:tc>
          <w:tcPr>
            <w:tcW w:w="1280" w:type="dxa"/>
            <w:noWrap w:val="0"/>
            <w:vAlign w:val="center"/>
          </w:tcPr>
          <w:p w14:paraId="11E260A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210" w:firstLineChars="100"/>
              <w:jc w:val="both"/>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河深H(m)</w:t>
            </w:r>
          </w:p>
        </w:tc>
        <w:tc>
          <w:tcPr>
            <w:tcW w:w="1345" w:type="dxa"/>
            <w:noWrap w:val="0"/>
            <w:vAlign w:val="center"/>
          </w:tcPr>
          <w:p w14:paraId="14D5899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比降I(‰)</w:t>
            </w:r>
          </w:p>
        </w:tc>
      </w:tr>
      <w:tr w14:paraId="32CBA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3" w:hRule="atLeast"/>
          <w:jc w:val="center"/>
        </w:trPr>
        <w:tc>
          <w:tcPr>
            <w:tcW w:w="1251" w:type="dxa"/>
            <w:noWrap w:val="0"/>
            <w:vAlign w:val="center"/>
          </w:tcPr>
          <w:p w14:paraId="5E92FE6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水文数据</w:t>
            </w:r>
          </w:p>
        </w:tc>
        <w:tc>
          <w:tcPr>
            <w:tcW w:w="1550" w:type="dxa"/>
            <w:noWrap w:val="0"/>
            <w:vAlign w:val="center"/>
          </w:tcPr>
          <w:p w14:paraId="64B1FB8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4.43</w:t>
            </w:r>
          </w:p>
        </w:tc>
        <w:tc>
          <w:tcPr>
            <w:tcW w:w="1290" w:type="dxa"/>
            <w:noWrap w:val="0"/>
            <w:vAlign w:val="center"/>
          </w:tcPr>
          <w:p w14:paraId="629409D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0.22</w:t>
            </w:r>
          </w:p>
        </w:tc>
        <w:tc>
          <w:tcPr>
            <w:tcW w:w="1520" w:type="dxa"/>
            <w:noWrap w:val="0"/>
            <w:vAlign w:val="center"/>
          </w:tcPr>
          <w:p w14:paraId="1FA6FFB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w:t>
            </w:r>
          </w:p>
        </w:tc>
        <w:tc>
          <w:tcPr>
            <w:tcW w:w="1280" w:type="dxa"/>
            <w:noWrap w:val="0"/>
            <w:vAlign w:val="center"/>
          </w:tcPr>
          <w:p w14:paraId="56AA866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0.4</w:t>
            </w:r>
          </w:p>
        </w:tc>
        <w:tc>
          <w:tcPr>
            <w:tcW w:w="1345" w:type="dxa"/>
            <w:noWrap w:val="0"/>
            <w:vAlign w:val="center"/>
          </w:tcPr>
          <w:p w14:paraId="3E0B3F0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7.4</w:t>
            </w:r>
          </w:p>
        </w:tc>
      </w:tr>
    </w:tbl>
    <w:p w14:paraId="50D4F05A">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pacing w:val="0"/>
          <w:w w:val="100"/>
          <w:kern w:val="0"/>
          <w:sz w:val="24"/>
          <w:szCs w:val="24"/>
        </w:rPr>
        <w:t>设计流</w:t>
      </w:r>
      <w:r>
        <w:rPr>
          <w:rFonts w:hint="eastAsia" w:ascii="Times New Roman" w:hAnsi="Times New Roman" w:eastAsia="宋体" w:cs="Times New Roman"/>
          <w:color w:val="auto"/>
          <w:spacing w:val="0"/>
          <w:w w:val="100"/>
          <w:kern w:val="0"/>
          <w:sz w:val="24"/>
          <w:szCs w:val="24"/>
          <w:lang w:val="en-US" w:eastAsia="zh-CN"/>
        </w:rPr>
        <w:t>量及</w:t>
      </w:r>
      <w:r>
        <w:rPr>
          <w:rFonts w:hint="eastAsia" w:ascii="Times New Roman" w:hAnsi="Times New Roman" w:eastAsia="宋体" w:cs="Times New Roman"/>
          <w:color w:val="auto"/>
          <w:spacing w:val="0"/>
          <w:w w:val="100"/>
          <w:kern w:val="0"/>
          <w:sz w:val="24"/>
          <w:szCs w:val="24"/>
          <w:lang w:eastAsia="zh-CN"/>
        </w:rPr>
        <w:t>流速：</w:t>
      </w:r>
      <w:r>
        <w:rPr>
          <w:rFonts w:hint="default" w:ascii="Times New Roman" w:hAnsi="Times New Roman" w:eastAsia="宋体" w:cs="Times New Roman"/>
          <w:color w:val="auto"/>
          <w:kern w:val="0"/>
          <w:sz w:val="24"/>
          <w:szCs w:val="24"/>
        </w:rPr>
        <w:t>根据《水域纳污能力计算规程》（GB/T25173-2010），有水利工程控制的河段，可采用最小下泄流量或河段内生态基流作为设计流量。千河固关镇下游建有段家峡水库，段家峡水库是陇县境内千河干流上游一座中型水库，坝址在曹家湾镇段家峡村，</w:t>
      </w:r>
      <w:r>
        <w:rPr>
          <w:rFonts w:hint="eastAsia" w:ascii="Times New Roman" w:hAnsi="Times New Roman" w:eastAsia="宋体" w:cs="Times New Roman"/>
          <w:color w:val="auto"/>
          <w:kern w:val="0"/>
          <w:sz w:val="24"/>
          <w:szCs w:val="24"/>
          <w:lang w:eastAsia="zh-CN"/>
        </w:rPr>
        <w:t>距</w:t>
      </w:r>
      <w:r>
        <w:rPr>
          <w:rFonts w:hint="default" w:ascii="Times New Roman" w:hAnsi="Times New Roman" w:eastAsia="宋体" w:cs="Times New Roman"/>
          <w:color w:val="auto"/>
          <w:kern w:val="0"/>
          <w:sz w:val="24"/>
          <w:szCs w:val="24"/>
        </w:rPr>
        <w:t>陇县县城15km。根据千河水量调度方案，段家峡水库下泄流量最小为7.23m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/s（南干渠引水流量5.0m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/s，北干渠引水2.0m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/s，最小生态流量0.23m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/s）。考虑段家峡水库坝址下游千河支流汇流流入，咸宜河流量按0.26m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/s（最小生态流量为0.026m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/s），蒲峪河流量0.29m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/s（最小生态流量为0.029m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/s），北河流量0.44mm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/s（最小生态流量为0.044mm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/s），即总流量共8.22m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/s，减去所有损耗及南干渠、北干渠灌溉水，上述各支流流量按最小生态流量计算，则千河干流设计流量采用4.43m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/s，断面设计流速为0.22m/s。</w:t>
      </w:r>
    </w:p>
    <w:p w14:paraId="535256EA">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综上所述，</w:t>
      </w:r>
      <w:r>
        <w:rPr>
          <w:rFonts w:hint="eastAsia" w:ascii="Times New Roman" w:hAnsi="Times New Roman" w:eastAsia="宋体" w:cs="Times New Roman"/>
          <w:color w:val="auto"/>
          <w:kern w:val="0"/>
          <w:sz w:val="24"/>
          <w:szCs w:val="24"/>
          <w:lang w:eastAsia="zh-CN"/>
        </w:rPr>
        <w:t>本项目评价</w:t>
      </w:r>
      <w:r>
        <w:rPr>
          <w:rFonts w:hint="default" w:ascii="Times New Roman" w:hAnsi="Times New Roman" w:eastAsia="宋体" w:cs="Times New Roman"/>
          <w:color w:val="auto"/>
          <w:kern w:val="0"/>
          <w:sz w:val="24"/>
          <w:szCs w:val="24"/>
        </w:rPr>
        <w:t>段设计</w:t>
      </w:r>
      <w:r>
        <w:rPr>
          <w:rFonts w:hint="eastAsia" w:ascii="Times New Roman" w:hAnsi="Times New Roman" w:eastAsia="宋体" w:cs="Times New Roman"/>
          <w:color w:val="auto"/>
          <w:kern w:val="0"/>
          <w:sz w:val="24"/>
          <w:szCs w:val="24"/>
          <w:lang w:eastAsia="zh-CN"/>
        </w:rPr>
        <w:t>流速</w:t>
      </w:r>
      <w:r>
        <w:rPr>
          <w:rFonts w:hint="default" w:ascii="Times New Roman" w:hAnsi="Times New Roman" w:eastAsia="宋体" w:cs="Times New Roman"/>
          <w:color w:val="auto"/>
          <w:kern w:val="0"/>
          <w:sz w:val="24"/>
          <w:szCs w:val="24"/>
        </w:rPr>
        <w:t>采用</w:t>
      </w:r>
      <w:r>
        <w:rPr>
          <w:rFonts w:hint="eastAsia" w:ascii="Times New Roman" w:hAnsi="Times New Roman" w:eastAsia="宋体" w:cs="Times New Roman"/>
          <w:color w:val="auto"/>
          <w:kern w:val="0"/>
          <w:sz w:val="24"/>
          <w:szCs w:val="24"/>
          <w:lang w:eastAsia="zh-CN"/>
        </w:rPr>
        <w:t>最小流量</w:t>
      </w:r>
      <w:r>
        <w:rPr>
          <w:rFonts w:hint="eastAsia" w:ascii="Times New Roman" w:hAnsi="Times New Roman" w:eastAsia="宋体" w:cs="Times New Roman"/>
          <w:color w:val="auto"/>
          <w:kern w:val="0"/>
          <w:sz w:val="24"/>
          <w:szCs w:val="24"/>
          <w:lang w:val="en-US" w:eastAsia="zh-CN"/>
        </w:rPr>
        <w:t>4.43</w:t>
      </w:r>
      <w:r>
        <w:rPr>
          <w:rFonts w:hint="default" w:ascii="Times New Roman" w:hAnsi="Times New Roman" w:eastAsia="宋体" w:cs="Times New Roman"/>
          <w:color w:val="auto"/>
          <w:kern w:val="0"/>
          <w:sz w:val="24"/>
          <w:szCs w:val="24"/>
        </w:rPr>
        <w:t>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/s。</w:t>
      </w:r>
    </w:p>
    <w:p w14:paraId="1ADEB657">
      <w:pPr>
        <w:tabs>
          <w:tab w:val="left" w:pos="4057"/>
        </w:tabs>
        <w:spacing w:line="360" w:lineRule="auto"/>
        <w:ind w:firstLine="480" w:firstLineChars="200"/>
        <w:rPr>
          <w:rFonts w:hint="default" w:ascii="Times New Roman" w:hAnsi="Times New Roman" w:eastAsia="宋体" w:cs="Times New Roman"/>
          <w:b/>
          <w:bCs/>
          <w:color w:val="auto"/>
          <w:spacing w:val="0"/>
          <w:w w:val="100"/>
          <w:sz w:val="21"/>
          <w:szCs w:val="21"/>
          <w:lang w:val="en-US" w:eastAsia="zh-CN"/>
        </w:rPr>
      </w:pPr>
      <w:r>
        <w:rPr>
          <w:rFonts w:hint="default" w:ascii="Times New Roman" w:hAnsi="Times New Roman" w:eastAsia="宋体" w:cs="Times New Roman"/>
          <w:color w:val="auto"/>
          <w:spacing w:val="0"/>
          <w:w w:val="100"/>
          <w:sz w:val="24"/>
          <w:szCs w:val="24"/>
        </w:rPr>
        <w:t>污水中污染因子进入</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后得到稀释衰减，本次评价采用《陕西省国家重要江河水功能区纳污能力核定和分阶段限排总量控制方案报告》和其他文献资料对陕西省黄河流域各水功能区的污染物降解系数分析研究数据，本次预测COD的k值取0.20d</w:t>
      </w:r>
      <w:r>
        <w:rPr>
          <w:rFonts w:hint="default" w:ascii="Times New Roman" w:hAnsi="Times New Roman" w:eastAsia="宋体" w:cs="Times New Roman"/>
          <w:color w:val="auto"/>
          <w:spacing w:val="0"/>
          <w:w w:val="100"/>
          <w:sz w:val="24"/>
          <w:szCs w:val="24"/>
          <w:vertAlign w:val="superscript"/>
        </w:rPr>
        <w:t>-1</w:t>
      </w:r>
      <w:r>
        <w:rPr>
          <w:rFonts w:hint="default" w:ascii="Times New Roman" w:hAnsi="Times New Roman" w:eastAsia="宋体" w:cs="Times New Roman"/>
          <w:color w:val="auto"/>
          <w:spacing w:val="0"/>
          <w:w w:val="100"/>
          <w:sz w:val="24"/>
          <w:szCs w:val="24"/>
        </w:rPr>
        <w:t>、NH</w:t>
      </w:r>
      <w:r>
        <w:rPr>
          <w:rFonts w:hint="default" w:ascii="Times New Roman" w:hAnsi="Times New Roman" w:eastAsia="宋体" w:cs="Times New Roman"/>
          <w:color w:val="auto"/>
          <w:spacing w:val="0"/>
          <w:w w:val="100"/>
          <w:sz w:val="24"/>
          <w:szCs w:val="24"/>
          <w:vertAlign w:val="subscript"/>
        </w:rPr>
        <w:t>3</w:t>
      </w:r>
      <w:r>
        <w:rPr>
          <w:rFonts w:hint="default" w:ascii="Times New Roman" w:hAnsi="Times New Roman" w:eastAsia="宋体" w:cs="Times New Roman"/>
          <w:color w:val="auto"/>
          <w:spacing w:val="0"/>
          <w:w w:val="100"/>
          <w:sz w:val="24"/>
          <w:szCs w:val="24"/>
        </w:rPr>
        <w:t>-N的k值取0.30d</w:t>
      </w:r>
      <w:r>
        <w:rPr>
          <w:rFonts w:hint="default" w:ascii="Times New Roman" w:hAnsi="Times New Roman" w:eastAsia="宋体" w:cs="Times New Roman"/>
          <w:color w:val="auto"/>
          <w:spacing w:val="0"/>
          <w:w w:val="100"/>
          <w:sz w:val="24"/>
          <w:szCs w:val="24"/>
          <w:vertAlign w:val="superscript"/>
        </w:rPr>
        <w:t>-1</w:t>
      </w:r>
      <w:r>
        <w:rPr>
          <w:rFonts w:hint="default" w:ascii="Times New Roman" w:hAnsi="Times New Roman" w:eastAsia="宋体" w:cs="Times New Roman"/>
          <w:color w:val="auto"/>
          <w:spacing w:val="0"/>
          <w:w w:val="100"/>
          <w:sz w:val="24"/>
          <w:szCs w:val="24"/>
        </w:rPr>
        <w:t>。具体降解系数见表</w:t>
      </w:r>
      <w:r>
        <w:rPr>
          <w:rFonts w:hint="eastAsia" w:ascii="Times New Roman" w:hAnsi="Times New Roman" w:eastAsia="宋体" w:cs="Times New Roman"/>
          <w:color w:val="auto"/>
          <w:spacing w:val="0"/>
          <w:w w:val="100"/>
          <w:sz w:val="24"/>
          <w:szCs w:val="24"/>
          <w:lang w:val="en-US" w:eastAsia="zh-CN"/>
        </w:rPr>
        <w:t>4-3</w:t>
      </w:r>
      <w:r>
        <w:rPr>
          <w:rFonts w:hint="default" w:ascii="Times New Roman" w:hAnsi="Times New Roman" w:eastAsia="宋体" w:cs="Times New Roman"/>
          <w:color w:val="auto"/>
          <w:spacing w:val="0"/>
          <w:w w:val="100"/>
          <w:sz w:val="24"/>
          <w:szCs w:val="24"/>
        </w:rPr>
        <w:t>。</w:t>
      </w:r>
      <w:bookmarkStart w:id="50" w:name="_Toc12860_WPSOffice_Level1"/>
    </w:p>
    <w:p w14:paraId="1C218AA9">
      <w:pPr>
        <w:spacing w:line="360" w:lineRule="auto"/>
        <w:jc w:val="center"/>
        <w:rPr>
          <w:rFonts w:hint="default" w:ascii="Times New Roman" w:hAnsi="Times New Roman" w:eastAsia="宋体" w:cs="Times New Roman"/>
          <w:b/>
          <w:bCs/>
          <w:color w:val="auto"/>
          <w:spacing w:val="0"/>
          <w:w w:val="100"/>
          <w:sz w:val="21"/>
          <w:szCs w:val="21"/>
          <w:lang w:val="en-US" w:eastAsia="zh-CN"/>
        </w:rPr>
      </w:pPr>
    </w:p>
    <w:p w14:paraId="10D004BE">
      <w:pPr>
        <w:spacing w:line="360" w:lineRule="auto"/>
        <w:jc w:val="center"/>
        <w:rPr>
          <w:rFonts w:hint="default" w:ascii="Times New Roman" w:hAnsi="Times New Roman" w:eastAsia="宋体" w:cs="Times New Roman"/>
          <w:b/>
          <w:bCs/>
          <w:color w:val="auto"/>
          <w:spacing w:val="0"/>
          <w:w w:val="100"/>
          <w:sz w:val="21"/>
          <w:szCs w:val="21"/>
          <w:lang w:val="en-US" w:eastAsia="zh-CN"/>
        </w:rPr>
      </w:pPr>
    </w:p>
    <w:p w14:paraId="0D311B23">
      <w:pPr>
        <w:spacing w:line="360" w:lineRule="auto"/>
        <w:jc w:val="center"/>
        <w:rPr>
          <w:rFonts w:hint="default" w:ascii="Times New Roman" w:hAnsi="Times New Roman" w:eastAsia="宋体" w:cs="Times New Roman"/>
          <w:b/>
          <w:bCs/>
          <w:color w:val="auto"/>
          <w:spacing w:val="0"/>
          <w:w w:val="100"/>
          <w:sz w:val="21"/>
          <w:szCs w:val="21"/>
          <w:lang w:val="en-US" w:eastAsia="zh-CN"/>
        </w:rPr>
      </w:pPr>
    </w:p>
    <w:p w14:paraId="0F2339D3">
      <w:pPr>
        <w:spacing w:line="360" w:lineRule="auto"/>
        <w:jc w:val="center"/>
        <w:rPr>
          <w:rFonts w:hint="default" w:ascii="Times New Roman" w:hAnsi="Times New Roman" w:eastAsia="宋体" w:cs="Times New Roman"/>
          <w:b/>
          <w:bCs/>
          <w:color w:val="auto"/>
          <w:spacing w:val="0"/>
          <w:w w:val="100"/>
          <w:sz w:val="21"/>
          <w:szCs w:val="21"/>
          <w:lang w:val="en-US" w:eastAsia="zh-CN"/>
        </w:rPr>
      </w:pPr>
      <w:r>
        <w:rPr>
          <w:rFonts w:hint="default" w:ascii="Times New Roman" w:hAnsi="Times New Roman" w:eastAsia="宋体" w:cs="Times New Roman"/>
          <w:b/>
          <w:bCs/>
          <w:color w:val="auto"/>
          <w:spacing w:val="0"/>
          <w:w w:val="100"/>
          <w:sz w:val="21"/>
          <w:szCs w:val="21"/>
          <w:lang w:val="en-US" w:eastAsia="zh-CN"/>
        </w:rPr>
        <w:t>表4-3  各污染因子降解系数</w:t>
      </w:r>
      <w:bookmarkEnd w:id="50"/>
    </w:p>
    <w:tbl>
      <w:tblPr>
        <w:tblStyle w:val="21"/>
        <w:tblW w:w="8378"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792"/>
        <w:gridCol w:w="2793"/>
        <w:gridCol w:w="2793"/>
      </w:tblGrid>
      <w:tr w14:paraId="449BE4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8" w:hRule="atLeast"/>
          <w:jc w:val="center"/>
        </w:trPr>
        <w:tc>
          <w:tcPr>
            <w:tcW w:w="2792" w:type="dxa"/>
            <w:tcBorders>
              <w:top w:val="single" w:color="auto" w:sz="2" w:space="0"/>
              <w:left w:val="single" w:color="auto" w:sz="2" w:space="0"/>
              <w:bottom w:val="single" w:color="auto" w:sz="2" w:space="0"/>
              <w:right w:val="single" w:color="auto" w:sz="2" w:space="0"/>
            </w:tcBorders>
            <w:noWrap w:val="0"/>
            <w:vAlign w:val="center"/>
          </w:tcPr>
          <w:p w14:paraId="271D550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项目</w:t>
            </w:r>
          </w:p>
        </w:tc>
        <w:tc>
          <w:tcPr>
            <w:tcW w:w="2793" w:type="dxa"/>
            <w:tcBorders>
              <w:top w:val="single" w:color="auto" w:sz="2" w:space="0"/>
              <w:left w:val="single" w:color="auto" w:sz="2" w:space="0"/>
              <w:bottom w:val="single" w:color="auto" w:sz="2" w:space="0"/>
              <w:right w:val="single" w:color="auto" w:sz="2" w:space="0"/>
            </w:tcBorders>
            <w:noWrap w:val="0"/>
            <w:vAlign w:val="center"/>
          </w:tcPr>
          <w:p w14:paraId="6C2DA2A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COD</w:t>
            </w:r>
          </w:p>
        </w:tc>
        <w:tc>
          <w:tcPr>
            <w:tcW w:w="2793" w:type="dxa"/>
            <w:tcBorders>
              <w:top w:val="single" w:color="auto" w:sz="2" w:space="0"/>
              <w:left w:val="single" w:color="auto" w:sz="2" w:space="0"/>
              <w:bottom w:val="single" w:color="auto" w:sz="2" w:space="0"/>
              <w:right w:val="single" w:color="auto" w:sz="2" w:space="0"/>
            </w:tcBorders>
            <w:noWrap w:val="0"/>
            <w:vAlign w:val="center"/>
          </w:tcPr>
          <w:p w14:paraId="1265CF6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氨氮</w:t>
            </w:r>
          </w:p>
        </w:tc>
      </w:tr>
      <w:tr w14:paraId="00E0AC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2" w:hRule="atLeast"/>
          <w:jc w:val="center"/>
        </w:trPr>
        <w:tc>
          <w:tcPr>
            <w:tcW w:w="2792" w:type="dxa"/>
            <w:tcBorders>
              <w:top w:val="single" w:color="auto" w:sz="2" w:space="0"/>
              <w:left w:val="single" w:color="auto" w:sz="2" w:space="0"/>
              <w:bottom w:val="single" w:color="auto" w:sz="2" w:space="0"/>
              <w:right w:val="single" w:color="auto" w:sz="2" w:space="0"/>
            </w:tcBorders>
            <w:noWrap w:val="0"/>
            <w:vAlign w:val="center"/>
          </w:tcPr>
          <w:p w14:paraId="66723AA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降解系数</w:t>
            </w:r>
          </w:p>
        </w:tc>
        <w:tc>
          <w:tcPr>
            <w:tcW w:w="2793" w:type="dxa"/>
            <w:tcBorders>
              <w:top w:val="single" w:color="auto" w:sz="2" w:space="0"/>
              <w:left w:val="single" w:color="auto" w:sz="2" w:space="0"/>
              <w:bottom w:val="single" w:color="auto" w:sz="2" w:space="0"/>
              <w:right w:val="single" w:color="auto" w:sz="2" w:space="0"/>
            </w:tcBorders>
            <w:noWrap w:val="0"/>
            <w:vAlign w:val="center"/>
          </w:tcPr>
          <w:p w14:paraId="1133DB1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0.20</w:t>
            </w:r>
          </w:p>
        </w:tc>
        <w:tc>
          <w:tcPr>
            <w:tcW w:w="2793" w:type="dxa"/>
            <w:tcBorders>
              <w:top w:val="single" w:color="auto" w:sz="2" w:space="0"/>
              <w:left w:val="single" w:color="auto" w:sz="2" w:space="0"/>
              <w:bottom w:val="single" w:color="auto" w:sz="2" w:space="0"/>
              <w:right w:val="single" w:color="auto" w:sz="2" w:space="0"/>
            </w:tcBorders>
            <w:noWrap w:val="0"/>
            <w:vAlign w:val="center"/>
          </w:tcPr>
          <w:p w14:paraId="4A7141D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0.30</w:t>
            </w:r>
          </w:p>
        </w:tc>
      </w:tr>
    </w:tbl>
    <w:p w14:paraId="7268CC57">
      <w:pPr>
        <w:keepNext w:val="0"/>
        <w:keepLines w:val="0"/>
        <w:pageBreakBefore w:val="0"/>
        <w:widowControl w:val="0"/>
        <w:kinsoku/>
        <w:wordWrap/>
        <w:overflowPunct/>
        <w:topLinePunct w:val="0"/>
        <w:autoSpaceDE/>
        <w:autoSpaceDN/>
        <w:bidi w:val="0"/>
        <w:adjustRightInd/>
        <w:snapToGrid/>
        <w:spacing w:line="360" w:lineRule="auto"/>
        <w:ind w:firstLine="590"/>
        <w:textAlignment w:val="auto"/>
        <w:rPr>
          <w:rFonts w:ascii="宋体" w:hAnsi="宋体" w:eastAsia="宋体" w:cs="宋体"/>
          <w:color w:val="auto"/>
          <w:spacing w:val="91"/>
          <w:sz w:val="24"/>
          <w:szCs w:val="24"/>
        </w:rPr>
      </w:pPr>
      <w:r>
        <w:rPr>
          <w:rFonts w:hint="default" w:ascii="Times New Roman" w:hAnsi="Times New Roman" w:eastAsia="宋体" w:cs="Times New Roman"/>
          <w:color w:val="auto"/>
          <w:spacing w:val="0"/>
          <w:w w:val="100"/>
          <w:sz w:val="24"/>
          <w:szCs w:val="24"/>
          <w:lang w:val="en-US" w:eastAsia="zh-CN"/>
        </w:rPr>
        <w:t>Ex、Ey别参照《环境影响评价技术方法教材》中泰勒法、费希尔公式计算，计算，</w:t>
      </w:r>
      <w:r>
        <w:rPr>
          <w:rFonts w:ascii="宋体" w:hAnsi="宋体" w:eastAsia="宋体" w:cs="宋体"/>
          <w:color w:val="auto"/>
          <w:spacing w:val="-12"/>
          <w:w w:val="97"/>
          <w:sz w:val="24"/>
          <w:szCs w:val="24"/>
        </w:rPr>
        <w:t>其中：</w:t>
      </w:r>
    </w:p>
    <w:p w14:paraId="420655C5">
      <w:pPr>
        <w:keepNext w:val="0"/>
        <w:keepLines w:val="0"/>
        <w:pageBreakBefore w:val="0"/>
        <w:widowControl w:val="0"/>
        <w:kinsoku/>
        <w:wordWrap/>
        <w:overflowPunct/>
        <w:topLinePunct w:val="0"/>
        <w:autoSpaceDE/>
        <w:autoSpaceDN/>
        <w:bidi w:val="0"/>
        <w:adjustRightInd/>
        <w:snapToGrid/>
        <w:spacing w:line="360" w:lineRule="auto"/>
        <w:ind w:firstLine="590"/>
        <w:jc w:val="center"/>
        <w:textAlignment w:val="auto"/>
        <w:rPr>
          <w:rFonts w:hint="default" w:ascii="Times New Roman" w:hAnsi="Times New Roman" w:cs="Times New Roman" w:eastAsiaTheme="minorEastAsia"/>
          <w:color w:val="auto"/>
          <w:spacing w:val="0"/>
          <w:w w:val="100"/>
          <w:sz w:val="25"/>
          <w:szCs w:val="25"/>
          <w:lang w:val="en-US" w:eastAsia="zh-CN"/>
        </w:rPr>
      </w:pPr>
      <w:r>
        <w:rPr>
          <w:rFonts w:hint="default" w:ascii="Times New Roman" w:hAnsi="Times New Roman" w:eastAsia="宋体" w:cs="Times New Roman"/>
          <w:color w:val="auto"/>
          <w:spacing w:val="0"/>
          <w:w w:val="100"/>
          <w:sz w:val="24"/>
          <w:szCs w:val="24"/>
          <w:lang w:val="en-US" w:eastAsia="zh-CN"/>
        </w:rPr>
        <w:t>Ex</w:t>
      </w:r>
      <w:r>
        <w:rPr>
          <w:rFonts w:hint="default" w:ascii="Times New Roman" w:hAnsi="Times New Roman" w:eastAsia="Times New Roman" w:cs="Times New Roman"/>
          <w:color w:val="auto"/>
          <w:spacing w:val="0"/>
          <w:w w:val="100"/>
          <w:sz w:val="25"/>
          <w:szCs w:val="25"/>
        </w:rPr>
        <w:t>=</w:t>
      </w:r>
      <w:r>
        <w:rPr>
          <w:rFonts w:hint="eastAsia" w:ascii="Times New Roman" w:hAnsi="Times New Roman" w:eastAsia="宋体" w:cs="Times New Roman"/>
          <w:color w:val="auto"/>
          <w:spacing w:val="0"/>
          <w:w w:val="100"/>
          <w:sz w:val="25"/>
          <w:szCs w:val="25"/>
          <w:lang w:val="en-US" w:eastAsia="zh-CN"/>
        </w:rPr>
        <w:t>0.011u</w:t>
      </w:r>
      <w:r>
        <w:rPr>
          <w:rFonts w:hint="eastAsia" w:ascii="Times New Roman" w:hAnsi="Times New Roman" w:eastAsia="宋体" w:cs="Times New Roman"/>
          <w:color w:val="auto"/>
          <w:spacing w:val="0"/>
          <w:w w:val="100"/>
          <w:sz w:val="25"/>
          <w:szCs w:val="25"/>
          <w:vertAlign w:val="superscript"/>
          <w:lang w:val="en-US" w:eastAsia="zh-CN"/>
        </w:rPr>
        <w:t>2</w:t>
      </w:r>
      <w:r>
        <w:rPr>
          <w:rFonts w:hint="eastAsia" w:ascii="Times New Roman" w:hAnsi="Times New Roman" w:eastAsia="宋体" w:cs="Times New Roman"/>
          <w:color w:val="auto"/>
          <w:spacing w:val="0"/>
          <w:w w:val="100"/>
          <w:sz w:val="25"/>
          <w:szCs w:val="25"/>
          <w:lang w:val="en-US" w:eastAsia="zh-CN"/>
        </w:rPr>
        <w:t>B</w:t>
      </w:r>
      <w:r>
        <w:rPr>
          <w:rFonts w:hint="eastAsia" w:ascii="Times New Roman" w:hAnsi="Times New Roman" w:eastAsia="宋体" w:cs="Times New Roman"/>
          <w:color w:val="auto"/>
          <w:spacing w:val="0"/>
          <w:w w:val="100"/>
          <w:sz w:val="25"/>
          <w:szCs w:val="25"/>
          <w:vertAlign w:val="superscript"/>
          <w:lang w:val="en-US" w:eastAsia="zh-CN"/>
        </w:rPr>
        <w:t>2</w:t>
      </w:r>
      <w:r>
        <w:rPr>
          <w:rFonts w:hint="eastAsia" w:ascii="Times New Roman" w:hAnsi="Times New Roman" w:eastAsia="宋体" w:cs="Times New Roman"/>
          <w:color w:val="auto"/>
          <w:spacing w:val="0"/>
          <w:w w:val="100"/>
          <w:sz w:val="25"/>
          <w:szCs w:val="25"/>
          <w:lang w:val="en-US" w:eastAsia="zh-CN"/>
        </w:rPr>
        <w:t>/(</w:t>
      </w:r>
      <w:r>
        <w:rPr>
          <w:rFonts w:hint="default" w:ascii="Times New Roman" w:hAnsi="Times New Roman" w:eastAsia="Times New Roman" w:cs="Times New Roman"/>
          <w:i/>
          <w:iCs/>
          <w:color w:val="auto"/>
          <w:spacing w:val="0"/>
          <w:w w:val="100"/>
          <w:sz w:val="25"/>
          <w:szCs w:val="25"/>
        </w:rPr>
        <w:t>H</w:t>
      </w:r>
      <m:oMath>
        <m:rad>
          <m:radPr>
            <m:degHide m:val="1"/>
            <m:ctrlPr>
              <w:rPr>
                <w:rFonts w:ascii="Cambria Math" w:hAnsi="Cambria Math" w:cs="Times New Roman"/>
                <w:iCs/>
                <w:color w:val="auto"/>
                <w:spacing w:val="0"/>
                <w:w w:val="100"/>
                <w:sz w:val="25"/>
                <w:szCs w:val="25"/>
              </w:rPr>
            </m:ctrlPr>
          </m:radPr>
          <m:deg>
            <m:ctrlPr>
              <w:rPr>
                <w:rFonts w:ascii="Cambria Math" w:hAnsi="Cambria Math" w:cs="Times New Roman"/>
                <w:iCs/>
                <w:color w:val="auto"/>
                <w:spacing w:val="0"/>
                <w:w w:val="100"/>
                <w:sz w:val="25"/>
                <w:szCs w:val="25"/>
              </w:rPr>
            </m:ctrlPr>
          </m:deg>
          <m:e>
            <m:r>
              <m:rPr>
                <m:sty m:val="p"/>
              </m:rPr>
              <w:rPr>
                <w:rFonts w:hint="default" w:ascii="Cambria Math" w:hAnsi="Cambria Math" w:cs="Times New Roman"/>
                <w:color w:val="auto"/>
                <w:spacing w:val="0"/>
                <w:w w:val="100"/>
                <w:sz w:val="25"/>
                <w:szCs w:val="25"/>
                <w:lang w:val="en-US" w:eastAsia="zh-CN"/>
              </w:rPr>
              <m:t>gH</m:t>
            </m:r>
            <m:r>
              <m:rPr>
                <m:sty m:val="p"/>
              </m:rPr>
              <w:rPr>
                <w:rFonts w:hint="default" w:ascii="Times New Roman" w:hAnsi="Times New Roman" w:eastAsia="Times New Roman" w:cs="Times New Roman"/>
                <w:color w:val="auto"/>
                <w:spacing w:val="0"/>
                <w:w w:val="100"/>
                <w:sz w:val="24"/>
                <w:szCs w:val="24"/>
              </w:rPr>
              <m:t>I</m:t>
            </m:r>
            <m:ctrlPr>
              <w:rPr>
                <w:rFonts w:ascii="Cambria Math" w:hAnsi="Cambria Math" w:cs="Times New Roman"/>
                <w:iCs/>
                <w:color w:val="auto"/>
                <w:spacing w:val="0"/>
                <w:w w:val="100"/>
                <w:sz w:val="25"/>
                <w:szCs w:val="25"/>
              </w:rPr>
            </m:ctrlPr>
          </m:e>
        </m:rad>
      </m:oMath>
      <w:r>
        <w:rPr>
          <w:rFonts w:hint="eastAsia" w:hAnsi="Cambria Math" w:cs="Times New Roman"/>
          <w:i w:val="0"/>
          <w:iCs w:val="0"/>
          <w:color w:val="auto"/>
          <w:spacing w:val="0"/>
          <w:w w:val="100"/>
          <w:sz w:val="25"/>
          <w:szCs w:val="25"/>
          <w:lang w:val="en-US" w:eastAsia="zh-CN"/>
        </w:rPr>
        <w:t>)</w:t>
      </w:r>
    </w:p>
    <w:p w14:paraId="2A2D3A4F">
      <w:pPr>
        <w:keepNext w:val="0"/>
        <w:keepLines w:val="0"/>
        <w:pageBreakBefore w:val="0"/>
        <w:widowControl w:val="0"/>
        <w:kinsoku/>
        <w:wordWrap/>
        <w:overflowPunct/>
        <w:topLinePunct w:val="0"/>
        <w:autoSpaceDE/>
        <w:autoSpaceDN/>
        <w:bidi w:val="0"/>
        <w:adjustRightInd/>
        <w:snapToGrid/>
        <w:spacing w:line="360" w:lineRule="auto"/>
        <w:ind w:firstLine="583"/>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Times New Roman" w:cs="Times New Roman"/>
          <w:color w:val="auto"/>
          <w:spacing w:val="0"/>
          <w:w w:val="100"/>
          <w:sz w:val="24"/>
          <w:szCs w:val="24"/>
        </w:rPr>
        <w:t>H——</w:t>
      </w:r>
      <w:r>
        <w:rPr>
          <w:rFonts w:hint="default" w:ascii="Times New Roman" w:hAnsi="Times New Roman" w:eastAsia="宋体" w:cs="Times New Roman"/>
          <w:color w:val="auto"/>
          <w:spacing w:val="0"/>
          <w:w w:val="100"/>
          <w:sz w:val="24"/>
          <w:szCs w:val="24"/>
        </w:rPr>
        <w:t>平均水深，</w:t>
      </w:r>
      <w:r>
        <w:rPr>
          <w:rFonts w:hint="default" w:ascii="Times New Roman" w:hAnsi="Times New Roman" w:eastAsia="Times New Roman" w:cs="Times New Roman"/>
          <w:color w:val="auto"/>
          <w:spacing w:val="0"/>
          <w:w w:val="100"/>
          <w:sz w:val="24"/>
          <w:szCs w:val="24"/>
        </w:rPr>
        <w:t>m</w:t>
      </w:r>
      <w:r>
        <w:rPr>
          <w:rFonts w:hint="default" w:ascii="Times New Roman" w:hAnsi="Times New Roman" w:eastAsia="宋体" w:cs="Times New Roman"/>
          <w:color w:val="auto"/>
          <w:spacing w:val="0"/>
          <w:w w:val="100"/>
          <w:sz w:val="24"/>
          <w:szCs w:val="24"/>
        </w:rPr>
        <w:t>；</w:t>
      </w:r>
    </w:p>
    <w:p w14:paraId="430A1842">
      <w:pPr>
        <w:keepNext w:val="0"/>
        <w:keepLines w:val="0"/>
        <w:pageBreakBefore w:val="0"/>
        <w:widowControl w:val="0"/>
        <w:kinsoku/>
        <w:wordWrap/>
        <w:overflowPunct/>
        <w:topLinePunct w:val="0"/>
        <w:autoSpaceDE/>
        <w:autoSpaceDN/>
        <w:bidi w:val="0"/>
        <w:adjustRightInd/>
        <w:snapToGrid/>
        <w:spacing w:line="360" w:lineRule="auto"/>
        <w:ind w:firstLine="585"/>
        <w:textAlignment w:val="auto"/>
        <w:rPr>
          <w:rFonts w:hint="eastAsia" w:ascii="Times New Roman" w:hAnsi="Times New Roman" w:eastAsia="宋体" w:cs="Times New Roman"/>
          <w:color w:val="auto"/>
          <w:spacing w:val="0"/>
          <w:w w:val="100"/>
          <w:sz w:val="24"/>
          <w:szCs w:val="24"/>
          <w:lang w:val="en-US" w:eastAsia="zh-CN"/>
        </w:rPr>
      </w:pPr>
      <w:r>
        <w:rPr>
          <w:rFonts w:hint="default" w:ascii="Times New Roman" w:hAnsi="Times New Roman" w:eastAsia="Times New Roman" w:cs="Times New Roman"/>
          <w:color w:val="auto"/>
          <w:spacing w:val="0"/>
          <w:w w:val="100"/>
          <w:sz w:val="24"/>
          <w:szCs w:val="24"/>
        </w:rPr>
        <w:t>I——</w:t>
      </w:r>
      <w:r>
        <w:rPr>
          <w:rFonts w:hint="default" w:ascii="Times New Roman" w:hAnsi="Times New Roman" w:eastAsia="宋体" w:cs="Times New Roman"/>
          <w:color w:val="auto"/>
          <w:spacing w:val="0"/>
          <w:w w:val="100"/>
          <w:sz w:val="24"/>
          <w:szCs w:val="24"/>
        </w:rPr>
        <w:t>河流地坡系数，无量纲；</w:t>
      </w:r>
    </w:p>
    <w:p w14:paraId="5415F679">
      <w:pPr>
        <w:keepNext w:val="0"/>
        <w:keepLines w:val="0"/>
        <w:pageBreakBefore w:val="0"/>
        <w:widowControl w:val="0"/>
        <w:kinsoku/>
        <w:wordWrap/>
        <w:overflowPunct/>
        <w:topLinePunct w:val="0"/>
        <w:autoSpaceDE/>
        <w:autoSpaceDN/>
        <w:bidi w:val="0"/>
        <w:adjustRightInd/>
        <w:snapToGrid/>
        <w:spacing w:line="360" w:lineRule="auto"/>
        <w:ind w:firstLine="587"/>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Times New Roman" w:cs="Times New Roman"/>
          <w:color w:val="auto"/>
          <w:spacing w:val="0"/>
          <w:w w:val="100"/>
          <w:sz w:val="24"/>
          <w:szCs w:val="24"/>
        </w:rPr>
        <w:t>g——</w:t>
      </w:r>
      <w:r>
        <w:rPr>
          <w:rFonts w:hint="default" w:ascii="Times New Roman" w:hAnsi="Times New Roman" w:eastAsia="宋体" w:cs="Times New Roman"/>
          <w:color w:val="auto"/>
          <w:spacing w:val="0"/>
          <w:w w:val="100"/>
          <w:sz w:val="24"/>
          <w:szCs w:val="24"/>
        </w:rPr>
        <w:t>重力加速度，</w:t>
      </w:r>
      <w:r>
        <w:rPr>
          <w:rFonts w:hint="default" w:ascii="Times New Roman" w:hAnsi="Times New Roman" w:eastAsia="Times New Roman" w:cs="Times New Roman"/>
          <w:color w:val="auto"/>
          <w:spacing w:val="0"/>
          <w:w w:val="100"/>
          <w:sz w:val="24"/>
          <w:szCs w:val="24"/>
        </w:rPr>
        <w:t>9.8m/s</w:t>
      </w:r>
      <w:r>
        <w:rPr>
          <w:rFonts w:hint="default" w:ascii="Times New Roman" w:hAnsi="Times New Roman" w:eastAsia="Times New Roman" w:cs="Times New Roman"/>
          <w:color w:val="auto"/>
          <w:spacing w:val="0"/>
          <w:w w:val="100"/>
          <w:position w:val="8"/>
          <w:sz w:val="16"/>
          <w:szCs w:val="16"/>
        </w:rPr>
        <w:t>2</w:t>
      </w:r>
      <w:r>
        <w:rPr>
          <w:rFonts w:hint="default" w:ascii="Times New Roman" w:hAnsi="Times New Roman" w:eastAsia="宋体" w:cs="Times New Roman"/>
          <w:color w:val="auto"/>
          <w:spacing w:val="0"/>
          <w:w w:val="100"/>
          <w:sz w:val="24"/>
          <w:szCs w:val="24"/>
        </w:rPr>
        <w:t>；</w:t>
      </w:r>
    </w:p>
    <w:p w14:paraId="51A9BB11">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lang w:val="en-US" w:eastAsia="zh-CN"/>
        </w:rPr>
        <w:t>得Ex=</w:t>
      </w:r>
      <w:r>
        <w:rPr>
          <w:rFonts w:hint="eastAsia" w:ascii="Times New Roman" w:hAnsi="Times New Roman" w:eastAsia="宋体" w:cs="Times New Roman"/>
          <w:color w:val="auto"/>
          <w:spacing w:val="0"/>
          <w:w w:val="100"/>
          <w:sz w:val="24"/>
          <w:szCs w:val="24"/>
          <w:lang w:val="en-US" w:eastAsia="zh-CN"/>
        </w:rPr>
        <w:t>0.009</w:t>
      </w:r>
      <w:r>
        <w:rPr>
          <w:rFonts w:hint="default" w:ascii="Times New Roman" w:hAnsi="Times New Roman" w:eastAsia="宋体" w:cs="Times New Roman"/>
          <w:color w:val="auto"/>
          <w:spacing w:val="0"/>
          <w:w w:val="100"/>
          <w:sz w:val="24"/>
          <w:szCs w:val="24"/>
          <w:lang w:val="en-US" w:eastAsia="zh-CN"/>
        </w:rPr>
        <w:t>m</w:t>
      </w:r>
      <w:r>
        <w:rPr>
          <w:rFonts w:hint="default"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lang w:val="en-US" w:eastAsia="zh-CN"/>
        </w:rPr>
        <w:t>/s，Ey=</w:t>
      </w:r>
      <w:r>
        <w:rPr>
          <w:rFonts w:hint="eastAsia" w:ascii="Times New Roman" w:hAnsi="Times New Roman" w:eastAsia="宋体" w:cs="Times New Roman"/>
          <w:color w:val="auto"/>
          <w:spacing w:val="0"/>
          <w:w w:val="100"/>
          <w:sz w:val="24"/>
          <w:szCs w:val="24"/>
          <w:lang w:val="en-US" w:eastAsia="zh-CN"/>
        </w:rPr>
        <w:t>0.335</w:t>
      </w:r>
      <w:r>
        <w:rPr>
          <w:rFonts w:hint="default" w:ascii="Times New Roman" w:hAnsi="Times New Roman" w:eastAsia="宋体" w:cs="Times New Roman"/>
          <w:color w:val="auto"/>
          <w:spacing w:val="0"/>
          <w:w w:val="100"/>
          <w:sz w:val="24"/>
          <w:szCs w:val="24"/>
          <w:lang w:val="en-US" w:eastAsia="zh-CN"/>
        </w:rPr>
        <w:t>m</w:t>
      </w:r>
      <w:r>
        <w:rPr>
          <w:rFonts w:hint="default"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lang w:val="en-US" w:eastAsia="zh-CN"/>
        </w:rPr>
        <w:t>/s。</w:t>
      </w:r>
    </w:p>
    <w:p w14:paraId="64696FD5">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kern w:val="0"/>
          <w:sz w:val="24"/>
          <w:szCs w:val="24"/>
          <w:lang w:val="en-US" w:eastAsia="zh-CN" w:bidi="ar"/>
        </w:rPr>
      </w:pPr>
      <w:r>
        <w:rPr>
          <w:rFonts w:hint="default" w:ascii="Times New Roman" w:hAnsi="Times New Roman" w:eastAsia="宋体" w:cs="Times New Roman"/>
          <w:color w:val="auto"/>
          <w:spacing w:val="0"/>
          <w:w w:val="100"/>
          <w:sz w:val="24"/>
          <w:szCs w:val="24"/>
          <w:lang w:val="en-US" w:eastAsia="zh-CN"/>
        </w:rPr>
        <w:t>经计算各测因子α、Pe判别结果</w:t>
      </w:r>
      <w:r>
        <w:rPr>
          <w:rFonts w:hint="eastAsia" w:ascii="Times New Roman" w:hAnsi="Times New Roman" w:eastAsia="宋体" w:cs="Times New Roman"/>
          <w:color w:val="auto"/>
          <w:spacing w:val="0"/>
          <w:w w:val="100"/>
          <w:sz w:val="24"/>
          <w:szCs w:val="24"/>
          <w:lang w:val="en-US" w:eastAsia="zh-CN"/>
        </w:rPr>
        <w:t>见下表。</w:t>
      </w:r>
    </w:p>
    <w:p w14:paraId="7E90A346">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auto"/>
          <w:spacing w:val="0"/>
          <w:w w:val="100"/>
          <w:sz w:val="21"/>
          <w:szCs w:val="21"/>
          <w:lang w:val="en-US" w:eastAsia="zh-CN"/>
        </w:rPr>
      </w:pPr>
      <w:r>
        <w:rPr>
          <w:rFonts w:hint="default" w:ascii="Times New Roman" w:hAnsi="Times New Roman" w:eastAsia="宋体" w:cs="Times New Roman"/>
          <w:b/>
          <w:bCs/>
          <w:color w:val="auto"/>
          <w:spacing w:val="0"/>
          <w:w w:val="100"/>
          <w:sz w:val="21"/>
          <w:szCs w:val="21"/>
          <w:lang w:val="en-US" w:eastAsia="zh-CN"/>
        </w:rPr>
        <w:t>表4-</w:t>
      </w:r>
      <w:r>
        <w:rPr>
          <w:rFonts w:hint="eastAsia" w:ascii="Times New Roman" w:hAnsi="Times New Roman" w:eastAsia="宋体" w:cs="Times New Roman"/>
          <w:b/>
          <w:bCs/>
          <w:color w:val="auto"/>
          <w:spacing w:val="0"/>
          <w:w w:val="100"/>
          <w:sz w:val="21"/>
          <w:szCs w:val="21"/>
          <w:lang w:val="en-US" w:eastAsia="zh-CN"/>
        </w:rPr>
        <w:t xml:space="preserve">4  </w:t>
      </w:r>
      <w:r>
        <w:rPr>
          <w:rFonts w:hint="default" w:ascii="Times New Roman" w:hAnsi="Times New Roman" w:eastAsia="宋体" w:cs="Times New Roman"/>
          <w:b/>
          <w:bCs/>
          <w:color w:val="auto"/>
          <w:spacing w:val="0"/>
          <w:w w:val="100"/>
          <w:sz w:val="21"/>
          <w:szCs w:val="21"/>
          <w:lang w:val="en-US" w:eastAsia="zh-CN"/>
        </w:rPr>
        <w:t>各预测因子α、Pe判别结果</w:t>
      </w:r>
    </w:p>
    <w:tbl>
      <w:tblPr>
        <w:tblStyle w:val="58"/>
        <w:tblW w:w="5004"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556"/>
        <w:gridCol w:w="2994"/>
        <w:gridCol w:w="2774"/>
      </w:tblGrid>
      <w:tr w14:paraId="12BDF8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1535" w:type="pct"/>
            <w:vAlign w:val="center"/>
          </w:tcPr>
          <w:p w14:paraId="71FAADC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预测因子</w:t>
            </w:r>
          </w:p>
        </w:tc>
        <w:tc>
          <w:tcPr>
            <w:tcW w:w="1798" w:type="pct"/>
            <w:vAlign w:val="center"/>
          </w:tcPr>
          <w:p w14:paraId="21849C8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z w:val="21"/>
                <w:szCs w:val="21"/>
              </w:rPr>
              <w:t>α</w:t>
            </w:r>
          </w:p>
        </w:tc>
        <w:tc>
          <w:tcPr>
            <w:tcW w:w="1666" w:type="pct"/>
            <w:tcBorders>
              <w:right w:val="single" w:color="000000" w:sz="6" w:space="0"/>
            </w:tcBorders>
            <w:vAlign w:val="center"/>
          </w:tcPr>
          <w:p w14:paraId="687F026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1"/>
                <w:sz w:val="21"/>
                <w:szCs w:val="21"/>
              </w:rPr>
              <w:t>Pe</w:t>
            </w:r>
          </w:p>
        </w:tc>
      </w:tr>
      <w:tr w14:paraId="3484C1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535" w:type="pct"/>
            <w:vAlign w:val="center"/>
          </w:tcPr>
          <w:p w14:paraId="13103D7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COD</w:t>
            </w:r>
          </w:p>
        </w:tc>
        <w:tc>
          <w:tcPr>
            <w:tcW w:w="2994" w:type="dxa"/>
            <w:vAlign w:val="center"/>
          </w:tcPr>
          <w:p w14:paraId="62DC6065">
            <w:pPr>
              <w:keepNext w:val="0"/>
              <w:keepLines w:val="0"/>
              <w:widowControl/>
              <w:suppressLineNumbers w:val="0"/>
              <w:jc w:val="center"/>
              <w:textAlignment w:val="center"/>
              <w:rPr>
                <w:rFonts w:hint="default" w:ascii="Times New Roman" w:hAnsi="Times New Roman" w:eastAsia="Times New Roman" w:cs="Times New Roman"/>
                <w:color w:val="auto"/>
                <w:sz w:val="21"/>
                <w:szCs w:val="21"/>
                <w:lang w:val="en-US" w:eastAsia="zh-CN"/>
              </w:rPr>
            </w:pPr>
            <w:r>
              <w:rPr>
                <w:rFonts w:hint="eastAsia" w:ascii="Times New Roman" w:hAnsi="Times New Roman" w:eastAsia="Times New Roman" w:cs="Times New Roman"/>
                <w:color w:val="auto"/>
                <w:sz w:val="21"/>
                <w:szCs w:val="21"/>
                <w:lang w:val="en-US" w:eastAsia="zh-CN"/>
              </w:rPr>
              <w:t>0.037</w:t>
            </w:r>
          </w:p>
        </w:tc>
        <w:tc>
          <w:tcPr>
            <w:tcW w:w="1666" w:type="pct"/>
            <w:vMerge w:val="restart"/>
            <w:tcBorders>
              <w:right w:val="single" w:color="000000" w:sz="6" w:space="0"/>
            </w:tcBorders>
            <w:vAlign w:val="center"/>
          </w:tcPr>
          <w:p w14:paraId="0B256E9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Times New Roman" w:cs="Times New Roman"/>
                <w:color w:val="auto"/>
                <w:sz w:val="21"/>
                <w:szCs w:val="21"/>
                <w:lang w:val="en-US" w:eastAsia="zh-CN"/>
              </w:rPr>
            </w:pPr>
            <w:r>
              <w:rPr>
                <w:rFonts w:hint="eastAsia" w:ascii="Times New Roman" w:hAnsi="Times New Roman" w:eastAsia="Times New Roman" w:cs="Times New Roman"/>
                <w:color w:val="auto"/>
                <w:sz w:val="21"/>
                <w:szCs w:val="21"/>
                <w:lang w:val="en-US" w:eastAsia="zh-CN"/>
              </w:rPr>
              <w:t>148.372</w:t>
            </w:r>
          </w:p>
        </w:tc>
      </w:tr>
      <w:tr w14:paraId="2CC109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jc w:val="center"/>
        </w:trPr>
        <w:tc>
          <w:tcPr>
            <w:tcW w:w="1535" w:type="pct"/>
            <w:vAlign w:val="center"/>
          </w:tcPr>
          <w:p w14:paraId="5147029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NH</w:t>
            </w:r>
            <w:r>
              <w:rPr>
                <w:rFonts w:ascii="Times New Roman" w:hAnsi="Times New Roman" w:eastAsia="Times New Roman" w:cs="Times New Roman"/>
                <w:color w:val="auto"/>
                <w:position w:val="-1"/>
                <w:sz w:val="21"/>
                <w:szCs w:val="21"/>
                <w:vertAlign w:val="subscript"/>
              </w:rPr>
              <w:t>3</w:t>
            </w:r>
            <w:r>
              <w:rPr>
                <w:rFonts w:ascii="Times New Roman" w:hAnsi="Times New Roman" w:eastAsia="Times New Roman" w:cs="Times New Roman"/>
                <w:color w:val="auto"/>
                <w:sz w:val="21"/>
                <w:szCs w:val="21"/>
              </w:rPr>
              <w:t>-N</w:t>
            </w:r>
          </w:p>
        </w:tc>
        <w:tc>
          <w:tcPr>
            <w:tcW w:w="2994" w:type="dxa"/>
            <w:vAlign w:val="center"/>
          </w:tcPr>
          <w:p w14:paraId="64874935">
            <w:pPr>
              <w:keepNext w:val="0"/>
              <w:keepLines w:val="0"/>
              <w:widowControl/>
              <w:suppressLineNumbers w:val="0"/>
              <w:jc w:val="center"/>
              <w:textAlignment w:val="center"/>
              <w:rPr>
                <w:rFonts w:hint="default" w:ascii="Times New Roman" w:hAnsi="Times New Roman" w:eastAsia="Times New Roman" w:cs="Times New Roman"/>
                <w:color w:val="auto"/>
                <w:sz w:val="21"/>
                <w:szCs w:val="21"/>
                <w:lang w:val="en-US" w:eastAsia="zh-CN"/>
              </w:rPr>
            </w:pPr>
            <w:r>
              <w:rPr>
                <w:rFonts w:hint="eastAsia" w:ascii="Times New Roman" w:hAnsi="Times New Roman" w:eastAsia="Times New Roman" w:cs="Times New Roman"/>
                <w:color w:val="auto"/>
                <w:sz w:val="21"/>
                <w:szCs w:val="21"/>
                <w:lang w:val="en-US" w:eastAsia="zh-CN"/>
              </w:rPr>
              <w:t>0.055</w:t>
            </w:r>
          </w:p>
        </w:tc>
        <w:tc>
          <w:tcPr>
            <w:tcW w:w="1666" w:type="pct"/>
            <w:vMerge w:val="continue"/>
            <w:tcBorders>
              <w:right w:val="single" w:color="000000" w:sz="6" w:space="0"/>
            </w:tcBorders>
            <w:vAlign w:val="center"/>
          </w:tcPr>
          <w:p w14:paraId="71090DF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Times New Roman" w:cs="Times New Roman"/>
                <w:color w:val="auto"/>
                <w:sz w:val="21"/>
                <w:szCs w:val="21"/>
                <w:lang w:val="en-US" w:eastAsia="zh-CN"/>
              </w:rPr>
            </w:pPr>
          </w:p>
        </w:tc>
      </w:tr>
    </w:tbl>
    <w:p w14:paraId="0A5CA43C">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根据《环境影响评价技术导则 地表水环境》（HJ 2.3-2018）附录E，</w:t>
      </w:r>
      <w:r>
        <w:rPr>
          <w:rFonts w:hint="eastAsia" w:ascii="Times New Roman" w:hAnsi="Times New Roman" w:eastAsia="宋体" w:cs="Times New Roman"/>
          <w:color w:val="auto"/>
          <w:spacing w:val="0"/>
          <w:w w:val="100"/>
          <w:sz w:val="24"/>
          <w:szCs w:val="24"/>
          <w:lang w:val="en-US" w:eastAsia="zh-CN"/>
        </w:rPr>
        <w:t>根据河流纵向一维水质模型，</w:t>
      </w:r>
      <w:r>
        <w:rPr>
          <w:rFonts w:hint="default" w:ascii="Times New Roman" w:hAnsi="Times New Roman" w:eastAsia="宋体" w:cs="Times New Roman"/>
          <w:color w:val="auto"/>
          <w:spacing w:val="0"/>
          <w:w w:val="100"/>
          <w:sz w:val="24"/>
          <w:szCs w:val="24"/>
          <w:lang w:val="en-US" w:eastAsia="zh-CN"/>
        </w:rPr>
        <w:t>当0.027</w:t>
      </w:r>
      <w:r>
        <w:rPr>
          <w:rFonts w:hint="eastAsia" w:ascii="Times New Roman" w:hAnsi="Times New Roman" w:eastAsia="宋体" w:cs="Times New Roman"/>
          <w:color w:val="auto"/>
          <w:spacing w:val="0"/>
          <w:w w:val="100"/>
          <w:sz w:val="24"/>
          <w:szCs w:val="24"/>
          <w:lang w:val="en-US" w:eastAsia="zh-CN"/>
        </w:rPr>
        <w:t>＜</w:t>
      </w:r>
      <w:r>
        <w:rPr>
          <w:rFonts w:hint="default" w:ascii="Times New Roman" w:hAnsi="Times New Roman" w:eastAsia="宋体" w:cs="Times New Roman"/>
          <w:color w:val="auto"/>
          <w:spacing w:val="0"/>
          <w:w w:val="100"/>
          <w:sz w:val="24"/>
          <w:szCs w:val="24"/>
          <w:lang w:val="en-US" w:eastAsia="zh-CN"/>
        </w:rPr>
        <w:t>α</w:t>
      </w:r>
      <w:r>
        <w:rPr>
          <w:rFonts w:hint="eastAsia" w:ascii="Times New Roman" w:hAnsi="Times New Roman" w:eastAsia="宋体" w:cs="Times New Roman"/>
          <w:color w:val="auto"/>
          <w:spacing w:val="0"/>
          <w:w w:val="100"/>
          <w:sz w:val="24"/>
          <w:szCs w:val="24"/>
          <w:lang w:val="en-US" w:eastAsia="zh-CN"/>
        </w:rPr>
        <w:t>≤</w:t>
      </w:r>
      <w:r>
        <w:rPr>
          <w:rFonts w:hint="default" w:ascii="Times New Roman" w:hAnsi="Times New Roman" w:eastAsia="宋体" w:cs="Times New Roman"/>
          <w:color w:val="auto"/>
          <w:spacing w:val="0"/>
          <w:w w:val="100"/>
          <w:sz w:val="24"/>
          <w:szCs w:val="24"/>
          <w:lang w:val="en-US" w:eastAsia="zh-CN"/>
        </w:rPr>
        <w:t>380</w:t>
      </w:r>
      <w:r>
        <w:rPr>
          <w:rFonts w:hint="eastAsia" w:ascii="Times New Roman" w:hAnsi="Times New Roman" w:eastAsia="宋体" w:cs="Times New Roman"/>
          <w:color w:val="auto"/>
          <w:spacing w:val="0"/>
          <w:w w:val="100"/>
          <w:sz w:val="24"/>
          <w:szCs w:val="24"/>
          <w:lang w:val="en-US" w:eastAsia="zh-CN"/>
        </w:rPr>
        <w:t>时，适用对流扩散降解模型：</w:t>
      </w:r>
    </w:p>
    <w:p w14:paraId="42932CE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color w:val="auto"/>
        </w:rPr>
      </w:pPr>
      <w:r>
        <w:rPr>
          <w:color w:val="auto"/>
        </w:rPr>
        <w:drawing>
          <wp:inline distT="0" distB="0" distL="114300" distR="114300">
            <wp:extent cx="2763520" cy="1480820"/>
            <wp:effectExtent l="0" t="0" r="10160" b="1270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31"/>
                    <a:stretch>
                      <a:fillRect/>
                    </a:stretch>
                  </pic:blipFill>
                  <pic:spPr>
                    <a:xfrm>
                      <a:off x="0" y="0"/>
                      <a:ext cx="2763520" cy="1480820"/>
                    </a:xfrm>
                    <a:prstGeom prst="rect">
                      <a:avLst/>
                    </a:prstGeom>
                    <a:noFill/>
                    <a:ln>
                      <a:noFill/>
                    </a:ln>
                  </pic:spPr>
                </pic:pic>
              </a:graphicData>
            </a:graphic>
          </wp:inline>
        </w:drawing>
      </w:r>
    </w:p>
    <w:p w14:paraId="3E55A5AB">
      <w:pPr>
        <w:tabs>
          <w:tab w:val="left" w:pos="4057"/>
        </w:tabs>
        <w:spacing w:line="360" w:lineRule="auto"/>
        <w:ind w:firstLine="480" w:firstLineChars="200"/>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式中：</w:t>
      </w:r>
      <w:r>
        <w:rPr>
          <w:rFonts w:hint="eastAsia" w:ascii="Times New Roman" w:hAnsi="Times New Roman" w:eastAsia="宋体" w:cs="Times New Roman"/>
          <w:color w:val="auto"/>
          <w:spacing w:val="0"/>
          <w:w w:val="100"/>
          <w:sz w:val="24"/>
          <w:szCs w:val="24"/>
          <w:lang w:val="en-US" w:eastAsia="zh-CN"/>
        </w:rPr>
        <w:t xml:space="preserve"> </w:t>
      </w:r>
      <w:r>
        <w:rPr>
          <w:rFonts w:hint="default" w:ascii="Times New Roman" w:hAnsi="Times New Roman" w:eastAsia="宋体" w:cs="Times New Roman"/>
          <w:color w:val="auto"/>
          <w:spacing w:val="0"/>
          <w:w w:val="100"/>
          <w:sz w:val="24"/>
          <w:szCs w:val="24"/>
          <w:lang w:val="en-US" w:eastAsia="zh-CN"/>
        </w:rPr>
        <w:t>C</w:t>
      </w:r>
      <w:r>
        <w:rPr>
          <w:rFonts w:hint="default" w:ascii="Times New Roman" w:hAnsi="Times New Roman" w:eastAsia="宋体" w:cs="Times New Roman"/>
          <w:color w:val="auto"/>
          <w:spacing w:val="0"/>
          <w:w w:val="100"/>
          <w:sz w:val="24"/>
          <w:szCs w:val="24"/>
          <w:vertAlign w:val="subscript"/>
          <w:lang w:val="en-US" w:eastAsia="zh-CN"/>
        </w:rPr>
        <w:t>0</w:t>
      </w:r>
      <w:r>
        <w:rPr>
          <w:rFonts w:hint="default" w:ascii="Times New Roman" w:hAnsi="Times New Roman" w:eastAsia="宋体" w:cs="Times New Roman"/>
          <w:color w:val="auto"/>
          <w:spacing w:val="0"/>
          <w:w w:val="100"/>
          <w:sz w:val="24"/>
          <w:szCs w:val="24"/>
          <w:lang w:val="en-US" w:eastAsia="zh-CN"/>
        </w:rPr>
        <w:t>——河流排放口初始断面混合浓度，m</w:t>
      </w:r>
      <w:r>
        <w:rPr>
          <w:rFonts w:hint="eastAsia" w:ascii="Times New Roman" w:hAnsi="Times New Roman" w:eastAsia="宋体" w:cs="Times New Roman"/>
          <w:color w:val="auto"/>
          <w:spacing w:val="0"/>
          <w:w w:val="100"/>
          <w:sz w:val="24"/>
          <w:szCs w:val="24"/>
          <w:lang w:val="en-US" w:eastAsia="zh-CN"/>
        </w:rPr>
        <w:t>q</w:t>
      </w:r>
      <w:r>
        <w:rPr>
          <w:rFonts w:hint="default" w:ascii="Times New Roman" w:hAnsi="Times New Roman" w:eastAsia="宋体" w:cs="Times New Roman"/>
          <w:color w:val="auto"/>
          <w:spacing w:val="0"/>
          <w:w w:val="100"/>
          <w:sz w:val="24"/>
          <w:szCs w:val="24"/>
          <w:lang w:val="en-US" w:eastAsia="zh-CN"/>
        </w:rPr>
        <w:t xml:space="preserve">g/L； </w:t>
      </w:r>
    </w:p>
    <w:p w14:paraId="7E6BE9A4">
      <w:pPr>
        <w:tabs>
          <w:tab w:val="left" w:pos="4057"/>
        </w:tabs>
        <w:spacing w:line="360" w:lineRule="auto"/>
        <w:ind w:firstLine="1440" w:firstLineChars="600"/>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 xml:space="preserve">x——河流沿程坐标，x=0指排放口处，x&gt;0指排放口下游段； </w:t>
      </w:r>
    </w:p>
    <w:p w14:paraId="3A089F5C">
      <w:pPr>
        <w:tabs>
          <w:tab w:val="left" w:pos="4057"/>
        </w:tabs>
        <w:spacing w:line="360" w:lineRule="auto"/>
        <w:ind w:firstLine="1440" w:firstLineChars="600"/>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C—污染物浓度，mg/L；</w:t>
      </w:r>
    </w:p>
    <w:p w14:paraId="74908AAB">
      <w:pPr>
        <w:tabs>
          <w:tab w:val="left" w:pos="4057"/>
        </w:tabs>
        <w:spacing w:line="360" w:lineRule="auto"/>
        <w:ind w:firstLine="1440" w:firstLineChars="600"/>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C</w:t>
      </w:r>
      <w:r>
        <w:rPr>
          <w:rFonts w:hint="default" w:ascii="Times New Roman" w:hAnsi="Times New Roman" w:eastAsia="宋体" w:cs="Times New Roman"/>
          <w:color w:val="auto"/>
          <w:spacing w:val="0"/>
          <w:w w:val="100"/>
          <w:sz w:val="24"/>
          <w:szCs w:val="24"/>
          <w:vertAlign w:val="subscript"/>
          <w:lang w:val="en-US" w:eastAsia="zh-CN"/>
        </w:rPr>
        <w:t>p</w:t>
      </w:r>
      <w:r>
        <w:rPr>
          <w:rFonts w:hint="default" w:ascii="Times New Roman" w:hAnsi="Times New Roman" w:eastAsia="宋体" w:cs="Times New Roman"/>
          <w:color w:val="auto"/>
          <w:spacing w:val="0"/>
          <w:w w:val="100"/>
          <w:sz w:val="24"/>
          <w:szCs w:val="24"/>
          <w:lang w:val="en-US" w:eastAsia="zh-CN"/>
        </w:rPr>
        <w:t xml:space="preserve">—污染物排放浓度，mg/L； </w:t>
      </w:r>
    </w:p>
    <w:p w14:paraId="10B1D199">
      <w:pPr>
        <w:tabs>
          <w:tab w:val="left" w:pos="4057"/>
        </w:tabs>
        <w:spacing w:line="360" w:lineRule="auto"/>
        <w:ind w:firstLine="1440" w:firstLineChars="600"/>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C</w:t>
      </w:r>
      <w:r>
        <w:rPr>
          <w:rFonts w:hint="default" w:ascii="Times New Roman" w:hAnsi="Times New Roman" w:eastAsia="宋体" w:cs="Times New Roman"/>
          <w:color w:val="auto"/>
          <w:spacing w:val="0"/>
          <w:w w:val="100"/>
          <w:sz w:val="24"/>
          <w:szCs w:val="24"/>
          <w:vertAlign w:val="subscript"/>
          <w:lang w:val="en-US" w:eastAsia="zh-CN"/>
        </w:rPr>
        <w:t>h</w:t>
      </w:r>
      <w:r>
        <w:rPr>
          <w:rFonts w:hint="default" w:ascii="Times New Roman" w:hAnsi="Times New Roman" w:eastAsia="宋体" w:cs="Times New Roman"/>
          <w:color w:val="auto"/>
          <w:spacing w:val="0"/>
          <w:w w:val="100"/>
          <w:sz w:val="24"/>
          <w:szCs w:val="24"/>
          <w:lang w:val="en-US" w:eastAsia="zh-CN"/>
        </w:rPr>
        <w:t>—河流上游污染物浓度，mg/L；</w:t>
      </w:r>
    </w:p>
    <w:p w14:paraId="43FEEC8C">
      <w:pPr>
        <w:tabs>
          <w:tab w:val="left" w:pos="4057"/>
        </w:tabs>
        <w:spacing w:line="360" w:lineRule="auto"/>
        <w:ind w:firstLine="1440" w:firstLineChars="600"/>
        <w:rPr>
          <w:rFonts w:hint="default" w:ascii="Times New Roman" w:hAnsi="Times New Roman" w:eastAsia="宋体" w:cs="Times New Roman"/>
          <w:color w:val="auto"/>
          <w:spacing w:val="0"/>
          <w:w w:val="100"/>
          <w:sz w:val="24"/>
          <w:szCs w:val="24"/>
        </w:rPr>
      </w:pPr>
      <w:r>
        <w:rPr>
          <w:rFonts w:hint="default" w:ascii="Times New Roman" w:hAnsi="Times New Roman" w:eastAsia="TimesNewRomanPSMT" w:cs="Times New Roman"/>
          <w:color w:val="auto"/>
          <w:spacing w:val="0"/>
          <w:w w:val="100"/>
          <w:kern w:val="0"/>
          <w:sz w:val="24"/>
          <w:szCs w:val="24"/>
          <w:lang w:val="en-US" w:eastAsia="zh-CN" w:bidi="ar"/>
        </w:rPr>
        <w:t>Q</w:t>
      </w:r>
      <w:r>
        <w:rPr>
          <w:rFonts w:hint="default" w:ascii="Times New Roman" w:hAnsi="Times New Roman" w:eastAsia="TimesNewRomanPSMT" w:cs="Times New Roman"/>
          <w:color w:val="auto"/>
          <w:spacing w:val="0"/>
          <w:w w:val="100"/>
          <w:kern w:val="0"/>
          <w:sz w:val="16"/>
          <w:szCs w:val="16"/>
          <w:lang w:val="en-US" w:eastAsia="zh-CN" w:bidi="ar"/>
        </w:rPr>
        <w:t>p</w:t>
      </w:r>
      <w:r>
        <w:rPr>
          <w:rFonts w:hint="default" w:ascii="Times New Roman" w:hAnsi="Times New Roman" w:eastAsia="TimesNewRomanPSMT" w:cs="Times New Roman"/>
          <w:color w:val="auto"/>
          <w:spacing w:val="0"/>
          <w:w w:val="100"/>
          <w:kern w:val="0"/>
          <w:sz w:val="24"/>
          <w:szCs w:val="24"/>
          <w:lang w:val="en-US" w:eastAsia="zh-CN" w:bidi="ar"/>
        </w:rPr>
        <w:t>—</w:t>
      </w:r>
      <w:r>
        <w:rPr>
          <w:rFonts w:hint="default" w:ascii="Times New Roman" w:hAnsi="Times New Roman" w:eastAsia="宋体" w:cs="Times New Roman"/>
          <w:color w:val="auto"/>
          <w:spacing w:val="0"/>
          <w:w w:val="100"/>
          <w:kern w:val="0"/>
          <w:sz w:val="24"/>
          <w:szCs w:val="24"/>
          <w:lang w:val="en-US" w:eastAsia="zh-CN" w:bidi="ar"/>
        </w:rPr>
        <w:t>污水</w:t>
      </w:r>
      <w:r>
        <w:rPr>
          <w:rFonts w:hint="default" w:ascii="Times New Roman" w:hAnsi="Times New Roman" w:eastAsia="宋体" w:cs="Times New Roman"/>
          <w:color w:val="auto"/>
          <w:spacing w:val="0"/>
          <w:w w:val="100"/>
          <w:sz w:val="24"/>
          <w:szCs w:val="24"/>
          <w:lang w:val="en-US" w:eastAsia="zh-CN"/>
        </w:rPr>
        <w:t>排放量</w:t>
      </w:r>
      <w:r>
        <w:rPr>
          <w:rFonts w:hint="default" w:ascii="Times New Roman" w:hAnsi="Times New Roman" w:eastAsia="宋体" w:cs="Times New Roman"/>
          <w:color w:val="auto"/>
          <w:spacing w:val="0"/>
          <w:w w:val="100"/>
          <w:kern w:val="0"/>
          <w:sz w:val="24"/>
          <w:szCs w:val="24"/>
          <w:lang w:val="en-US" w:eastAsia="zh-CN" w:bidi="ar"/>
        </w:rPr>
        <w:t>，</w:t>
      </w:r>
      <w:r>
        <w:rPr>
          <w:rFonts w:hint="default" w:ascii="Times New Roman" w:hAnsi="Times New Roman" w:eastAsia="TimesNewRomanPSMT" w:cs="Times New Roman"/>
          <w:color w:val="auto"/>
          <w:spacing w:val="0"/>
          <w:w w:val="100"/>
          <w:kern w:val="0"/>
          <w:sz w:val="24"/>
          <w:szCs w:val="24"/>
          <w:lang w:val="en-US" w:eastAsia="zh-CN" w:bidi="ar"/>
        </w:rPr>
        <w:t>m</w:t>
      </w:r>
      <w:r>
        <w:rPr>
          <w:rFonts w:hint="default" w:ascii="Times New Roman" w:hAnsi="Times New Roman" w:eastAsia="TimesNewRomanPSMT" w:cs="Times New Roman"/>
          <w:color w:val="auto"/>
          <w:spacing w:val="0"/>
          <w:w w:val="100"/>
          <w:kern w:val="0"/>
          <w:sz w:val="24"/>
          <w:szCs w:val="24"/>
          <w:vertAlign w:val="superscript"/>
          <w:lang w:val="en-US" w:eastAsia="zh-CN" w:bidi="ar"/>
        </w:rPr>
        <w:t>3</w:t>
      </w:r>
      <w:r>
        <w:rPr>
          <w:rFonts w:hint="default" w:ascii="Times New Roman" w:hAnsi="Times New Roman" w:eastAsia="TimesNewRomanPSMT" w:cs="Times New Roman"/>
          <w:color w:val="auto"/>
          <w:spacing w:val="0"/>
          <w:w w:val="100"/>
          <w:kern w:val="0"/>
          <w:sz w:val="24"/>
          <w:szCs w:val="24"/>
          <w:lang w:val="en-US" w:eastAsia="zh-CN" w:bidi="ar"/>
        </w:rPr>
        <w:t>/s</w:t>
      </w:r>
      <w:r>
        <w:rPr>
          <w:rFonts w:hint="default" w:ascii="Times New Roman" w:hAnsi="Times New Roman" w:eastAsia="宋体" w:cs="Times New Roman"/>
          <w:color w:val="auto"/>
          <w:spacing w:val="0"/>
          <w:w w:val="100"/>
          <w:kern w:val="0"/>
          <w:sz w:val="24"/>
          <w:szCs w:val="24"/>
          <w:lang w:val="en-US" w:eastAsia="zh-CN" w:bidi="ar"/>
        </w:rPr>
        <w:t>；</w:t>
      </w:r>
    </w:p>
    <w:p w14:paraId="0161FD80">
      <w:pPr>
        <w:tabs>
          <w:tab w:val="left" w:pos="4057"/>
        </w:tabs>
        <w:spacing w:line="360" w:lineRule="auto"/>
        <w:ind w:firstLine="1440" w:firstLineChars="600"/>
        <w:rPr>
          <w:rFonts w:hint="eastAsia" w:ascii="Times New Roman" w:hAnsi="Times New Roman" w:eastAsia="TimesNewRomanPSMT" w:cs="Times New Roman"/>
          <w:color w:val="auto"/>
          <w:spacing w:val="0"/>
          <w:w w:val="100"/>
          <w:kern w:val="0"/>
          <w:sz w:val="24"/>
          <w:szCs w:val="24"/>
          <w:lang w:val="en-US" w:eastAsia="zh-CN" w:bidi="ar"/>
        </w:rPr>
      </w:pPr>
      <w:r>
        <w:rPr>
          <w:rFonts w:hint="default" w:ascii="Times New Roman" w:hAnsi="Times New Roman" w:eastAsia="TimesNewRomanPSMT" w:cs="Times New Roman"/>
          <w:color w:val="auto"/>
          <w:spacing w:val="0"/>
          <w:w w:val="100"/>
          <w:kern w:val="0"/>
          <w:sz w:val="24"/>
          <w:szCs w:val="24"/>
          <w:lang w:val="en-US" w:eastAsia="zh-CN" w:bidi="ar"/>
        </w:rPr>
        <w:t>Qh—</w:t>
      </w:r>
      <w:r>
        <w:rPr>
          <w:rFonts w:hint="default" w:ascii="Times New Roman" w:hAnsi="Times New Roman" w:eastAsia="宋体" w:cs="Times New Roman"/>
          <w:color w:val="auto"/>
          <w:spacing w:val="0"/>
          <w:w w:val="100"/>
          <w:kern w:val="0"/>
          <w:sz w:val="24"/>
          <w:szCs w:val="24"/>
          <w:lang w:val="en-US" w:eastAsia="zh-CN" w:bidi="ar"/>
        </w:rPr>
        <w:t>河流流量，</w:t>
      </w:r>
      <w:r>
        <w:rPr>
          <w:rFonts w:hint="default" w:ascii="Times New Roman" w:hAnsi="Times New Roman" w:eastAsia="TimesNewRomanPSMT" w:cs="Times New Roman"/>
          <w:color w:val="auto"/>
          <w:spacing w:val="0"/>
          <w:w w:val="100"/>
          <w:kern w:val="0"/>
          <w:sz w:val="24"/>
          <w:szCs w:val="24"/>
          <w:lang w:val="en-US" w:eastAsia="zh-CN" w:bidi="ar"/>
        </w:rPr>
        <w:t>m</w:t>
      </w:r>
      <w:r>
        <w:rPr>
          <w:rFonts w:hint="default" w:ascii="Times New Roman" w:hAnsi="Times New Roman" w:eastAsia="TimesNewRomanPSMT" w:cs="Times New Roman"/>
          <w:color w:val="auto"/>
          <w:spacing w:val="0"/>
          <w:w w:val="100"/>
          <w:kern w:val="0"/>
          <w:sz w:val="24"/>
          <w:szCs w:val="24"/>
          <w:vertAlign w:val="superscript"/>
          <w:lang w:val="en-US" w:eastAsia="zh-CN" w:bidi="ar"/>
        </w:rPr>
        <w:t>3</w:t>
      </w:r>
      <w:r>
        <w:rPr>
          <w:rFonts w:hint="default" w:ascii="Times New Roman" w:hAnsi="Times New Roman" w:eastAsia="TimesNewRomanPSMT" w:cs="Times New Roman"/>
          <w:color w:val="auto"/>
          <w:spacing w:val="0"/>
          <w:w w:val="100"/>
          <w:kern w:val="0"/>
          <w:sz w:val="24"/>
          <w:szCs w:val="24"/>
          <w:lang w:val="en-US" w:eastAsia="zh-CN" w:bidi="ar"/>
        </w:rPr>
        <w:t>/s</w:t>
      </w:r>
      <w:r>
        <w:rPr>
          <w:rFonts w:hint="eastAsia" w:ascii="Times New Roman" w:hAnsi="Times New Roman" w:eastAsia="TimesNewRomanPSMT" w:cs="Times New Roman"/>
          <w:color w:val="auto"/>
          <w:spacing w:val="0"/>
          <w:w w:val="100"/>
          <w:kern w:val="0"/>
          <w:sz w:val="24"/>
          <w:szCs w:val="24"/>
          <w:lang w:val="en-US" w:eastAsia="zh-CN" w:bidi="ar"/>
        </w:rPr>
        <w:t>；</w:t>
      </w:r>
    </w:p>
    <w:p w14:paraId="17FBC711">
      <w:pPr>
        <w:tabs>
          <w:tab w:val="left" w:pos="4057"/>
        </w:tabs>
        <w:spacing w:line="360" w:lineRule="auto"/>
        <w:ind w:firstLine="1440" w:firstLineChars="600"/>
        <w:rPr>
          <w:rFonts w:hint="default" w:ascii="Times New Roman" w:hAnsi="Times New Roman" w:eastAsia="TimesNewRomanPSMT" w:cs="Times New Roman"/>
          <w:color w:val="auto"/>
          <w:spacing w:val="0"/>
          <w:w w:val="100"/>
          <w:kern w:val="0"/>
          <w:sz w:val="24"/>
          <w:szCs w:val="24"/>
          <w:lang w:val="en-US" w:eastAsia="zh-CN" w:bidi="ar"/>
        </w:rPr>
      </w:pPr>
      <w:r>
        <w:rPr>
          <w:rFonts w:hint="eastAsia" w:ascii="Times New Roman" w:hAnsi="Times New Roman" w:eastAsia="TimesNewRomanPSMT" w:cs="Times New Roman"/>
          <w:color w:val="auto"/>
          <w:spacing w:val="0"/>
          <w:w w:val="100"/>
          <w:kern w:val="0"/>
          <w:sz w:val="24"/>
          <w:szCs w:val="24"/>
          <w:lang w:val="en-US" w:eastAsia="zh-CN" w:bidi="ar"/>
        </w:rPr>
        <w:t>A</w:t>
      </w:r>
      <w:r>
        <w:rPr>
          <w:rFonts w:hint="default" w:ascii="Times New Roman" w:hAnsi="Times New Roman" w:eastAsia="TimesNewRomanPSMT" w:cs="Times New Roman"/>
          <w:color w:val="auto"/>
          <w:spacing w:val="0"/>
          <w:w w:val="100"/>
          <w:kern w:val="0"/>
          <w:sz w:val="24"/>
          <w:szCs w:val="24"/>
          <w:lang w:val="en-US" w:eastAsia="zh-CN" w:bidi="ar"/>
        </w:rPr>
        <w:t>—</w:t>
      </w:r>
      <w:r>
        <w:rPr>
          <w:rFonts w:hint="eastAsia" w:ascii="Times New Roman" w:hAnsi="Times New Roman" w:eastAsia="TimesNewRomanPSMT" w:cs="Times New Roman"/>
          <w:color w:val="auto"/>
          <w:spacing w:val="0"/>
          <w:w w:val="100"/>
          <w:kern w:val="0"/>
          <w:sz w:val="24"/>
          <w:szCs w:val="24"/>
          <w:lang w:val="en-US" w:eastAsia="zh-CN" w:bidi="ar"/>
        </w:rPr>
        <w:t>断面面积，</w:t>
      </w:r>
      <w:r>
        <w:rPr>
          <w:rFonts w:hint="default" w:ascii="Times New Roman" w:hAnsi="Times New Roman" w:eastAsia="TimesNewRomanPSMT" w:cs="Times New Roman"/>
          <w:color w:val="auto"/>
          <w:spacing w:val="0"/>
          <w:w w:val="100"/>
          <w:kern w:val="0"/>
          <w:sz w:val="24"/>
          <w:szCs w:val="24"/>
          <w:lang w:val="en-US" w:eastAsia="zh-CN" w:bidi="ar"/>
        </w:rPr>
        <w:t>m</w:t>
      </w:r>
      <w:r>
        <w:rPr>
          <w:rFonts w:hint="default" w:ascii="Times New Roman" w:hAnsi="Times New Roman" w:eastAsia="TimesNewRomanPSMT" w:cs="Times New Roman"/>
          <w:color w:val="auto"/>
          <w:spacing w:val="0"/>
          <w:w w:val="100"/>
          <w:kern w:val="0"/>
          <w:sz w:val="24"/>
          <w:szCs w:val="24"/>
          <w:vertAlign w:val="superscript"/>
          <w:lang w:val="en-US" w:eastAsia="zh-CN" w:bidi="ar"/>
        </w:rPr>
        <w:t>2</w:t>
      </w:r>
      <w:r>
        <w:rPr>
          <w:rFonts w:hint="eastAsia" w:ascii="Times New Roman" w:hAnsi="Times New Roman" w:eastAsia="TimesNewRomanPSMT" w:cs="Times New Roman"/>
          <w:color w:val="auto"/>
          <w:spacing w:val="0"/>
          <w:w w:val="100"/>
          <w:kern w:val="0"/>
          <w:sz w:val="24"/>
          <w:szCs w:val="24"/>
          <w:lang w:val="en-US" w:eastAsia="zh-CN" w:bidi="ar"/>
        </w:rPr>
        <w:t>；</w:t>
      </w:r>
    </w:p>
    <w:p w14:paraId="17D96137">
      <w:pPr>
        <w:tabs>
          <w:tab w:val="left" w:pos="4057"/>
        </w:tabs>
        <w:spacing w:line="360" w:lineRule="auto"/>
        <w:ind w:firstLine="480" w:firstLineChars="200"/>
        <w:rPr>
          <w:rFonts w:hint="default" w:ascii="Times New Roman" w:hAnsi="Times New Roman" w:eastAsia="宋体" w:cs="Times New Roman"/>
          <w:color w:val="auto"/>
          <w:spacing w:val="0"/>
          <w:w w:val="100"/>
          <w:kern w:val="0"/>
          <w:sz w:val="24"/>
          <w:szCs w:val="24"/>
          <w:lang w:val="en-US" w:eastAsia="zh-CN" w:bidi="ar"/>
        </w:rPr>
      </w:pPr>
      <w:r>
        <w:rPr>
          <w:rFonts w:hint="default" w:ascii="Times New Roman" w:hAnsi="Times New Roman" w:eastAsia="宋体" w:cs="Times New Roman"/>
          <w:color w:val="auto"/>
          <w:spacing w:val="0"/>
          <w:w w:val="100"/>
          <w:kern w:val="0"/>
          <w:sz w:val="24"/>
          <w:szCs w:val="24"/>
          <w:lang w:val="en-US" w:eastAsia="zh-CN" w:bidi="ar"/>
        </w:rPr>
        <w:t>5、废水预测源强</w:t>
      </w:r>
    </w:p>
    <w:p w14:paraId="7DBE9889">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lang w:val="en-US" w:eastAsia="zh-CN"/>
        </w:rPr>
        <w:t>水质背景浓度见表4-3，废水预测源强见下表。</w:t>
      </w:r>
    </w:p>
    <w:p w14:paraId="70A1CC93">
      <w:pPr>
        <w:keepNext w:val="0"/>
        <w:keepLines w:val="0"/>
        <w:pageBreakBefore w:val="0"/>
        <w:widowControl w:val="0"/>
        <w:kinsoku/>
        <w:wordWrap/>
        <w:overflowPunct/>
        <w:topLinePunct w:val="0"/>
        <w:autoSpaceDE/>
        <w:autoSpaceDN/>
        <w:bidi w:val="0"/>
        <w:adjustRightInd/>
        <w:snapToGrid/>
        <w:spacing w:before="0" w:after="23" w:line="360" w:lineRule="auto"/>
        <w:ind w:left="0" w:right="9" w:firstLine="0"/>
        <w:jc w:val="center"/>
        <w:textAlignment w:val="auto"/>
        <w:rPr>
          <w:rFonts w:hint="default" w:ascii="Times New Roman" w:hAnsi="Times New Roman" w:eastAsia="宋体" w:cs="Times New Roman"/>
          <w:b/>
          <w:color w:val="auto"/>
          <w:spacing w:val="0"/>
          <w:w w:val="100"/>
          <w:sz w:val="21"/>
          <w:szCs w:val="24"/>
          <w:lang w:val="en-US" w:eastAsia="zh-CN"/>
        </w:rPr>
      </w:pPr>
      <w:r>
        <w:rPr>
          <w:rFonts w:hint="default" w:ascii="Times New Roman" w:hAnsi="Times New Roman" w:eastAsia="宋体" w:cs="Times New Roman"/>
          <w:b/>
          <w:color w:val="auto"/>
          <w:spacing w:val="0"/>
          <w:w w:val="100"/>
          <w:sz w:val="21"/>
          <w:szCs w:val="24"/>
          <w:lang w:val="en-US" w:eastAsia="zh-CN"/>
        </w:rPr>
        <w:t>表4-3   废水污染源强</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590"/>
        <w:gridCol w:w="2085"/>
        <w:gridCol w:w="1799"/>
        <w:gridCol w:w="1839"/>
      </w:tblGrid>
      <w:tr w14:paraId="2CE49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1558" w:type="pct"/>
            <w:vMerge w:val="restart"/>
            <w:noWrap w:val="0"/>
            <w:vAlign w:val="center"/>
          </w:tcPr>
          <w:p w14:paraId="258C2C29">
            <w:pPr>
              <w:keepNext w:val="0"/>
              <w:keepLines w:val="0"/>
              <w:widowControl w:val="0"/>
              <w:suppressLineNumbers w:val="0"/>
              <w:spacing w:before="0" w:beforeAutospacing="0" w:after="0" w:afterAutospacing="0"/>
              <w:ind w:left="747" w:right="725"/>
              <w:jc w:val="center"/>
              <w:rPr>
                <w:rFonts w:hint="default" w:ascii="Times New Roman" w:hAnsi="Times New Roman" w:eastAsia="宋体" w:cs="Times New Roman"/>
                <w:b w:val="0"/>
                <w:bCs/>
                <w:color w:val="auto"/>
                <w:spacing w:val="0"/>
                <w:w w:val="100"/>
                <w:kern w:val="2"/>
                <w:sz w:val="21"/>
                <w:szCs w:val="24"/>
                <w:lang w:val="zh-CN" w:eastAsia="zh-CN" w:bidi="zh-CN"/>
              </w:rPr>
            </w:pPr>
            <w:r>
              <w:rPr>
                <w:rFonts w:hint="default" w:ascii="Times New Roman" w:hAnsi="Times New Roman" w:eastAsia="宋体" w:cs="Times New Roman"/>
                <w:b w:val="0"/>
                <w:bCs/>
                <w:color w:val="auto"/>
                <w:spacing w:val="0"/>
                <w:w w:val="100"/>
                <w:kern w:val="2"/>
                <w:sz w:val="21"/>
                <w:szCs w:val="24"/>
                <w:lang w:val="zh-CN" w:eastAsia="zh-CN" w:bidi="zh-CN"/>
              </w:rPr>
              <w:t>项目</w:t>
            </w:r>
          </w:p>
        </w:tc>
        <w:tc>
          <w:tcPr>
            <w:tcW w:w="2336" w:type="pct"/>
            <w:gridSpan w:val="2"/>
            <w:noWrap w:val="0"/>
            <w:vAlign w:val="center"/>
          </w:tcPr>
          <w:p w14:paraId="613621C6">
            <w:pPr>
              <w:keepNext w:val="0"/>
              <w:keepLines w:val="0"/>
              <w:widowControl w:val="0"/>
              <w:suppressLineNumbers w:val="0"/>
              <w:spacing w:before="33" w:beforeAutospacing="0" w:after="0" w:afterAutospacing="0"/>
              <w:ind w:left="0" w:right="0"/>
              <w:jc w:val="center"/>
              <w:rPr>
                <w:rFonts w:hint="default" w:ascii="Times New Roman" w:hAnsi="Times New Roman" w:eastAsia="Times New Roman" w:cs="Times New Roman"/>
                <w:b w:val="0"/>
                <w:bCs/>
                <w:color w:val="auto"/>
                <w:spacing w:val="0"/>
                <w:w w:val="100"/>
                <w:kern w:val="2"/>
                <w:sz w:val="21"/>
                <w:szCs w:val="24"/>
                <w:lang w:val="zh-CN" w:eastAsia="zh-CN" w:bidi="zh-CN"/>
              </w:rPr>
            </w:pPr>
            <w:r>
              <w:rPr>
                <w:rFonts w:hint="default" w:ascii="Times New Roman" w:hAnsi="Times New Roman" w:eastAsia="宋体" w:cs="Times New Roman"/>
                <w:b w:val="0"/>
                <w:bCs/>
                <w:color w:val="auto"/>
                <w:spacing w:val="0"/>
                <w:w w:val="100"/>
                <w:kern w:val="2"/>
                <w:sz w:val="21"/>
                <w:szCs w:val="24"/>
                <w:lang w:val="zh-CN" w:eastAsia="zh-CN" w:bidi="zh-CN"/>
              </w:rPr>
              <w:t>废水污染物浓度</w:t>
            </w:r>
            <w:r>
              <w:rPr>
                <w:rFonts w:hint="eastAsia" w:ascii="Times New Roman" w:hAnsi="Times New Roman" w:eastAsia="宋体" w:cs="Times New Roman"/>
                <w:b w:val="0"/>
                <w:bCs/>
                <w:color w:val="auto"/>
                <w:spacing w:val="0"/>
                <w:w w:val="100"/>
                <w:kern w:val="2"/>
                <w:sz w:val="21"/>
                <w:szCs w:val="24"/>
                <w:lang w:val="zh-CN" w:eastAsia="zh-CN" w:bidi="zh-CN"/>
              </w:rPr>
              <w:t>（</w:t>
            </w:r>
            <w:r>
              <w:rPr>
                <w:rFonts w:hint="default" w:ascii="Times New Roman" w:hAnsi="Times New Roman" w:eastAsia="Times New Roman" w:cs="Times New Roman"/>
                <w:b w:val="0"/>
                <w:bCs/>
                <w:color w:val="auto"/>
                <w:spacing w:val="0"/>
                <w:w w:val="100"/>
                <w:kern w:val="2"/>
                <w:sz w:val="21"/>
                <w:szCs w:val="24"/>
                <w:lang w:val="zh-CN" w:eastAsia="zh-CN" w:bidi="zh-CN"/>
              </w:rPr>
              <w:t>mg/L</w:t>
            </w:r>
            <w:r>
              <w:rPr>
                <w:rFonts w:hint="eastAsia" w:ascii="Times New Roman" w:hAnsi="Times New Roman" w:eastAsia="Times New Roman" w:cs="Times New Roman"/>
                <w:b w:val="0"/>
                <w:bCs/>
                <w:color w:val="auto"/>
                <w:spacing w:val="0"/>
                <w:w w:val="100"/>
                <w:kern w:val="2"/>
                <w:sz w:val="21"/>
                <w:szCs w:val="24"/>
                <w:lang w:val="zh-CN" w:eastAsia="zh-CN" w:bidi="zh-CN"/>
              </w:rPr>
              <w:t>）</w:t>
            </w:r>
          </w:p>
        </w:tc>
        <w:tc>
          <w:tcPr>
            <w:tcW w:w="1105" w:type="pct"/>
            <w:vMerge w:val="restart"/>
            <w:noWrap w:val="0"/>
            <w:vAlign w:val="center"/>
          </w:tcPr>
          <w:p w14:paraId="51B903BD">
            <w:pPr>
              <w:keepNext w:val="0"/>
              <w:keepLines w:val="0"/>
              <w:widowControl w:val="0"/>
              <w:suppressLineNumbers w:val="0"/>
              <w:spacing w:before="41" w:beforeAutospacing="0" w:after="0" w:afterAutospacing="0"/>
              <w:ind w:left="0" w:right="0"/>
              <w:jc w:val="center"/>
              <w:rPr>
                <w:rFonts w:hint="default" w:ascii="Times New Roman" w:hAnsi="Times New Roman" w:eastAsia="宋体" w:cs="Times New Roman"/>
                <w:b w:val="0"/>
                <w:bCs/>
                <w:color w:val="auto"/>
                <w:spacing w:val="0"/>
                <w:w w:val="100"/>
                <w:kern w:val="2"/>
                <w:sz w:val="21"/>
                <w:szCs w:val="24"/>
                <w:lang w:val="zh-CN" w:eastAsia="zh-CN" w:bidi="zh-CN"/>
              </w:rPr>
            </w:pPr>
            <w:r>
              <w:rPr>
                <w:rFonts w:hint="default" w:ascii="Times New Roman" w:hAnsi="Times New Roman" w:eastAsia="宋体" w:cs="Times New Roman"/>
                <w:b w:val="0"/>
                <w:bCs/>
                <w:color w:val="auto"/>
                <w:spacing w:val="0"/>
                <w:w w:val="100"/>
                <w:kern w:val="2"/>
                <w:sz w:val="21"/>
                <w:szCs w:val="24"/>
                <w:lang w:val="zh-CN" w:eastAsia="zh-CN" w:bidi="zh-CN"/>
              </w:rPr>
              <w:t>排放量（</w:t>
            </w:r>
            <w:r>
              <w:rPr>
                <w:rFonts w:hint="default" w:ascii="Times New Roman" w:hAnsi="Times New Roman" w:eastAsia="Times New Roman" w:cs="Times New Roman"/>
                <w:b w:val="0"/>
                <w:bCs/>
                <w:color w:val="auto"/>
                <w:spacing w:val="0"/>
                <w:w w:val="100"/>
                <w:kern w:val="2"/>
                <w:sz w:val="21"/>
                <w:szCs w:val="24"/>
                <w:lang w:val="zh-CN" w:eastAsia="zh-CN" w:bidi="zh-CN"/>
              </w:rPr>
              <w:t>m</w:t>
            </w:r>
            <w:r>
              <w:rPr>
                <w:rFonts w:hint="default" w:ascii="Times New Roman" w:hAnsi="Times New Roman" w:eastAsia="Times New Roman" w:cs="Times New Roman"/>
                <w:b w:val="0"/>
                <w:bCs/>
                <w:color w:val="auto"/>
                <w:spacing w:val="0"/>
                <w:w w:val="100"/>
                <w:kern w:val="2"/>
                <w:sz w:val="21"/>
                <w:szCs w:val="24"/>
                <w:vertAlign w:val="superscript"/>
                <w:lang w:val="zh-CN" w:eastAsia="zh-CN" w:bidi="zh-CN"/>
              </w:rPr>
              <w:t>3</w:t>
            </w:r>
            <w:r>
              <w:rPr>
                <w:rFonts w:hint="default" w:ascii="Times New Roman" w:hAnsi="Times New Roman" w:eastAsia="Times New Roman" w:cs="Times New Roman"/>
                <w:b w:val="0"/>
                <w:bCs/>
                <w:color w:val="auto"/>
                <w:spacing w:val="0"/>
                <w:w w:val="100"/>
                <w:kern w:val="2"/>
                <w:sz w:val="21"/>
                <w:szCs w:val="24"/>
                <w:vertAlign w:val="baseline"/>
                <w:lang w:val="zh-CN" w:eastAsia="zh-CN" w:bidi="zh-CN"/>
              </w:rPr>
              <w:t>/s</w:t>
            </w:r>
            <w:r>
              <w:rPr>
                <w:rFonts w:hint="default" w:ascii="Times New Roman" w:hAnsi="Times New Roman" w:eastAsia="宋体" w:cs="Times New Roman"/>
                <w:b w:val="0"/>
                <w:bCs/>
                <w:color w:val="auto"/>
                <w:spacing w:val="0"/>
                <w:w w:val="100"/>
                <w:kern w:val="2"/>
                <w:sz w:val="21"/>
                <w:szCs w:val="24"/>
                <w:vertAlign w:val="baseline"/>
                <w:lang w:val="zh-CN" w:eastAsia="zh-CN" w:bidi="zh-CN"/>
              </w:rPr>
              <w:t>）</w:t>
            </w:r>
          </w:p>
        </w:tc>
      </w:tr>
      <w:tr w14:paraId="41F19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1558" w:type="pct"/>
            <w:vMerge w:val="continue"/>
            <w:noWrap w:val="0"/>
            <w:vAlign w:val="center"/>
          </w:tcPr>
          <w:p w14:paraId="074D891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0"/>
                <w:w w:val="100"/>
                <w:sz w:val="2"/>
                <w:szCs w:val="2"/>
              </w:rPr>
            </w:pPr>
          </w:p>
        </w:tc>
        <w:tc>
          <w:tcPr>
            <w:tcW w:w="1254" w:type="pct"/>
            <w:noWrap w:val="0"/>
            <w:vAlign w:val="center"/>
          </w:tcPr>
          <w:p w14:paraId="2A3E28E2">
            <w:pPr>
              <w:keepNext w:val="0"/>
              <w:keepLines w:val="0"/>
              <w:widowControl w:val="0"/>
              <w:suppressLineNumbers w:val="0"/>
              <w:spacing w:before="51" w:beforeAutospacing="0" w:after="0" w:afterAutospacing="0"/>
              <w:ind w:left="720" w:right="694"/>
              <w:jc w:val="center"/>
              <w:rPr>
                <w:rFonts w:hint="default" w:ascii="Times New Roman" w:hAnsi="Times New Roman" w:eastAsia="宋体" w:cs="Times New Roman"/>
                <w:b w:val="0"/>
                <w:bCs/>
                <w:color w:val="auto"/>
                <w:spacing w:val="0"/>
                <w:w w:val="100"/>
                <w:kern w:val="2"/>
                <w:sz w:val="21"/>
                <w:szCs w:val="24"/>
                <w:lang w:val="zh-CN" w:eastAsia="zh-CN" w:bidi="zh-CN"/>
              </w:rPr>
            </w:pPr>
            <w:r>
              <w:rPr>
                <w:rFonts w:hint="default" w:ascii="Times New Roman" w:hAnsi="Times New Roman" w:eastAsia="宋体" w:cs="Times New Roman"/>
                <w:b w:val="0"/>
                <w:bCs/>
                <w:color w:val="auto"/>
                <w:spacing w:val="0"/>
                <w:w w:val="100"/>
                <w:kern w:val="2"/>
                <w:sz w:val="21"/>
                <w:szCs w:val="24"/>
                <w:lang w:val="zh-CN" w:eastAsia="zh-CN" w:bidi="zh-CN"/>
              </w:rPr>
              <w:t>COD</w:t>
            </w:r>
          </w:p>
        </w:tc>
        <w:tc>
          <w:tcPr>
            <w:tcW w:w="1081" w:type="pct"/>
            <w:noWrap w:val="0"/>
            <w:vAlign w:val="center"/>
          </w:tcPr>
          <w:p w14:paraId="72034EC8">
            <w:pPr>
              <w:keepNext w:val="0"/>
              <w:keepLines w:val="0"/>
              <w:widowControl w:val="0"/>
              <w:suppressLineNumbers w:val="0"/>
              <w:spacing w:before="34" w:beforeAutospacing="0" w:after="0" w:afterAutospacing="0"/>
              <w:ind w:left="611" w:right="584"/>
              <w:jc w:val="center"/>
              <w:rPr>
                <w:rFonts w:hint="default" w:ascii="Times New Roman" w:hAnsi="Times New Roman" w:eastAsia="宋体" w:cs="Times New Roman"/>
                <w:b w:val="0"/>
                <w:bCs/>
                <w:color w:val="auto"/>
                <w:spacing w:val="0"/>
                <w:w w:val="100"/>
                <w:kern w:val="2"/>
                <w:sz w:val="21"/>
                <w:szCs w:val="24"/>
                <w:lang w:val="zh-CN" w:eastAsia="zh-CN" w:bidi="zh-CN"/>
              </w:rPr>
            </w:pPr>
            <w:r>
              <w:rPr>
                <w:rFonts w:hint="default" w:ascii="Times New Roman" w:hAnsi="Times New Roman" w:eastAsia="宋体" w:cs="Times New Roman"/>
                <w:b w:val="0"/>
                <w:bCs/>
                <w:color w:val="auto"/>
                <w:spacing w:val="0"/>
                <w:w w:val="100"/>
                <w:kern w:val="2"/>
                <w:sz w:val="21"/>
                <w:szCs w:val="24"/>
                <w:lang w:val="zh-CN" w:eastAsia="zh-CN" w:bidi="zh-CN"/>
              </w:rPr>
              <w:t>氨氮</w:t>
            </w:r>
          </w:p>
        </w:tc>
        <w:tc>
          <w:tcPr>
            <w:tcW w:w="1105" w:type="pct"/>
            <w:vMerge w:val="continue"/>
            <w:noWrap w:val="0"/>
            <w:vAlign w:val="center"/>
          </w:tcPr>
          <w:p w14:paraId="0ABFF32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0"/>
                <w:w w:val="100"/>
                <w:sz w:val="2"/>
                <w:szCs w:val="2"/>
              </w:rPr>
            </w:pPr>
          </w:p>
        </w:tc>
      </w:tr>
      <w:tr w14:paraId="0A93C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1558" w:type="pct"/>
            <w:noWrap w:val="0"/>
            <w:vAlign w:val="center"/>
          </w:tcPr>
          <w:p w14:paraId="757DB34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正常工况出水水质</w:t>
            </w:r>
          </w:p>
        </w:tc>
        <w:tc>
          <w:tcPr>
            <w:tcW w:w="1254" w:type="pct"/>
            <w:noWrap w:val="0"/>
            <w:vAlign w:val="center"/>
          </w:tcPr>
          <w:p w14:paraId="7CB380F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30</w:t>
            </w:r>
          </w:p>
        </w:tc>
        <w:tc>
          <w:tcPr>
            <w:tcW w:w="1081" w:type="pct"/>
            <w:noWrap w:val="0"/>
            <w:vAlign w:val="center"/>
          </w:tcPr>
          <w:p w14:paraId="0BC5C84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1.5</w:t>
            </w:r>
          </w:p>
        </w:tc>
        <w:tc>
          <w:tcPr>
            <w:tcW w:w="1105" w:type="pct"/>
            <w:noWrap w:val="0"/>
            <w:vAlign w:val="center"/>
          </w:tcPr>
          <w:p w14:paraId="60E4F49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0.135</w:t>
            </w:r>
          </w:p>
        </w:tc>
      </w:tr>
      <w:tr w14:paraId="4549D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jc w:val="center"/>
        </w:trPr>
        <w:tc>
          <w:tcPr>
            <w:tcW w:w="1558" w:type="pct"/>
            <w:noWrap w:val="0"/>
            <w:vAlign w:val="center"/>
          </w:tcPr>
          <w:p w14:paraId="5C203F7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非正常工况出水水质</w:t>
            </w:r>
          </w:p>
        </w:tc>
        <w:tc>
          <w:tcPr>
            <w:tcW w:w="1254" w:type="pct"/>
            <w:noWrap w:val="0"/>
            <w:vAlign w:val="center"/>
          </w:tcPr>
          <w:p w14:paraId="5E4EB19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350</w:t>
            </w:r>
          </w:p>
        </w:tc>
        <w:tc>
          <w:tcPr>
            <w:tcW w:w="1081" w:type="pct"/>
            <w:noWrap w:val="0"/>
            <w:vAlign w:val="center"/>
          </w:tcPr>
          <w:p w14:paraId="4A56A23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25</w:t>
            </w:r>
          </w:p>
        </w:tc>
        <w:tc>
          <w:tcPr>
            <w:tcW w:w="1105" w:type="pct"/>
            <w:noWrap w:val="0"/>
            <w:vAlign w:val="center"/>
          </w:tcPr>
          <w:p w14:paraId="441EAD0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0.135</w:t>
            </w:r>
          </w:p>
        </w:tc>
      </w:tr>
      <w:tr w14:paraId="622C6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jc w:val="center"/>
        </w:trPr>
        <w:tc>
          <w:tcPr>
            <w:tcW w:w="5000" w:type="pct"/>
            <w:gridSpan w:val="4"/>
            <w:noWrap w:val="0"/>
            <w:vAlign w:val="center"/>
          </w:tcPr>
          <w:p w14:paraId="5141B0F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both"/>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注，本项目尾水依托陇县千河南岸新城污水处理厂排放口排放，考虑合并后排放计算</w:t>
            </w:r>
          </w:p>
        </w:tc>
      </w:tr>
    </w:tbl>
    <w:p w14:paraId="160E6A93">
      <w:pPr>
        <w:tabs>
          <w:tab w:val="left" w:pos="4057"/>
        </w:tabs>
        <w:spacing w:line="360" w:lineRule="auto"/>
        <w:ind w:firstLine="480" w:firstLineChars="200"/>
        <w:rPr>
          <w:rFonts w:hint="default" w:ascii="Times New Roman" w:hAnsi="Times New Roman" w:eastAsia="宋体" w:cs="Times New Roman"/>
          <w:color w:val="auto"/>
          <w:spacing w:val="0"/>
          <w:w w:val="100"/>
          <w:kern w:val="0"/>
          <w:sz w:val="24"/>
          <w:szCs w:val="24"/>
          <w:lang w:val="en-US" w:eastAsia="zh-CN" w:bidi="ar"/>
        </w:rPr>
      </w:pPr>
      <w:r>
        <w:rPr>
          <w:rFonts w:hint="default" w:ascii="Times New Roman" w:hAnsi="Times New Roman" w:eastAsia="宋体" w:cs="Times New Roman"/>
          <w:color w:val="auto"/>
          <w:spacing w:val="0"/>
          <w:w w:val="100"/>
          <w:kern w:val="0"/>
          <w:sz w:val="24"/>
          <w:szCs w:val="24"/>
          <w:lang w:val="en-US" w:eastAsia="zh-CN" w:bidi="ar"/>
        </w:rPr>
        <w:t>6、预测结果与评价</w:t>
      </w:r>
    </w:p>
    <w:p w14:paraId="4F253EF3">
      <w:pPr>
        <w:tabs>
          <w:tab w:val="left" w:pos="4057"/>
        </w:tabs>
        <w:spacing w:line="360" w:lineRule="auto"/>
        <w:ind w:firstLine="480" w:firstLineChars="200"/>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根据《环境影响评价技术导则》（</w:t>
      </w:r>
      <w:r>
        <w:rPr>
          <w:rFonts w:hint="default" w:ascii="Times New Roman" w:hAnsi="Times New Roman" w:eastAsia="宋体" w:cs="Times New Roman"/>
          <w:color w:val="auto"/>
          <w:kern w:val="0"/>
          <w:sz w:val="24"/>
          <w:szCs w:val="24"/>
          <w:lang w:val="en-US" w:eastAsia="zh-CN" w:bidi="ar"/>
        </w:rPr>
        <w:t>HJ/T 2.3-93）要求，受纳水体为Ⅲ类水域，安全余量按照不低于建设项目污染物排放量核算断面（点位）处环境质量标准的10%确定（安全余量≥环境质量标准的10%），并结合根据《地表水环境质量标准》（GB3838-2002）的Ⅲ类标准，因此确定本项目核算断面下游1500m处COD为18mg/L（留有10%安全余量），氨氮为0.9mg/L（留有10%安全余量）</w:t>
      </w:r>
      <w:r>
        <w:rPr>
          <w:rFonts w:hint="eastAsia" w:ascii="Times New Roman" w:hAnsi="Times New Roman" w:eastAsia="宋体" w:cs="Times New Roman"/>
          <w:color w:val="auto"/>
          <w:kern w:val="0"/>
          <w:sz w:val="24"/>
          <w:szCs w:val="24"/>
          <w:lang w:val="en-US" w:eastAsia="zh-CN" w:bidi="ar"/>
        </w:rPr>
        <w:t>。</w:t>
      </w:r>
    </w:p>
    <w:p w14:paraId="2CD77E41">
      <w:pPr>
        <w:tabs>
          <w:tab w:val="left" w:pos="4057"/>
        </w:tabs>
        <w:spacing w:line="360" w:lineRule="auto"/>
        <w:ind w:firstLine="480" w:firstLineChars="200"/>
        <w:rPr>
          <w:rFonts w:hint="default" w:ascii="Times New Roman" w:hAnsi="Times New Roman" w:eastAsia="宋体" w:cs="Times New Roman"/>
          <w:color w:val="auto"/>
          <w:spacing w:val="0"/>
          <w:w w:val="100"/>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地表水环境影响预测结果</w:t>
      </w:r>
      <w:r>
        <w:rPr>
          <w:rFonts w:hint="eastAsia" w:ascii="Times New Roman" w:hAnsi="Times New Roman" w:eastAsia="宋体" w:cs="Times New Roman"/>
          <w:color w:val="auto"/>
          <w:spacing w:val="0"/>
          <w:w w:val="100"/>
          <w:kern w:val="0"/>
          <w:sz w:val="24"/>
          <w:szCs w:val="24"/>
          <w:lang w:val="en-US" w:eastAsia="zh-CN" w:bidi="ar"/>
        </w:rPr>
        <w:t>见下表</w:t>
      </w:r>
      <w:r>
        <w:rPr>
          <w:rFonts w:hint="default" w:ascii="Times New Roman" w:hAnsi="Times New Roman" w:eastAsia="宋体" w:cs="Times New Roman"/>
          <w:color w:val="auto"/>
          <w:spacing w:val="0"/>
          <w:w w:val="100"/>
          <w:kern w:val="0"/>
          <w:sz w:val="24"/>
          <w:szCs w:val="24"/>
          <w:lang w:val="en-US" w:eastAsia="zh-CN" w:bidi="ar"/>
        </w:rPr>
        <w:t>。</w:t>
      </w:r>
    </w:p>
    <w:p w14:paraId="3D801B12">
      <w:pPr>
        <w:tabs>
          <w:tab w:val="left" w:pos="1091"/>
        </w:tabs>
        <w:spacing w:before="100" w:after="23" w:line="240" w:lineRule="auto"/>
        <w:ind w:left="0" w:right="13" w:firstLine="0"/>
        <w:jc w:val="center"/>
        <w:rPr>
          <w:rFonts w:hint="default" w:ascii="Times New Roman" w:hAnsi="Times New Roman" w:eastAsia="Times New Roman" w:cs="Times New Roman"/>
          <w:b/>
          <w:color w:val="auto"/>
          <w:spacing w:val="0"/>
          <w:w w:val="100"/>
          <w:sz w:val="21"/>
          <w:szCs w:val="24"/>
        </w:rPr>
      </w:pPr>
      <w:r>
        <w:rPr>
          <w:rFonts w:hint="default" w:ascii="Times New Roman" w:hAnsi="Times New Roman" w:eastAsia="宋体" w:cs="Times New Roman"/>
          <w:b/>
          <w:color w:val="auto"/>
          <w:spacing w:val="0"/>
          <w:w w:val="100"/>
          <w:sz w:val="21"/>
          <w:szCs w:val="24"/>
        </w:rPr>
        <w:t>表</w:t>
      </w:r>
      <w:r>
        <w:rPr>
          <w:rFonts w:hint="default" w:ascii="Times New Roman" w:hAnsi="Times New Roman" w:eastAsia="宋体" w:cs="Times New Roman"/>
          <w:b/>
          <w:color w:val="auto"/>
          <w:spacing w:val="0"/>
          <w:w w:val="100"/>
          <w:sz w:val="21"/>
          <w:szCs w:val="24"/>
          <w:lang w:val="en-US" w:eastAsia="zh-CN"/>
        </w:rPr>
        <w:t>4-</w:t>
      </w:r>
      <w:r>
        <w:rPr>
          <w:rFonts w:hint="eastAsia" w:ascii="Times New Roman" w:hAnsi="Times New Roman" w:eastAsia="宋体" w:cs="Times New Roman"/>
          <w:b/>
          <w:color w:val="auto"/>
          <w:spacing w:val="0"/>
          <w:w w:val="100"/>
          <w:sz w:val="21"/>
          <w:szCs w:val="24"/>
          <w:lang w:val="en-US" w:eastAsia="zh-CN"/>
        </w:rPr>
        <w:t xml:space="preserve">5    </w:t>
      </w:r>
      <w:r>
        <w:rPr>
          <w:rFonts w:hint="default" w:ascii="Times New Roman" w:hAnsi="Times New Roman" w:eastAsia="宋体" w:cs="Times New Roman"/>
          <w:b/>
          <w:color w:val="auto"/>
          <w:spacing w:val="0"/>
          <w:w w:val="100"/>
          <w:sz w:val="21"/>
          <w:szCs w:val="24"/>
        </w:rPr>
        <w:t>地表水影响预测结果</w:t>
      </w:r>
      <w:r>
        <w:rPr>
          <w:rFonts w:hint="eastAsia" w:ascii="Times New Roman" w:hAnsi="Times New Roman" w:eastAsia="宋体" w:cs="Times New Roman"/>
          <w:b/>
          <w:color w:val="auto"/>
          <w:spacing w:val="0"/>
          <w:w w:val="100"/>
          <w:sz w:val="21"/>
          <w:szCs w:val="24"/>
          <w:lang w:val="en-US" w:eastAsia="zh-CN"/>
        </w:rPr>
        <w:t xml:space="preserve">    </w:t>
      </w:r>
      <w:r>
        <w:rPr>
          <w:rFonts w:hint="default" w:ascii="Times New Roman" w:hAnsi="Times New Roman" w:eastAsia="宋体" w:cs="Times New Roman"/>
          <w:b/>
          <w:color w:val="auto"/>
          <w:spacing w:val="0"/>
          <w:w w:val="100"/>
          <w:sz w:val="21"/>
          <w:szCs w:val="24"/>
        </w:rPr>
        <w:t>单位：</w:t>
      </w:r>
      <w:r>
        <w:rPr>
          <w:rFonts w:hint="default" w:ascii="Times New Roman" w:hAnsi="Times New Roman" w:eastAsia="Times New Roman" w:cs="Times New Roman"/>
          <w:b/>
          <w:color w:val="auto"/>
          <w:spacing w:val="0"/>
          <w:w w:val="100"/>
          <w:sz w:val="21"/>
          <w:szCs w:val="24"/>
        </w:rPr>
        <w:t>mg/L</w:t>
      </w:r>
    </w:p>
    <w:tbl>
      <w:tblPr>
        <w:tblStyle w:val="21"/>
        <w:tblW w:w="48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82"/>
        <w:gridCol w:w="1268"/>
        <w:gridCol w:w="1534"/>
        <w:gridCol w:w="1650"/>
        <w:gridCol w:w="1319"/>
        <w:gridCol w:w="1325"/>
      </w:tblGrid>
      <w:tr w14:paraId="6B48A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80" w:type="pct"/>
            <w:gridSpan w:val="2"/>
            <w:shd w:val="clear" w:color="auto" w:fill="auto"/>
            <w:vAlign w:val="center"/>
          </w:tcPr>
          <w:p w14:paraId="1D41C7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断面及预测因子</w:t>
            </w:r>
          </w:p>
        </w:tc>
        <w:tc>
          <w:tcPr>
            <w:tcW w:w="1923" w:type="pct"/>
            <w:gridSpan w:val="2"/>
            <w:shd w:val="clear" w:color="auto" w:fill="auto"/>
            <w:vAlign w:val="center"/>
          </w:tcPr>
          <w:p w14:paraId="1281D3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预测污染物浓度值</w:t>
            </w:r>
          </w:p>
        </w:tc>
        <w:tc>
          <w:tcPr>
            <w:tcW w:w="1595" w:type="pct"/>
            <w:gridSpan w:val="2"/>
            <w:shd w:val="clear" w:color="auto" w:fill="auto"/>
            <w:vAlign w:val="center"/>
          </w:tcPr>
          <w:p w14:paraId="3497F6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叠加背景值</w:t>
            </w:r>
          </w:p>
        </w:tc>
      </w:tr>
      <w:tr w14:paraId="4C8CB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80" w:type="pct"/>
            <w:gridSpan w:val="2"/>
            <w:shd w:val="clear" w:color="auto" w:fill="auto"/>
            <w:vAlign w:val="center"/>
          </w:tcPr>
          <w:p w14:paraId="51112E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预测结果</w:t>
            </w:r>
          </w:p>
        </w:tc>
        <w:tc>
          <w:tcPr>
            <w:tcW w:w="927" w:type="pct"/>
            <w:shd w:val="clear" w:color="auto" w:fill="auto"/>
            <w:vAlign w:val="center"/>
          </w:tcPr>
          <w:p w14:paraId="7B39FB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COD</w:t>
            </w:r>
          </w:p>
        </w:tc>
        <w:tc>
          <w:tcPr>
            <w:tcW w:w="996" w:type="pct"/>
            <w:shd w:val="clear" w:color="auto" w:fill="auto"/>
            <w:vAlign w:val="center"/>
          </w:tcPr>
          <w:p w14:paraId="56F80B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氨氮</w:t>
            </w:r>
          </w:p>
        </w:tc>
        <w:tc>
          <w:tcPr>
            <w:tcW w:w="795" w:type="pct"/>
            <w:shd w:val="clear" w:color="auto" w:fill="auto"/>
            <w:vAlign w:val="center"/>
          </w:tcPr>
          <w:p w14:paraId="3013FE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COD</w:t>
            </w:r>
          </w:p>
        </w:tc>
        <w:tc>
          <w:tcPr>
            <w:tcW w:w="799" w:type="pct"/>
            <w:shd w:val="clear" w:color="auto" w:fill="auto"/>
            <w:vAlign w:val="center"/>
          </w:tcPr>
          <w:p w14:paraId="6051F6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氨氮</w:t>
            </w:r>
          </w:p>
        </w:tc>
      </w:tr>
      <w:tr w14:paraId="2C27E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14" w:type="pct"/>
            <w:vMerge w:val="restart"/>
            <w:shd w:val="clear" w:color="auto" w:fill="auto"/>
            <w:vAlign w:val="center"/>
          </w:tcPr>
          <w:p w14:paraId="426164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766" w:type="pct"/>
            <w:shd w:val="clear" w:color="auto" w:fill="auto"/>
            <w:vAlign w:val="center"/>
          </w:tcPr>
          <w:p w14:paraId="438BBD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5B66AE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c>
          <w:tcPr>
            <w:tcW w:w="996" w:type="pct"/>
            <w:shd w:val="clear" w:color="auto" w:fill="auto"/>
            <w:vAlign w:val="center"/>
          </w:tcPr>
          <w:p w14:paraId="106993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c>
          <w:tcPr>
            <w:tcW w:w="795" w:type="pct"/>
            <w:shd w:val="clear" w:color="auto" w:fill="auto"/>
            <w:vAlign w:val="center"/>
          </w:tcPr>
          <w:p w14:paraId="7E1288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077A64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38725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4521DDB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66" w:type="pct"/>
            <w:shd w:val="clear" w:color="auto" w:fill="auto"/>
            <w:vAlign w:val="center"/>
          </w:tcPr>
          <w:p w14:paraId="200C3E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388C39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c>
          <w:tcPr>
            <w:tcW w:w="996" w:type="pct"/>
            <w:shd w:val="clear" w:color="auto" w:fill="auto"/>
            <w:vAlign w:val="center"/>
          </w:tcPr>
          <w:p w14:paraId="1D5600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c>
          <w:tcPr>
            <w:tcW w:w="795" w:type="pct"/>
            <w:shd w:val="clear" w:color="auto" w:fill="auto"/>
            <w:vAlign w:val="center"/>
          </w:tcPr>
          <w:p w14:paraId="61F8BA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1714F6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37517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714" w:type="pct"/>
            <w:vMerge w:val="restart"/>
            <w:shd w:val="clear" w:color="auto" w:fill="auto"/>
            <w:vAlign w:val="center"/>
          </w:tcPr>
          <w:p w14:paraId="46F835C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766" w:type="pct"/>
            <w:shd w:val="clear" w:color="auto" w:fill="auto"/>
            <w:vAlign w:val="center"/>
          </w:tcPr>
          <w:p w14:paraId="6E6AD1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47D2BF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8.983</w:t>
            </w:r>
          </w:p>
        </w:tc>
        <w:tc>
          <w:tcPr>
            <w:tcW w:w="996" w:type="pct"/>
            <w:shd w:val="clear" w:color="auto" w:fill="auto"/>
            <w:vAlign w:val="center"/>
          </w:tcPr>
          <w:p w14:paraId="2D0268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0.172</w:t>
            </w:r>
          </w:p>
        </w:tc>
        <w:tc>
          <w:tcPr>
            <w:tcW w:w="795" w:type="pct"/>
            <w:shd w:val="clear" w:color="auto" w:fill="auto"/>
            <w:vAlign w:val="center"/>
          </w:tcPr>
          <w:p w14:paraId="5196351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17.983</w:t>
            </w:r>
          </w:p>
        </w:tc>
        <w:tc>
          <w:tcPr>
            <w:tcW w:w="799" w:type="pct"/>
            <w:shd w:val="clear" w:color="auto" w:fill="auto"/>
            <w:vAlign w:val="center"/>
          </w:tcPr>
          <w:p w14:paraId="77CB7D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0.322</w:t>
            </w:r>
          </w:p>
        </w:tc>
      </w:tr>
      <w:tr w14:paraId="501E2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491C36B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66" w:type="pct"/>
            <w:shd w:val="clear" w:color="auto" w:fill="auto"/>
            <w:vAlign w:val="center"/>
          </w:tcPr>
          <w:p w14:paraId="0F8709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5631EB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17.82</w:t>
            </w:r>
          </w:p>
        </w:tc>
        <w:tc>
          <w:tcPr>
            <w:tcW w:w="996" w:type="pct"/>
            <w:shd w:val="clear" w:color="auto" w:fill="auto"/>
            <w:vAlign w:val="center"/>
          </w:tcPr>
          <w:p w14:paraId="62A331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0.801</w:t>
            </w:r>
          </w:p>
        </w:tc>
        <w:tc>
          <w:tcPr>
            <w:tcW w:w="795" w:type="pct"/>
            <w:shd w:val="clear" w:color="auto" w:fill="auto"/>
            <w:vAlign w:val="center"/>
          </w:tcPr>
          <w:p w14:paraId="3BE62D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26.82</w:t>
            </w:r>
          </w:p>
        </w:tc>
        <w:tc>
          <w:tcPr>
            <w:tcW w:w="799" w:type="pct"/>
            <w:shd w:val="clear" w:color="auto" w:fill="auto"/>
            <w:vAlign w:val="center"/>
          </w:tcPr>
          <w:p w14:paraId="0EAB79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0.951</w:t>
            </w:r>
          </w:p>
        </w:tc>
      </w:tr>
      <w:tr w14:paraId="7A6B2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restart"/>
            <w:shd w:val="clear" w:color="auto" w:fill="auto"/>
            <w:vAlign w:val="center"/>
          </w:tcPr>
          <w:p w14:paraId="0546D5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766" w:type="pct"/>
            <w:shd w:val="clear" w:color="auto" w:fill="auto"/>
            <w:vAlign w:val="center"/>
          </w:tcPr>
          <w:p w14:paraId="6CB99F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4837F401">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0.0014553392 </w:t>
            </w:r>
          </w:p>
        </w:tc>
        <w:tc>
          <w:tcPr>
            <w:tcW w:w="996" w:type="pct"/>
            <w:shd w:val="clear" w:color="auto" w:fill="auto"/>
            <w:vAlign w:val="center"/>
          </w:tcPr>
          <w:p w14:paraId="78E6A761">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0.0000004953 </w:t>
            </w:r>
          </w:p>
        </w:tc>
        <w:tc>
          <w:tcPr>
            <w:tcW w:w="795" w:type="pct"/>
            <w:shd w:val="clear" w:color="auto" w:fill="auto"/>
            <w:vAlign w:val="center"/>
          </w:tcPr>
          <w:p w14:paraId="30FA5E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9.001455339</w:t>
            </w:r>
          </w:p>
        </w:tc>
        <w:tc>
          <w:tcPr>
            <w:tcW w:w="799" w:type="pct"/>
            <w:shd w:val="clear" w:color="auto" w:fill="auto"/>
            <w:vAlign w:val="center"/>
          </w:tcPr>
          <w:p w14:paraId="547136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0.150000495</w:t>
            </w:r>
          </w:p>
        </w:tc>
      </w:tr>
      <w:tr w14:paraId="52AA6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4254B02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66" w:type="pct"/>
            <w:shd w:val="clear" w:color="auto" w:fill="auto"/>
            <w:vAlign w:val="center"/>
          </w:tcPr>
          <w:p w14:paraId="5DA971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3F5232AD">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0.0029824456 </w:t>
            </w:r>
          </w:p>
        </w:tc>
        <w:tc>
          <w:tcPr>
            <w:tcW w:w="996" w:type="pct"/>
            <w:shd w:val="clear" w:color="auto" w:fill="auto"/>
            <w:vAlign w:val="center"/>
          </w:tcPr>
          <w:p w14:paraId="50F5D9C4">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0.0000122937 </w:t>
            </w:r>
          </w:p>
        </w:tc>
        <w:tc>
          <w:tcPr>
            <w:tcW w:w="795" w:type="pct"/>
            <w:shd w:val="clear" w:color="auto" w:fill="auto"/>
            <w:vAlign w:val="center"/>
          </w:tcPr>
          <w:p w14:paraId="619196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9.002982446</w:t>
            </w:r>
          </w:p>
        </w:tc>
        <w:tc>
          <w:tcPr>
            <w:tcW w:w="799" w:type="pct"/>
            <w:shd w:val="clear" w:color="auto" w:fill="auto"/>
            <w:vAlign w:val="center"/>
          </w:tcPr>
          <w:p w14:paraId="71E48C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0.150012294</w:t>
            </w:r>
          </w:p>
        </w:tc>
      </w:tr>
      <w:tr w14:paraId="4763A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14" w:type="pct"/>
            <w:vMerge w:val="restart"/>
            <w:shd w:val="clear" w:color="auto" w:fill="auto"/>
            <w:vAlign w:val="center"/>
          </w:tcPr>
          <w:p w14:paraId="6335BF0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10.45（完全混合断面）</w:t>
            </w:r>
          </w:p>
        </w:tc>
        <w:tc>
          <w:tcPr>
            <w:tcW w:w="766" w:type="pct"/>
            <w:shd w:val="clear" w:color="auto" w:fill="auto"/>
            <w:vAlign w:val="center"/>
          </w:tcPr>
          <w:p w14:paraId="40BAE35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0AB170A0">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0.0009827954 </w:t>
            </w:r>
          </w:p>
        </w:tc>
        <w:tc>
          <w:tcPr>
            <w:tcW w:w="996" w:type="pct"/>
            <w:shd w:val="clear" w:color="auto" w:fill="auto"/>
            <w:vAlign w:val="center"/>
          </w:tcPr>
          <w:p w14:paraId="1F9FBF19">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0.00000074517 </w:t>
            </w:r>
          </w:p>
        </w:tc>
        <w:tc>
          <w:tcPr>
            <w:tcW w:w="795" w:type="pct"/>
            <w:shd w:val="clear" w:color="auto" w:fill="auto"/>
            <w:vAlign w:val="center"/>
          </w:tcPr>
          <w:p w14:paraId="197C71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9.000982795</w:t>
            </w:r>
          </w:p>
        </w:tc>
        <w:tc>
          <w:tcPr>
            <w:tcW w:w="799" w:type="pct"/>
            <w:shd w:val="clear" w:color="auto" w:fill="auto"/>
            <w:vAlign w:val="center"/>
          </w:tcPr>
          <w:p w14:paraId="2886BE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0.150000745</w:t>
            </w:r>
          </w:p>
        </w:tc>
      </w:tr>
      <w:tr w14:paraId="2FE2F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77A1052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p>
        </w:tc>
        <w:tc>
          <w:tcPr>
            <w:tcW w:w="766" w:type="pct"/>
            <w:shd w:val="clear" w:color="auto" w:fill="auto"/>
            <w:vAlign w:val="center"/>
          </w:tcPr>
          <w:p w14:paraId="582381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54CCD29C">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0.0020140554 </w:t>
            </w:r>
          </w:p>
        </w:tc>
        <w:tc>
          <w:tcPr>
            <w:tcW w:w="996" w:type="pct"/>
            <w:shd w:val="clear" w:color="auto" w:fill="auto"/>
            <w:vAlign w:val="center"/>
          </w:tcPr>
          <w:p w14:paraId="73C0933C">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0.00000691944 </w:t>
            </w:r>
          </w:p>
        </w:tc>
        <w:tc>
          <w:tcPr>
            <w:tcW w:w="795" w:type="pct"/>
            <w:shd w:val="clear" w:color="auto" w:fill="auto"/>
            <w:vAlign w:val="center"/>
          </w:tcPr>
          <w:p w14:paraId="05CACB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9.002014055</w:t>
            </w:r>
          </w:p>
        </w:tc>
        <w:tc>
          <w:tcPr>
            <w:tcW w:w="799" w:type="pct"/>
            <w:shd w:val="clear" w:color="auto" w:fill="auto"/>
            <w:vAlign w:val="center"/>
          </w:tcPr>
          <w:p w14:paraId="7D1E8A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0.150006919</w:t>
            </w:r>
          </w:p>
        </w:tc>
      </w:tr>
      <w:tr w14:paraId="12B3E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restart"/>
            <w:shd w:val="clear" w:color="auto" w:fill="auto"/>
            <w:vAlign w:val="center"/>
          </w:tcPr>
          <w:p w14:paraId="58438F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20</w:t>
            </w:r>
          </w:p>
        </w:tc>
        <w:tc>
          <w:tcPr>
            <w:tcW w:w="766" w:type="pct"/>
            <w:shd w:val="clear" w:color="auto" w:fill="auto"/>
            <w:vAlign w:val="center"/>
          </w:tcPr>
          <w:p w14:paraId="305534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6CA70F56">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0.0000003343 </w:t>
            </w:r>
          </w:p>
        </w:tc>
        <w:tc>
          <w:tcPr>
            <w:tcW w:w="996" w:type="pct"/>
            <w:shd w:val="clear" w:color="auto" w:fill="auto"/>
            <w:vAlign w:val="center"/>
          </w:tcPr>
          <w:p w14:paraId="50876EDC">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0.0000000000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 </w:t>
            </w:r>
          </w:p>
        </w:tc>
        <w:tc>
          <w:tcPr>
            <w:tcW w:w="795" w:type="pct"/>
            <w:shd w:val="clear" w:color="auto" w:fill="auto"/>
            <w:vAlign w:val="center"/>
          </w:tcPr>
          <w:p w14:paraId="15DC71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9.000000334</w:t>
            </w:r>
          </w:p>
        </w:tc>
        <w:tc>
          <w:tcPr>
            <w:tcW w:w="799" w:type="pct"/>
            <w:shd w:val="clear" w:color="auto" w:fill="auto"/>
            <w:vAlign w:val="center"/>
          </w:tcPr>
          <w:p w14:paraId="71B054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537AC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165536A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66" w:type="pct"/>
            <w:shd w:val="clear" w:color="auto" w:fill="auto"/>
            <w:vAlign w:val="center"/>
          </w:tcPr>
          <w:p w14:paraId="1FAA86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4186E398">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0.0000006851 </w:t>
            </w:r>
          </w:p>
        </w:tc>
        <w:tc>
          <w:tcPr>
            <w:tcW w:w="996" w:type="pct"/>
            <w:shd w:val="clear" w:color="auto" w:fill="auto"/>
            <w:vAlign w:val="center"/>
          </w:tcPr>
          <w:p w14:paraId="513CBE9D">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0.0000000000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 </w:t>
            </w:r>
          </w:p>
        </w:tc>
        <w:tc>
          <w:tcPr>
            <w:tcW w:w="795" w:type="pct"/>
            <w:shd w:val="clear" w:color="auto" w:fill="auto"/>
            <w:vAlign w:val="center"/>
          </w:tcPr>
          <w:p w14:paraId="1EC3BF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9.000000685</w:t>
            </w:r>
          </w:p>
        </w:tc>
        <w:tc>
          <w:tcPr>
            <w:tcW w:w="799" w:type="pct"/>
            <w:shd w:val="clear" w:color="auto" w:fill="auto"/>
            <w:vAlign w:val="center"/>
          </w:tcPr>
          <w:p w14:paraId="3FD279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64CA7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restart"/>
            <w:shd w:val="clear" w:color="auto" w:fill="auto"/>
            <w:vAlign w:val="center"/>
          </w:tcPr>
          <w:p w14:paraId="083F801C">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30</w:t>
            </w:r>
          </w:p>
        </w:tc>
        <w:tc>
          <w:tcPr>
            <w:tcW w:w="766" w:type="pct"/>
            <w:shd w:val="clear" w:color="auto" w:fill="auto"/>
            <w:vAlign w:val="center"/>
          </w:tcPr>
          <w:p w14:paraId="0321D0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2F44BB67">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0.0000000001 </w:t>
            </w:r>
          </w:p>
        </w:tc>
        <w:tc>
          <w:tcPr>
            <w:tcW w:w="996" w:type="pct"/>
            <w:shd w:val="clear" w:color="auto" w:fill="auto"/>
            <w:vAlign w:val="center"/>
          </w:tcPr>
          <w:p w14:paraId="371885B0">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0.0000000000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 </w:t>
            </w:r>
          </w:p>
        </w:tc>
        <w:tc>
          <w:tcPr>
            <w:tcW w:w="795" w:type="pct"/>
            <w:shd w:val="clear" w:color="auto" w:fill="auto"/>
            <w:vAlign w:val="center"/>
          </w:tcPr>
          <w:p w14:paraId="3F23A9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1C9F3E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4788B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6C86ED8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66" w:type="pct"/>
            <w:shd w:val="clear" w:color="auto" w:fill="auto"/>
            <w:vAlign w:val="center"/>
          </w:tcPr>
          <w:p w14:paraId="0646DA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55D87C5E">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0.0000000001 </w:t>
            </w:r>
          </w:p>
        </w:tc>
        <w:tc>
          <w:tcPr>
            <w:tcW w:w="996" w:type="pct"/>
            <w:shd w:val="clear" w:color="auto" w:fill="auto"/>
            <w:vAlign w:val="center"/>
          </w:tcPr>
          <w:p w14:paraId="33287933">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0.0000000000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 </w:t>
            </w:r>
          </w:p>
        </w:tc>
        <w:tc>
          <w:tcPr>
            <w:tcW w:w="795" w:type="pct"/>
            <w:shd w:val="clear" w:color="auto" w:fill="auto"/>
            <w:vAlign w:val="center"/>
          </w:tcPr>
          <w:p w14:paraId="51DDA2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1EF44F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74302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14" w:type="pct"/>
            <w:vMerge w:val="restart"/>
            <w:shd w:val="clear" w:color="auto" w:fill="auto"/>
            <w:vAlign w:val="center"/>
          </w:tcPr>
          <w:p w14:paraId="5F372F23">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40</w:t>
            </w:r>
          </w:p>
        </w:tc>
        <w:tc>
          <w:tcPr>
            <w:tcW w:w="766" w:type="pct"/>
            <w:shd w:val="clear" w:color="auto" w:fill="auto"/>
            <w:vAlign w:val="center"/>
          </w:tcPr>
          <w:p w14:paraId="3FB5AD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1BA69085">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6C8BA1DA">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0.000000000</w:t>
            </w:r>
            <w:r>
              <w:rPr>
                <w:rFonts w:hint="eastAsia" w:ascii="Times New Roman" w:hAnsi="Times New Roman" w:eastAsia="宋体" w:cs="Times New Roman"/>
                <w:i w:val="0"/>
                <w:iCs w:val="0"/>
                <w:color w:val="000000"/>
                <w:kern w:val="0"/>
                <w:sz w:val="22"/>
                <w:szCs w:val="22"/>
                <w:u w:val="none"/>
                <w:lang w:val="en-US" w:eastAsia="zh-CN" w:bidi="ar"/>
              </w:rPr>
              <w:t>00</w:t>
            </w:r>
            <w:r>
              <w:rPr>
                <w:rFonts w:hint="default" w:ascii="Times New Roman" w:hAnsi="Times New Roman" w:eastAsia="宋体" w:cs="Times New Roman"/>
                <w:i w:val="0"/>
                <w:iCs w:val="0"/>
                <w:color w:val="000000"/>
                <w:kern w:val="0"/>
                <w:sz w:val="22"/>
                <w:szCs w:val="22"/>
                <w:u w:val="none"/>
                <w:lang w:val="en-US" w:eastAsia="zh-CN" w:bidi="ar"/>
              </w:rPr>
              <w:t xml:space="preserve"> </w:t>
            </w:r>
          </w:p>
        </w:tc>
        <w:tc>
          <w:tcPr>
            <w:tcW w:w="795" w:type="pct"/>
            <w:shd w:val="clear" w:color="auto" w:fill="auto"/>
            <w:vAlign w:val="center"/>
          </w:tcPr>
          <w:p w14:paraId="7805A1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21064D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498E5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1213DEA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66" w:type="pct"/>
            <w:shd w:val="clear" w:color="auto" w:fill="auto"/>
            <w:vAlign w:val="center"/>
          </w:tcPr>
          <w:p w14:paraId="195D3C8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2192C47E">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0EAB78D6">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0.00000000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 </w:t>
            </w:r>
          </w:p>
        </w:tc>
        <w:tc>
          <w:tcPr>
            <w:tcW w:w="795" w:type="pct"/>
            <w:shd w:val="clear" w:color="auto" w:fill="auto"/>
            <w:vAlign w:val="center"/>
          </w:tcPr>
          <w:p w14:paraId="38BA65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3B4067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1C281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restart"/>
            <w:shd w:val="clear" w:color="auto" w:fill="auto"/>
            <w:vAlign w:val="center"/>
          </w:tcPr>
          <w:p w14:paraId="177B7C9F">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766" w:type="pct"/>
            <w:shd w:val="clear" w:color="auto" w:fill="auto"/>
            <w:vAlign w:val="center"/>
          </w:tcPr>
          <w:p w14:paraId="31F034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22C22D71">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6CB1CF23">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0.00000000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 </w:t>
            </w:r>
          </w:p>
        </w:tc>
        <w:tc>
          <w:tcPr>
            <w:tcW w:w="795" w:type="pct"/>
            <w:shd w:val="clear" w:color="auto" w:fill="auto"/>
            <w:vAlign w:val="center"/>
          </w:tcPr>
          <w:p w14:paraId="162E56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4B4922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40D9B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71E1703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66" w:type="pct"/>
            <w:shd w:val="clear" w:color="auto" w:fill="auto"/>
            <w:vAlign w:val="center"/>
          </w:tcPr>
          <w:p w14:paraId="4DB07A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29D190B2">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402A2AE0">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0000 </w:t>
            </w:r>
          </w:p>
        </w:tc>
        <w:tc>
          <w:tcPr>
            <w:tcW w:w="795" w:type="pct"/>
            <w:shd w:val="clear" w:color="auto" w:fill="auto"/>
            <w:vAlign w:val="center"/>
          </w:tcPr>
          <w:p w14:paraId="08AD37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562D16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40FA6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restart"/>
            <w:shd w:val="clear" w:color="auto" w:fill="auto"/>
            <w:vAlign w:val="center"/>
          </w:tcPr>
          <w:p w14:paraId="2412FD07">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300</w:t>
            </w:r>
          </w:p>
        </w:tc>
        <w:tc>
          <w:tcPr>
            <w:tcW w:w="766" w:type="pct"/>
            <w:shd w:val="clear" w:color="auto" w:fill="auto"/>
            <w:vAlign w:val="center"/>
          </w:tcPr>
          <w:p w14:paraId="322D0A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32CB03CA">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7EFDE4D2">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0.00000000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 </w:t>
            </w:r>
          </w:p>
        </w:tc>
        <w:tc>
          <w:tcPr>
            <w:tcW w:w="795" w:type="pct"/>
            <w:shd w:val="clear" w:color="auto" w:fill="auto"/>
            <w:vAlign w:val="center"/>
          </w:tcPr>
          <w:p w14:paraId="1FA698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558300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4CF89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24B6A6E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66" w:type="pct"/>
            <w:shd w:val="clear" w:color="auto" w:fill="auto"/>
            <w:vAlign w:val="center"/>
          </w:tcPr>
          <w:p w14:paraId="05BAD8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13FCE0E1">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26A19C41">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0000 </w:t>
            </w:r>
          </w:p>
        </w:tc>
        <w:tc>
          <w:tcPr>
            <w:tcW w:w="795" w:type="pct"/>
            <w:shd w:val="clear" w:color="auto" w:fill="auto"/>
            <w:vAlign w:val="center"/>
          </w:tcPr>
          <w:p w14:paraId="0090BD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540CC5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04014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restart"/>
            <w:shd w:val="clear" w:color="auto" w:fill="auto"/>
            <w:vAlign w:val="center"/>
          </w:tcPr>
          <w:p w14:paraId="4F837AA6">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500</w:t>
            </w:r>
          </w:p>
        </w:tc>
        <w:tc>
          <w:tcPr>
            <w:tcW w:w="766" w:type="pct"/>
            <w:shd w:val="clear" w:color="auto" w:fill="auto"/>
            <w:vAlign w:val="center"/>
          </w:tcPr>
          <w:p w14:paraId="649E64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396FA1C0">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3D00F740">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00000 </w:t>
            </w:r>
          </w:p>
        </w:tc>
        <w:tc>
          <w:tcPr>
            <w:tcW w:w="795" w:type="pct"/>
            <w:shd w:val="clear" w:color="auto" w:fill="auto"/>
            <w:vAlign w:val="center"/>
          </w:tcPr>
          <w:p w14:paraId="04BB4B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1EF691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1EA11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1641FE0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66" w:type="pct"/>
            <w:shd w:val="clear" w:color="auto" w:fill="auto"/>
            <w:vAlign w:val="center"/>
          </w:tcPr>
          <w:p w14:paraId="4DCF28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0F6BE2DC">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4BB55C43">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00000 </w:t>
            </w:r>
          </w:p>
        </w:tc>
        <w:tc>
          <w:tcPr>
            <w:tcW w:w="795" w:type="pct"/>
            <w:shd w:val="clear" w:color="auto" w:fill="auto"/>
            <w:vAlign w:val="center"/>
          </w:tcPr>
          <w:p w14:paraId="04FFB0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5CDFF0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5D78C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6" w:hRule="atLeast"/>
          <w:jc w:val="center"/>
        </w:trPr>
        <w:tc>
          <w:tcPr>
            <w:tcW w:w="714" w:type="pct"/>
            <w:vMerge w:val="restart"/>
            <w:shd w:val="clear" w:color="auto" w:fill="auto"/>
            <w:vAlign w:val="center"/>
          </w:tcPr>
          <w:p w14:paraId="16132768">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1000</w:t>
            </w:r>
          </w:p>
        </w:tc>
        <w:tc>
          <w:tcPr>
            <w:tcW w:w="766" w:type="pct"/>
            <w:shd w:val="clear" w:color="auto" w:fill="auto"/>
            <w:vAlign w:val="center"/>
          </w:tcPr>
          <w:p w14:paraId="67B4F1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1D3482C0">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33380C31">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00000 </w:t>
            </w:r>
          </w:p>
        </w:tc>
        <w:tc>
          <w:tcPr>
            <w:tcW w:w="795" w:type="pct"/>
            <w:shd w:val="clear" w:color="auto" w:fill="auto"/>
            <w:vAlign w:val="center"/>
          </w:tcPr>
          <w:p w14:paraId="1DC1D8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1A808F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559CF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0D97D50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rPr>
            </w:pPr>
          </w:p>
        </w:tc>
        <w:tc>
          <w:tcPr>
            <w:tcW w:w="766" w:type="pct"/>
            <w:shd w:val="clear" w:color="auto" w:fill="auto"/>
            <w:vAlign w:val="center"/>
          </w:tcPr>
          <w:p w14:paraId="7A599F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597AB7F2">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6BF6CC67">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00000 </w:t>
            </w:r>
          </w:p>
        </w:tc>
        <w:tc>
          <w:tcPr>
            <w:tcW w:w="795" w:type="pct"/>
            <w:shd w:val="clear" w:color="auto" w:fill="auto"/>
            <w:vAlign w:val="center"/>
          </w:tcPr>
          <w:p w14:paraId="59E258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0B78BB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2D82B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14" w:type="pct"/>
            <w:vMerge w:val="restart"/>
            <w:shd w:val="clear" w:color="auto" w:fill="auto"/>
            <w:vAlign w:val="center"/>
          </w:tcPr>
          <w:p w14:paraId="11DEE5E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1500</w:t>
            </w:r>
            <w:r>
              <w:rPr>
                <w:rStyle w:val="66"/>
                <w:rFonts w:hint="default" w:ascii="Times New Roman" w:hAnsi="Times New Roman" w:cs="Times New Roman"/>
                <w:color w:val="auto"/>
                <w:lang w:val="en-US" w:eastAsia="zh-CN" w:bidi="ar"/>
              </w:rPr>
              <w:t>（评价断面处）</w:t>
            </w:r>
          </w:p>
        </w:tc>
        <w:tc>
          <w:tcPr>
            <w:tcW w:w="766" w:type="pct"/>
            <w:shd w:val="clear" w:color="auto" w:fill="auto"/>
            <w:vAlign w:val="center"/>
          </w:tcPr>
          <w:p w14:paraId="4500F0D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正常工况</w:t>
            </w:r>
          </w:p>
        </w:tc>
        <w:tc>
          <w:tcPr>
            <w:tcW w:w="927" w:type="pct"/>
            <w:shd w:val="clear" w:color="auto" w:fill="auto"/>
            <w:vAlign w:val="center"/>
          </w:tcPr>
          <w:p w14:paraId="49D681E7">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7F65FEB1">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00000 </w:t>
            </w:r>
          </w:p>
        </w:tc>
        <w:tc>
          <w:tcPr>
            <w:tcW w:w="795" w:type="pct"/>
            <w:shd w:val="clear" w:color="auto" w:fill="auto"/>
            <w:vAlign w:val="center"/>
          </w:tcPr>
          <w:p w14:paraId="1E8D2E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204B77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0A3FC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 w:hRule="atLeast"/>
          <w:jc w:val="center"/>
        </w:trPr>
        <w:tc>
          <w:tcPr>
            <w:tcW w:w="714" w:type="pct"/>
            <w:vMerge w:val="continue"/>
            <w:shd w:val="clear" w:color="auto" w:fill="auto"/>
            <w:vAlign w:val="center"/>
          </w:tcPr>
          <w:p w14:paraId="54A46DB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p>
        </w:tc>
        <w:tc>
          <w:tcPr>
            <w:tcW w:w="766" w:type="pct"/>
            <w:shd w:val="clear" w:color="auto" w:fill="auto"/>
            <w:vAlign w:val="center"/>
          </w:tcPr>
          <w:p w14:paraId="0BE72CD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非正常情况</w:t>
            </w:r>
          </w:p>
        </w:tc>
        <w:tc>
          <w:tcPr>
            <w:tcW w:w="927" w:type="pct"/>
            <w:shd w:val="clear" w:color="auto" w:fill="auto"/>
            <w:vAlign w:val="center"/>
          </w:tcPr>
          <w:p w14:paraId="44E4D84F">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 xml:space="preserve">0.0000000000 </w:t>
            </w:r>
          </w:p>
        </w:tc>
        <w:tc>
          <w:tcPr>
            <w:tcW w:w="996" w:type="pct"/>
            <w:shd w:val="clear" w:color="auto" w:fill="auto"/>
            <w:vAlign w:val="center"/>
          </w:tcPr>
          <w:p w14:paraId="5B93FE22">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0.00000</w:t>
            </w:r>
            <w:r>
              <w:rPr>
                <w:rFonts w:hint="eastAsia" w:ascii="Times New Roman" w:hAnsi="Times New Roman" w:eastAsia="宋体" w:cs="Times New Roman"/>
                <w:i w:val="0"/>
                <w:iCs w:val="0"/>
                <w:color w:val="000000"/>
                <w:kern w:val="0"/>
                <w:sz w:val="22"/>
                <w:szCs w:val="22"/>
                <w:u w:val="none"/>
                <w:lang w:val="en-US" w:eastAsia="zh-CN" w:bidi="ar"/>
              </w:rPr>
              <w:t>0</w:t>
            </w:r>
            <w:r>
              <w:rPr>
                <w:rFonts w:hint="default" w:ascii="Times New Roman" w:hAnsi="Times New Roman" w:eastAsia="宋体" w:cs="Times New Roman"/>
                <w:i w:val="0"/>
                <w:iCs w:val="0"/>
                <w:color w:val="000000"/>
                <w:kern w:val="0"/>
                <w:sz w:val="22"/>
                <w:szCs w:val="22"/>
                <w:u w:val="none"/>
                <w:lang w:val="en-US" w:eastAsia="zh-CN" w:bidi="ar"/>
              </w:rPr>
              <w:t xml:space="preserve">00000 </w:t>
            </w:r>
          </w:p>
        </w:tc>
        <w:tc>
          <w:tcPr>
            <w:tcW w:w="795" w:type="pct"/>
            <w:shd w:val="clear" w:color="auto" w:fill="auto"/>
            <w:vAlign w:val="center"/>
          </w:tcPr>
          <w:p w14:paraId="00EC07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799" w:type="pct"/>
            <w:shd w:val="clear" w:color="auto" w:fill="auto"/>
            <w:vAlign w:val="center"/>
          </w:tcPr>
          <w:p w14:paraId="4EBD392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0.15</w:t>
            </w:r>
          </w:p>
        </w:tc>
      </w:tr>
      <w:tr w14:paraId="28AE3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1480" w:type="pct"/>
            <w:gridSpan w:val="2"/>
            <w:shd w:val="clear" w:color="auto" w:fill="auto"/>
            <w:vAlign w:val="center"/>
          </w:tcPr>
          <w:p w14:paraId="6234A2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《陕西省黄河流域污水综合排放标准》（</w:t>
            </w:r>
            <w:r>
              <w:rPr>
                <w:rStyle w:val="67"/>
                <w:rFonts w:hint="default" w:ascii="Times New Roman" w:hAnsi="Times New Roman" w:eastAsia="宋体" w:cs="Times New Roman"/>
                <w:color w:val="auto"/>
                <w:lang w:val="en-US" w:eastAsia="zh-CN" w:bidi="ar"/>
              </w:rPr>
              <w:t>DB6/224--2018</w:t>
            </w:r>
            <w:r>
              <w:rPr>
                <w:rStyle w:val="66"/>
                <w:rFonts w:hint="default" w:ascii="Times New Roman" w:hAnsi="Times New Roman" w:cs="Times New Roman"/>
                <w:color w:val="auto"/>
                <w:lang w:val="en-US" w:eastAsia="zh-CN" w:bidi="ar"/>
              </w:rPr>
              <w:t>）表</w:t>
            </w:r>
            <w:r>
              <w:rPr>
                <w:rStyle w:val="67"/>
                <w:rFonts w:hint="default" w:ascii="Times New Roman" w:hAnsi="Times New Roman" w:eastAsia="宋体" w:cs="Times New Roman"/>
                <w:color w:val="auto"/>
                <w:lang w:val="en-US" w:eastAsia="zh-CN" w:bidi="ar"/>
              </w:rPr>
              <w:t>1</w:t>
            </w:r>
            <w:r>
              <w:rPr>
                <w:rStyle w:val="66"/>
                <w:rFonts w:hint="default" w:ascii="Times New Roman" w:hAnsi="Times New Roman" w:cs="Times New Roman"/>
                <w:color w:val="auto"/>
                <w:lang w:val="en-US" w:eastAsia="zh-CN" w:bidi="ar"/>
              </w:rPr>
              <w:t>中</w:t>
            </w:r>
            <w:r>
              <w:rPr>
                <w:rStyle w:val="67"/>
                <w:rFonts w:hint="default" w:ascii="Times New Roman" w:hAnsi="Times New Roman" w:eastAsia="宋体" w:cs="Times New Roman"/>
                <w:color w:val="auto"/>
                <w:lang w:val="en-US" w:eastAsia="zh-CN" w:bidi="ar"/>
              </w:rPr>
              <w:t>A</w:t>
            </w:r>
            <w:r>
              <w:rPr>
                <w:rStyle w:val="66"/>
                <w:rFonts w:hint="default" w:ascii="Times New Roman" w:hAnsi="Times New Roman" w:cs="Times New Roman"/>
                <w:color w:val="auto"/>
                <w:lang w:val="en-US" w:eastAsia="zh-CN" w:bidi="ar"/>
              </w:rPr>
              <w:t>标准</w:t>
            </w:r>
          </w:p>
        </w:tc>
        <w:tc>
          <w:tcPr>
            <w:tcW w:w="927" w:type="pct"/>
            <w:shd w:val="clear" w:color="auto" w:fill="auto"/>
            <w:vAlign w:val="center"/>
          </w:tcPr>
          <w:p w14:paraId="671DD87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2"/>
                <w:szCs w:val="22"/>
                <w:u w:val="none"/>
                <w:lang w:val="en-US" w:eastAsia="zh-CN"/>
              </w:rPr>
              <w:t>/</w:t>
            </w:r>
          </w:p>
        </w:tc>
        <w:tc>
          <w:tcPr>
            <w:tcW w:w="996" w:type="pct"/>
            <w:shd w:val="clear" w:color="auto" w:fill="auto"/>
            <w:vAlign w:val="center"/>
          </w:tcPr>
          <w:p w14:paraId="2D8FD18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2"/>
                <w:szCs w:val="22"/>
                <w:u w:val="none"/>
                <w:lang w:val="en-US" w:eastAsia="zh-CN"/>
              </w:rPr>
              <w:t>/</w:t>
            </w:r>
          </w:p>
        </w:tc>
        <w:tc>
          <w:tcPr>
            <w:tcW w:w="795" w:type="pct"/>
            <w:shd w:val="clear" w:color="auto" w:fill="auto"/>
            <w:vAlign w:val="center"/>
          </w:tcPr>
          <w:p w14:paraId="65CDF05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30</w:t>
            </w:r>
          </w:p>
        </w:tc>
        <w:tc>
          <w:tcPr>
            <w:tcW w:w="799" w:type="pct"/>
            <w:shd w:val="clear" w:color="auto" w:fill="auto"/>
            <w:vAlign w:val="center"/>
          </w:tcPr>
          <w:p w14:paraId="32B0E3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1.5</w:t>
            </w:r>
          </w:p>
        </w:tc>
      </w:tr>
      <w:tr w14:paraId="65394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25" w:hRule="atLeast"/>
          <w:jc w:val="center"/>
        </w:trPr>
        <w:tc>
          <w:tcPr>
            <w:tcW w:w="1480" w:type="pct"/>
            <w:gridSpan w:val="2"/>
            <w:shd w:val="clear" w:color="auto" w:fill="auto"/>
            <w:vAlign w:val="center"/>
          </w:tcPr>
          <w:p w14:paraId="7064F7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《地表水环境质量标准》（</w:t>
            </w:r>
            <w:r>
              <w:rPr>
                <w:rStyle w:val="67"/>
                <w:rFonts w:hint="default" w:ascii="Times New Roman" w:hAnsi="Times New Roman" w:eastAsia="宋体" w:cs="Times New Roman"/>
                <w:color w:val="auto"/>
                <w:lang w:val="en-US" w:eastAsia="zh-CN" w:bidi="ar"/>
              </w:rPr>
              <w:t>GB3838-2002</w:t>
            </w:r>
            <w:r>
              <w:rPr>
                <w:rStyle w:val="66"/>
                <w:rFonts w:hint="default" w:ascii="Times New Roman" w:hAnsi="Times New Roman" w:cs="Times New Roman"/>
                <w:color w:val="auto"/>
                <w:lang w:val="en-US" w:eastAsia="zh-CN" w:bidi="ar"/>
              </w:rPr>
              <w:t>）的Ⅲ类标准</w:t>
            </w:r>
          </w:p>
        </w:tc>
        <w:tc>
          <w:tcPr>
            <w:tcW w:w="927" w:type="pct"/>
            <w:shd w:val="clear" w:color="auto" w:fill="auto"/>
            <w:noWrap/>
            <w:vAlign w:val="center"/>
          </w:tcPr>
          <w:p w14:paraId="0CCE535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2"/>
                <w:szCs w:val="22"/>
                <w:u w:val="none"/>
                <w:lang w:val="en-US" w:eastAsia="zh-CN"/>
              </w:rPr>
            </w:pPr>
            <w:r>
              <w:rPr>
                <w:rFonts w:hint="default" w:ascii="Times New Roman" w:hAnsi="Times New Roman" w:eastAsia="宋体" w:cs="Times New Roman"/>
                <w:i w:val="0"/>
                <w:iCs w:val="0"/>
                <w:color w:val="auto"/>
                <w:sz w:val="22"/>
                <w:szCs w:val="22"/>
                <w:u w:val="none"/>
                <w:lang w:val="en-US" w:eastAsia="zh-CN"/>
              </w:rPr>
              <w:t>/</w:t>
            </w:r>
          </w:p>
        </w:tc>
        <w:tc>
          <w:tcPr>
            <w:tcW w:w="996" w:type="pct"/>
            <w:shd w:val="clear" w:color="auto" w:fill="auto"/>
            <w:noWrap/>
            <w:vAlign w:val="center"/>
          </w:tcPr>
          <w:p w14:paraId="7AD387D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2"/>
                <w:szCs w:val="22"/>
                <w:u w:val="none"/>
                <w:lang w:val="en-US" w:eastAsia="zh-CN"/>
              </w:rPr>
            </w:pPr>
            <w:r>
              <w:rPr>
                <w:rFonts w:hint="default" w:ascii="Times New Roman" w:hAnsi="Times New Roman" w:eastAsia="宋体" w:cs="Times New Roman"/>
                <w:i w:val="0"/>
                <w:iCs w:val="0"/>
                <w:color w:val="auto"/>
                <w:sz w:val="22"/>
                <w:szCs w:val="22"/>
                <w:u w:val="none"/>
                <w:lang w:val="en-US" w:eastAsia="zh-CN"/>
              </w:rPr>
              <w:t>/</w:t>
            </w:r>
          </w:p>
        </w:tc>
        <w:tc>
          <w:tcPr>
            <w:tcW w:w="795" w:type="pct"/>
            <w:shd w:val="clear" w:color="auto" w:fill="auto"/>
            <w:vAlign w:val="center"/>
          </w:tcPr>
          <w:p w14:paraId="7379D4B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799" w:type="pct"/>
            <w:shd w:val="clear" w:color="auto" w:fill="auto"/>
            <w:vAlign w:val="center"/>
          </w:tcPr>
          <w:p w14:paraId="0E1494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w:t>
            </w:r>
          </w:p>
        </w:tc>
      </w:tr>
    </w:tbl>
    <w:p w14:paraId="1F0BFAD4">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rPr>
        <w:t>从上表可以看出，</w:t>
      </w:r>
      <w:r>
        <w:rPr>
          <w:rFonts w:hint="eastAsia" w:ascii="Times New Roman" w:hAnsi="Times New Roman" w:eastAsia="宋体" w:cs="Times New Roman"/>
          <w:color w:val="auto"/>
          <w:spacing w:val="0"/>
          <w:w w:val="100"/>
          <w:sz w:val="24"/>
          <w:szCs w:val="24"/>
          <w:lang w:eastAsia="zh-CN"/>
        </w:rPr>
        <w:t>项目排污口上游</w:t>
      </w:r>
      <w:r>
        <w:rPr>
          <w:rFonts w:hint="eastAsia" w:ascii="Times New Roman" w:hAnsi="Times New Roman" w:eastAsia="宋体" w:cs="Times New Roman"/>
          <w:color w:val="auto"/>
          <w:spacing w:val="0"/>
          <w:w w:val="100"/>
          <w:sz w:val="24"/>
          <w:szCs w:val="24"/>
          <w:lang w:val="en-US" w:eastAsia="zh-CN"/>
        </w:rPr>
        <w:t>10m处</w:t>
      </w:r>
      <w:r>
        <w:rPr>
          <w:rFonts w:hint="eastAsia" w:ascii="Times New Roman" w:hAnsi="Times New Roman" w:eastAsia="宋体" w:cs="Times New Roman"/>
          <w:color w:val="auto"/>
          <w:spacing w:val="0"/>
          <w:w w:val="100"/>
          <w:sz w:val="24"/>
          <w:szCs w:val="24"/>
          <w:lang w:eastAsia="zh-CN"/>
        </w:rPr>
        <w:t>排水相较河水流量极小，基本不受尾水排放回水影响。</w:t>
      </w:r>
      <w:r>
        <w:rPr>
          <w:rFonts w:hint="default" w:ascii="Times New Roman" w:hAnsi="Times New Roman" w:eastAsia="宋体" w:cs="Times New Roman"/>
          <w:color w:val="auto"/>
          <w:spacing w:val="0"/>
          <w:w w:val="100"/>
          <w:sz w:val="24"/>
          <w:szCs w:val="24"/>
        </w:rPr>
        <w:t>项目污水处理厂正常工况下</w:t>
      </w:r>
      <w:r>
        <w:rPr>
          <w:rFonts w:hint="eastAsia" w:ascii="Times New Roman" w:hAnsi="Times New Roman" w:eastAsia="宋体" w:cs="Times New Roman"/>
          <w:color w:val="auto"/>
          <w:spacing w:val="0"/>
          <w:w w:val="100"/>
          <w:sz w:val="24"/>
          <w:szCs w:val="24"/>
          <w:lang w:eastAsia="zh-CN"/>
        </w:rPr>
        <w:t>项目</w:t>
      </w:r>
      <w:r>
        <w:rPr>
          <w:rFonts w:hint="default" w:ascii="Times New Roman" w:hAnsi="Times New Roman" w:eastAsia="宋体" w:cs="Times New Roman"/>
          <w:color w:val="auto"/>
          <w:spacing w:val="0"/>
          <w:w w:val="100"/>
          <w:sz w:val="24"/>
          <w:szCs w:val="24"/>
        </w:rPr>
        <w:t>排污口处</w:t>
      </w:r>
      <w:r>
        <w:rPr>
          <w:rFonts w:hint="default" w:ascii="Times New Roman" w:hAnsi="Times New Roman" w:eastAsia="Times New Roman" w:cs="Times New Roman"/>
          <w:color w:val="auto"/>
          <w:spacing w:val="0"/>
          <w:w w:val="100"/>
          <w:sz w:val="24"/>
          <w:szCs w:val="24"/>
        </w:rPr>
        <w:t>COD</w:t>
      </w:r>
      <w:r>
        <w:rPr>
          <w:rFonts w:hint="default" w:ascii="Times New Roman" w:hAnsi="Times New Roman" w:eastAsia="宋体" w:cs="Times New Roman"/>
          <w:color w:val="auto"/>
          <w:spacing w:val="0"/>
          <w:w w:val="100"/>
          <w:sz w:val="24"/>
          <w:szCs w:val="24"/>
        </w:rPr>
        <w:t>和氨氮浓度均满足《陕西省黄河流域污水综合排放标准》（</w:t>
      </w:r>
      <w:r>
        <w:rPr>
          <w:rFonts w:hint="eastAsia" w:ascii="Times New Roman" w:hAnsi="Times New Roman" w:eastAsia="宋体" w:cs="Times New Roman"/>
          <w:color w:val="auto"/>
          <w:spacing w:val="0"/>
          <w:w w:val="100"/>
          <w:sz w:val="24"/>
          <w:szCs w:val="24"/>
          <w:lang w:eastAsia="zh-CN"/>
        </w:rPr>
        <w:t>DB61/224-2018</w:t>
      </w:r>
      <w:r>
        <w:rPr>
          <w:rFonts w:hint="default" w:ascii="Times New Roman" w:hAnsi="Times New Roman" w:eastAsia="宋体" w:cs="Times New Roman"/>
          <w:color w:val="auto"/>
          <w:spacing w:val="0"/>
          <w:w w:val="100"/>
          <w:sz w:val="24"/>
          <w:szCs w:val="24"/>
        </w:rPr>
        <w:t>）表</w:t>
      </w:r>
      <w:r>
        <w:rPr>
          <w:rFonts w:hint="default" w:ascii="Times New Roman" w:hAnsi="Times New Roman" w:eastAsia="Times New Roman" w:cs="Times New Roman"/>
          <w:color w:val="auto"/>
          <w:spacing w:val="0"/>
          <w:w w:val="100"/>
          <w:sz w:val="24"/>
          <w:szCs w:val="24"/>
        </w:rPr>
        <w:t>1</w:t>
      </w:r>
      <w:r>
        <w:rPr>
          <w:rFonts w:hint="default" w:ascii="Times New Roman" w:hAnsi="Times New Roman" w:eastAsia="宋体" w:cs="Times New Roman"/>
          <w:color w:val="auto"/>
          <w:spacing w:val="0"/>
          <w:w w:val="100"/>
          <w:sz w:val="24"/>
          <w:szCs w:val="24"/>
        </w:rPr>
        <w:t>中</w:t>
      </w:r>
      <w:r>
        <w:rPr>
          <w:rFonts w:hint="default" w:ascii="Times New Roman" w:hAnsi="Times New Roman" w:eastAsia="Times New Roman" w:cs="Times New Roman"/>
          <w:color w:val="auto"/>
          <w:spacing w:val="0"/>
          <w:w w:val="100"/>
          <w:sz w:val="24"/>
          <w:szCs w:val="24"/>
        </w:rPr>
        <w:t>A</w:t>
      </w:r>
      <w:r>
        <w:rPr>
          <w:rFonts w:hint="default" w:ascii="Times New Roman" w:hAnsi="Times New Roman" w:eastAsia="宋体" w:cs="Times New Roman"/>
          <w:color w:val="auto"/>
          <w:spacing w:val="0"/>
          <w:w w:val="100"/>
          <w:sz w:val="24"/>
          <w:szCs w:val="24"/>
        </w:rPr>
        <w:t>标准；排污口</w:t>
      </w:r>
      <w:r>
        <w:rPr>
          <w:rFonts w:hint="eastAsia" w:ascii="Times New Roman" w:hAnsi="Times New Roman" w:eastAsia="宋体" w:cs="Times New Roman"/>
          <w:color w:val="auto"/>
          <w:spacing w:val="0"/>
          <w:w w:val="100"/>
          <w:sz w:val="24"/>
          <w:szCs w:val="24"/>
          <w:lang w:eastAsia="zh-CN"/>
        </w:rPr>
        <w:t>上游</w:t>
      </w:r>
      <w:r>
        <w:rPr>
          <w:rFonts w:hint="eastAsia" w:ascii="Times New Roman" w:hAnsi="Times New Roman" w:eastAsia="宋体" w:cs="Times New Roman"/>
          <w:color w:val="auto"/>
          <w:spacing w:val="0"/>
          <w:w w:val="100"/>
          <w:sz w:val="24"/>
          <w:szCs w:val="24"/>
          <w:lang w:val="en-US" w:eastAsia="zh-CN"/>
        </w:rPr>
        <w:t>10m处、</w:t>
      </w:r>
      <w:r>
        <w:rPr>
          <w:rFonts w:hint="default" w:ascii="Times New Roman" w:hAnsi="Times New Roman" w:eastAsia="宋体" w:cs="Times New Roman"/>
          <w:color w:val="auto"/>
          <w:spacing w:val="0"/>
          <w:w w:val="100"/>
          <w:sz w:val="24"/>
          <w:szCs w:val="24"/>
          <w:lang w:eastAsia="zh-CN"/>
        </w:rPr>
        <w:t>下游</w:t>
      </w:r>
      <w:r>
        <w:rPr>
          <w:rFonts w:hint="eastAsia" w:ascii="Times New Roman" w:hAnsi="Times New Roman" w:eastAsia="宋体" w:cs="Times New Roman"/>
          <w:color w:val="auto"/>
          <w:spacing w:val="0"/>
          <w:w w:val="100"/>
          <w:sz w:val="24"/>
          <w:szCs w:val="24"/>
          <w:lang w:eastAsia="zh-CN"/>
        </w:rPr>
        <w:t>完全混合断面</w:t>
      </w:r>
      <w:r>
        <w:rPr>
          <w:rFonts w:hint="eastAsia" w:ascii="Times New Roman" w:hAnsi="Times New Roman" w:eastAsia="宋体" w:cs="Times New Roman"/>
          <w:color w:val="auto"/>
          <w:spacing w:val="0"/>
          <w:w w:val="100"/>
          <w:sz w:val="24"/>
          <w:szCs w:val="24"/>
          <w:lang w:val="en-US" w:eastAsia="zh-CN"/>
        </w:rPr>
        <w:t>10.45m处及</w:t>
      </w:r>
      <w:r>
        <w:rPr>
          <w:rFonts w:hint="default" w:ascii="Times New Roman" w:hAnsi="Times New Roman" w:eastAsia="宋体" w:cs="Times New Roman"/>
          <w:color w:val="auto"/>
          <w:spacing w:val="0"/>
          <w:w w:val="100"/>
          <w:sz w:val="24"/>
          <w:szCs w:val="24"/>
          <w:lang w:eastAsia="zh-CN"/>
        </w:rPr>
        <w:t>1500m处的COD浓度和氨</w:t>
      </w:r>
      <w:r>
        <w:rPr>
          <w:rFonts w:hint="default" w:ascii="Times New Roman" w:hAnsi="Times New Roman" w:eastAsia="宋体" w:cs="Times New Roman"/>
          <w:color w:val="auto"/>
          <w:spacing w:val="0"/>
          <w:w w:val="100"/>
          <w:sz w:val="24"/>
          <w:szCs w:val="24"/>
        </w:rPr>
        <w:t>氮浓度</w:t>
      </w:r>
      <w:r>
        <w:rPr>
          <w:rFonts w:hint="eastAsia" w:ascii="Times New Roman" w:hAnsi="Times New Roman" w:eastAsia="宋体" w:cs="Times New Roman"/>
          <w:color w:val="auto"/>
          <w:spacing w:val="0"/>
          <w:w w:val="100"/>
          <w:sz w:val="24"/>
          <w:szCs w:val="24"/>
          <w:lang w:eastAsia="zh-CN"/>
        </w:rPr>
        <w:t>均</w:t>
      </w:r>
      <w:r>
        <w:rPr>
          <w:rFonts w:hint="default" w:ascii="Times New Roman" w:hAnsi="Times New Roman" w:eastAsia="宋体" w:cs="Times New Roman"/>
          <w:color w:val="auto"/>
          <w:spacing w:val="0"/>
          <w:w w:val="100"/>
          <w:sz w:val="24"/>
          <w:szCs w:val="24"/>
        </w:rPr>
        <w:t>满足《地表水环境质量标准》（</w:t>
      </w:r>
      <w:r>
        <w:rPr>
          <w:rFonts w:hint="default" w:ascii="Times New Roman" w:hAnsi="Times New Roman" w:eastAsia="Times New Roman" w:cs="Times New Roman"/>
          <w:color w:val="auto"/>
          <w:spacing w:val="0"/>
          <w:w w:val="100"/>
          <w:sz w:val="24"/>
          <w:szCs w:val="24"/>
        </w:rPr>
        <w:t>GB3838-2002</w:t>
      </w:r>
      <w:r>
        <w:rPr>
          <w:rFonts w:hint="default" w:ascii="Times New Roman" w:hAnsi="Times New Roman" w:eastAsia="宋体" w:cs="Times New Roman"/>
          <w:color w:val="auto"/>
          <w:spacing w:val="0"/>
          <w:w w:val="100"/>
          <w:sz w:val="24"/>
          <w:szCs w:val="24"/>
        </w:rPr>
        <w:t>）的</w:t>
      </w:r>
      <w:r>
        <w:rPr>
          <w:rFonts w:hint="eastAsia" w:ascii="Times New Roman" w:hAnsi="Times New Roman" w:eastAsia="宋体" w:cs="Times New Roman"/>
          <w:color w:val="auto"/>
          <w:spacing w:val="0"/>
          <w:w w:val="100"/>
          <w:sz w:val="24"/>
          <w:szCs w:val="24"/>
          <w:lang w:eastAsia="zh-CN"/>
        </w:rPr>
        <w:t>Ⅲ类</w:t>
      </w:r>
      <w:r>
        <w:rPr>
          <w:rFonts w:hint="default" w:ascii="Times New Roman" w:hAnsi="Times New Roman" w:eastAsia="宋体" w:cs="Times New Roman"/>
          <w:color w:val="auto"/>
          <w:spacing w:val="0"/>
          <w:w w:val="100"/>
          <w:sz w:val="24"/>
          <w:szCs w:val="24"/>
        </w:rPr>
        <w:t>标准</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rPr>
        <w:t>非正常工况下排污口处</w:t>
      </w:r>
      <w:r>
        <w:rPr>
          <w:rFonts w:hint="default" w:ascii="Times New Roman" w:hAnsi="Times New Roman" w:eastAsia="Times New Roman" w:cs="Times New Roman"/>
          <w:color w:val="auto"/>
          <w:spacing w:val="0"/>
          <w:w w:val="100"/>
          <w:sz w:val="24"/>
          <w:szCs w:val="24"/>
        </w:rPr>
        <w:t>COD</w:t>
      </w:r>
      <w:r>
        <w:rPr>
          <w:rFonts w:hint="default" w:ascii="Times New Roman" w:hAnsi="Times New Roman" w:eastAsia="宋体" w:cs="Times New Roman"/>
          <w:color w:val="auto"/>
          <w:spacing w:val="0"/>
          <w:w w:val="100"/>
          <w:sz w:val="24"/>
          <w:szCs w:val="24"/>
        </w:rPr>
        <w:t>浓度</w:t>
      </w:r>
      <w:r>
        <w:rPr>
          <w:rFonts w:hint="eastAsia" w:ascii="Times New Roman" w:hAnsi="Times New Roman" w:eastAsia="宋体" w:cs="Times New Roman"/>
          <w:color w:val="auto"/>
          <w:spacing w:val="0"/>
          <w:w w:val="100"/>
          <w:sz w:val="24"/>
          <w:szCs w:val="24"/>
          <w:lang w:eastAsia="zh-CN"/>
        </w:rPr>
        <w:t>超过</w:t>
      </w:r>
      <w:r>
        <w:rPr>
          <w:rFonts w:hint="default" w:ascii="Times New Roman" w:hAnsi="Times New Roman" w:eastAsia="宋体" w:cs="Times New Roman"/>
          <w:color w:val="auto"/>
          <w:spacing w:val="0"/>
          <w:w w:val="100"/>
          <w:sz w:val="24"/>
          <w:szCs w:val="24"/>
        </w:rPr>
        <w:t>《陕西省黄河流域污水综合排放标准》（</w:t>
      </w:r>
      <w:r>
        <w:rPr>
          <w:rFonts w:hint="eastAsia" w:ascii="Times New Roman" w:hAnsi="Times New Roman" w:eastAsia="宋体" w:cs="Times New Roman"/>
          <w:color w:val="auto"/>
          <w:spacing w:val="0"/>
          <w:w w:val="100"/>
          <w:sz w:val="24"/>
          <w:szCs w:val="24"/>
          <w:lang w:eastAsia="zh-CN"/>
        </w:rPr>
        <w:t>DB61/224-2018</w:t>
      </w:r>
      <w:r>
        <w:rPr>
          <w:rFonts w:hint="default" w:ascii="Times New Roman" w:hAnsi="Times New Roman" w:eastAsia="宋体" w:cs="Times New Roman"/>
          <w:color w:val="auto"/>
          <w:spacing w:val="0"/>
          <w:w w:val="100"/>
          <w:sz w:val="24"/>
          <w:szCs w:val="24"/>
        </w:rPr>
        <w:t>）表</w:t>
      </w:r>
      <w:r>
        <w:rPr>
          <w:rFonts w:hint="default" w:ascii="Times New Roman" w:hAnsi="Times New Roman" w:eastAsia="Times New Roman" w:cs="Times New Roman"/>
          <w:color w:val="auto"/>
          <w:spacing w:val="0"/>
          <w:w w:val="100"/>
          <w:sz w:val="24"/>
          <w:szCs w:val="24"/>
        </w:rPr>
        <w:t>1</w:t>
      </w:r>
      <w:r>
        <w:rPr>
          <w:rFonts w:hint="default" w:ascii="Times New Roman" w:hAnsi="Times New Roman" w:eastAsia="宋体" w:cs="Times New Roman"/>
          <w:color w:val="auto"/>
          <w:spacing w:val="0"/>
          <w:w w:val="100"/>
          <w:sz w:val="24"/>
          <w:szCs w:val="24"/>
        </w:rPr>
        <w:t>中</w:t>
      </w:r>
      <w:r>
        <w:rPr>
          <w:rFonts w:hint="default" w:ascii="Times New Roman" w:hAnsi="Times New Roman" w:eastAsia="Times New Roman" w:cs="Times New Roman"/>
          <w:color w:val="auto"/>
          <w:spacing w:val="0"/>
          <w:w w:val="100"/>
          <w:sz w:val="24"/>
          <w:szCs w:val="24"/>
        </w:rPr>
        <w:t>A</w:t>
      </w:r>
      <w:r>
        <w:rPr>
          <w:rFonts w:hint="default" w:ascii="Times New Roman" w:hAnsi="Times New Roman" w:eastAsia="宋体" w:cs="Times New Roman"/>
          <w:color w:val="auto"/>
          <w:spacing w:val="0"/>
          <w:w w:val="100"/>
          <w:sz w:val="24"/>
          <w:szCs w:val="24"/>
        </w:rPr>
        <w:t>标准</w:t>
      </w:r>
      <w:r>
        <w:rPr>
          <w:rFonts w:hint="eastAsia" w:ascii="Times New Roman" w:hAnsi="Times New Roman" w:eastAsia="宋体" w:cs="Times New Roman"/>
          <w:color w:val="auto"/>
          <w:spacing w:val="0"/>
          <w:w w:val="100"/>
          <w:sz w:val="24"/>
          <w:szCs w:val="24"/>
          <w:lang w:eastAsia="zh-CN"/>
        </w:rPr>
        <w:t>，超标排放，但削减至</w:t>
      </w:r>
      <w:r>
        <w:rPr>
          <w:rFonts w:hint="default" w:ascii="Times New Roman" w:hAnsi="Times New Roman" w:eastAsia="宋体" w:cs="Times New Roman"/>
          <w:color w:val="auto"/>
          <w:spacing w:val="0"/>
          <w:w w:val="100"/>
          <w:sz w:val="24"/>
          <w:szCs w:val="24"/>
        </w:rPr>
        <w:t>下游</w:t>
      </w:r>
      <w:r>
        <w:rPr>
          <w:rFonts w:hint="eastAsia" w:ascii="Times New Roman" w:hAnsi="Times New Roman" w:eastAsia="宋体" w:cs="Times New Roman"/>
          <w:color w:val="auto"/>
          <w:spacing w:val="0"/>
          <w:w w:val="100"/>
          <w:sz w:val="24"/>
          <w:szCs w:val="24"/>
          <w:lang w:val="en-US" w:eastAsia="zh-CN"/>
        </w:rPr>
        <w:t>10</w:t>
      </w:r>
      <w:r>
        <w:rPr>
          <w:rFonts w:hint="default" w:ascii="Times New Roman" w:hAnsi="Times New Roman" w:eastAsia="Times New Roman" w:cs="Times New Roman"/>
          <w:color w:val="auto"/>
          <w:spacing w:val="0"/>
          <w:w w:val="100"/>
          <w:sz w:val="24"/>
          <w:szCs w:val="24"/>
        </w:rPr>
        <w:t>m</w:t>
      </w:r>
      <w:r>
        <w:rPr>
          <w:rFonts w:hint="default" w:ascii="Times New Roman" w:hAnsi="Times New Roman" w:eastAsia="宋体" w:cs="Times New Roman"/>
          <w:color w:val="auto"/>
          <w:spacing w:val="0"/>
          <w:w w:val="100"/>
          <w:sz w:val="24"/>
          <w:szCs w:val="24"/>
        </w:rPr>
        <w:t>处</w:t>
      </w:r>
      <w:r>
        <w:rPr>
          <w:rFonts w:hint="default" w:ascii="Times New Roman" w:hAnsi="Times New Roman" w:eastAsia="Times New Roman" w:cs="Times New Roman"/>
          <w:color w:val="auto"/>
          <w:spacing w:val="0"/>
          <w:w w:val="100"/>
          <w:sz w:val="24"/>
          <w:szCs w:val="24"/>
        </w:rPr>
        <w:t>COD</w:t>
      </w:r>
      <w:r>
        <w:rPr>
          <w:rFonts w:hint="default" w:ascii="Times New Roman" w:hAnsi="Times New Roman" w:eastAsia="宋体" w:cs="Times New Roman"/>
          <w:color w:val="auto"/>
          <w:spacing w:val="0"/>
          <w:w w:val="100"/>
          <w:sz w:val="24"/>
          <w:szCs w:val="24"/>
        </w:rPr>
        <w:t>和氨氮浓度</w:t>
      </w:r>
      <w:r>
        <w:rPr>
          <w:rFonts w:hint="eastAsia" w:ascii="Times New Roman" w:hAnsi="Times New Roman" w:eastAsia="宋体" w:cs="Times New Roman"/>
          <w:color w:val="auto"/>
          <w:spacing w:val="0"/>
          <w:w w:val="100"/>
          <w:sz w:val="24"/>
          <w:szCs w:val="24"/>
          <w:lang w:eastAsia="zh-CN"/>
        </w:rPr>
        <w:t>均满足</w:t>
      </w:r>
      <w:r>
        <w:rPr>
          <w:rFonts w:hint="default" w:ascii="Times New Roman" w:hAnsi="Times New Roman" w:eastAsia="宋体" w:cs="Times New Roman"/>
          <w:color w:val="auto"/>
          <w:spacing w:val="0"/>
          <w:w w:val="100"/>
          <w:sz w:val="24"/>
          <w:szCs w:val="24"/>
        </w:rPr>
        <w:t>《地表水环境质量标准》的</w:t>
      </w:r>
      <w:r>
        <w:rPr>
          <w:rFonts w:hint="eastAsia" w:ascii="Times New Roman" w:hAnsi="Times New Roman" w:eastAsia="宋体" w:cs="Times New Roman"/>
          <w:color w:val="auto"/>
          <w:spacing w:val="0"/>
          <w:w w:val="100"/>
          <w:sz w:val="24"/>
          <w:szCs w:val="24"/>
          <w:lang w:eastAsia="zh-CN"/>
        </w:rPr>
        <w:t>Ⅲ类</w:t>
      </w:r>
      <w:r>
        <w:rPr>
          <w:rFonts w:hint="default" w:ascii="Times New Roman" w:hAnsi="Times New Roman" w:eastAsia="宋体" w:cs="Times New Roman"/>
          <w:color w:val="auto"/>
          <w:spacing w:val="0"/>
          <w:w w:val="100"/>
          <w:sz w:val="24"/>
          <w:szCs w:val="24"/>
        </w:rPr>
        <w:t>标准，</w:t>
      </w:r>
      <w:r>
        <w:rPr>
          <w:rFonts w:hint="eastAsia" w:ascii="Times New Roman" w:hAnsi="Times New Roman" w:eastAsia="宋体" w:cs="Times New Roman"/>
          <w:color w:val="auto"/>
          <w:spacing w:val="0"/>
          <w:w w:val="100"/>
          <w:sz w:val="24"/>
          <w:szCs w:val="24"/>
          <w:lang w:eastAsia="zh-CN"/>
        </w:rPr>
        <w:t>因此评价范围内完全可以降解达标。</w:t>
      </w:r>
    </w:p>
    <w:p w14:paraId="330FD37B">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eastAsia="zh-CN"/>
        </w:rPr>
        <w:t>正常情况及非正常情况下，</w:t>
      </w:r>
      <w:r>
        <w:rPr>
          <w:rFonts w:hint="eastAsia" w:ascii="Times New Roman" w:hAnsi="Times New Roman" w:eastAsia="宋体" w:cs="Times New Roman"/>
          <w:color w:val="auto"/>
          <w:spacing w:val="0"/>
          <w:w w:val="100"/>
          <w:sz w:val="24"/>
          <w:szCs w:val="24"/>
          <w:lang w:val="en-US" w:eastAsia="zh-CN"/>
        </w:rPr>
        <w:t>1500m处（评价断面）</w:t>
      </w:r>
      <w:r>
        <w:rPr>
          <w:rFonts w:hint="default" w:ascii="Times New Roman" w:hAnsi="Times New Roman" w:eastAsia="宋体" w:cs="Times New Roman"/>
          <w:color w:val="auto"/>
          <w:spacing w:val="0"/>
          <w:w w:val="100"/>
          <w:sz w:val="24"/>
          <w:szCs w:val="24"/>
          <w:lang w:eastAsia="zh-CN"/>
        </w:rPr>
        <w:t>的COD浓度和氨</w:t>
      </w:r>
      <w:r>
        <w:rPr>
          <w:rFonts w:hint="default" w:ascii="Times New Roman" w:hAnsi="Times New Roman" w:eastAsia="宋体" w:cs="Times New Roman"/>
          <w:color w:val="auto"/>
          <w:spacing w:val="0"/>
          <w:w w:val="100"/>
          <w:sz w:val="24"/>
          <w:szCs w:val="24"/>
        </w:rPr>
        <w:t>氮浓度</w:t>
      </w:r>
      <w:r>
        <w:rPr>
          <w:rFonts w:hint="eastAsia" w:ascii="Times New Roman" w:hAnsi="Times New Roman" w:eastAsia="宋体" w:cs="Times New Roman"/>
          <w:color w:val="auto"/>
          <w:spacing w:val="0"/>
          <w:w w:val="100"/>
          <w:sz w:val="24"/>
          <w:szCs w:val="24"/>
          <w:lang w:eastAsia="zh-CN"/>
        </w:rPr>
        <w:t>均</w:t>
      </w:r>
      <w:r>
        <w:rPr>
          <w:rFonts w:hint="default" w:ascii="Times New Roman" w:hAnsi="Times New Roman" w:eastAsia="宋体" w:cs="Times New Roman"/>
          <w:color w:val="auto"/>
          <w:spacing w:val="0"/>
          <w:w w:val="100"/>
          <w:sz w:val="24"/>
          <w:szCs w:val="24"/>
        </w:rPr>
        <w:t>满足《地表水环境质量标准》（GB3838-2002）的</w:t>
      </w:r>
      <w:r>
        <w:rPr>
          <w:rFonts w:hint="eastAsia" w:ascii="Times New Roman" w:hAnsi="Times New Roman" w:eastAsia="宋体" w:cs="Times New Roman"/>
          <w:color w:val="auto"/>
          <w:spacing w:val="0"/>
          <w:w w:val="100"/>
          <w:sz w:val="24"/>
          <w:szCs w:val="24"/>
          <w:lang w:eastAsia="zh-CN"/>
        </w:rPr>
        <w:t>Ⅲ类</w:t>
      </w:r>
      <w:r>
        <w:rPr>
          <w:rFonts w:hint="default" w:ascii="Times New Roman" w:hAnsi="Times New Roman" w:eastAsia="宋体" w:cs="Times New Roman"/>
          <w:color w:val="auto"/>
          <w:spacing w:val="0"/>
          <w:w w:val="100"/>
          <w:sz w:val="24"/>
          <w:szCs w:val="24"/>
        </w:rPr>
        <w:t>标准</w:t>
      </w:r>
      <w:r>
        <w:rPr>
          <w:rFonts w:hint="eastAsia" w:ascii="Times New Roman" w:hAnsi="Times New Roman" w:eastAsia="宋体" w:cs="Times New Roman"/>
          <w:color w:val="auto"/>
          <w:spacing w:val="0"/>
          <w:w w:val="100"/>
          <w:sz w:val="24"/>
          <w:szCs w:val="24"/>
          <w:lang w:eastAsia="zh-CN"/>
        </w:rPr>
        <w:t>，因此，项目尾水排放不会对</w:t>
      </w:r>
      <w:r>
        <w:rPr>
          <w:rFonts w:hint="eastAsia" w:ascii="Times New Roman" w:hAnsi="Times New Roman" w:eastAsia="宋体" w:cs="Times New Roman"/>
          <w:color w:val="auto"/>
          <w:spacing w:val="0"/>
          <w:w w:val="100"/>
          <w:sz w:val="24"/>
          <w:szCs w:val="24"/>
          <w:lang w:val="en-US" w:eastAsia="zh-CN"/>
        </w:rPr>
        <w:t>千河水质</w:t>
      </w:r>
      <w:r>
        <w:rPr>
          <w:rFonts w:hint="eastAsia" w:ascii="Times New Roman" w:hAnsi="Times New Roman" w:eastAsia="宋体" w:cs="Times New Roman"/>
          <w:color w:val="auto"/>
          <w:spacing w:val="0"/>
          <w:w w:val="100"/>
          <w:sz w:val="24"/>
          <w:szCs w:val="24"/>
          <w:lang w:eastAsia="zh-CN"/>
        </w:rPr>
        <w:t>产生影响。</w:t>
      </w:r>
    </w:p>
    <w:p w14:paraId="54EF97B4">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default" w:ascii="Times New Roman" w:hAnsi="Times New Roman" w:eastAsia="宋体" w:cs="Times New Roman"/>
          <w:color w:val="auto"/>
          <w:spacing w:val="0"/>
          <w:w w:val="100"/>
          <w:sz w:val="24"/>
          <w:szCs w:val="24"/>
        </w:rPr>
        <w:t>由此可见，一旦发生非正常排放，将会加剧</w:t>
      </w:r>
      <w:r>
        <w:rPr>
          <w:rFonts w:hint="eastAsia" w:ascii="Times New Roman" w:hAnsi="Times New Roman" w:eastAsia="宋体" w:cs="Times New Roman"/>
          <w:color w:val="auto"/>
          <w:spacing w:val="0"/>
          <w:w w:val="100"/>
          <w:sz w:val="24"/>
          <w:szCs w:val="24"/>
          <w:lang w:eastAsia="zh-CN"/>
        </w:rPr>
        <w:t>千河</w:t>
      </w:r>
      <w:r>
        <w:rPr>
          <w:rFonts w:hint="default" w:ascii="Times New Roman" w:hAnsi="Times New Roman" w:eastAsia="宋体" w:cs="Times New Roman"/>
          <w:color w:val="auto"/>
          <w:spacing w:val="0"/>
          <w:w w:val="100"/>
          <w:sz w:val="24"/>
          <w:szCs w:val="24"/>
        </w:rPr>
        <w:t>水质的污染程度，</w:t>
      </w:r>
      <w:r>
        <w:rPr>
          <w:rFonts w:hint="eastAsia" w:ascii="Times New Roman" w:hAnsi="Times New Roman" w:eastAsia="宋体" w:cs="Times New Roman"/>
          <w:color w:val="auto"/>
          <w:spacing w:val="0"/>
          <w:w w:val="100"/>
          <w:sz w:val="24"/>
          <w:szCs w:val="24"/>
          <w:lang w:eastAsia="zh-CN"/>
        </w:rPr>
        <w:t>但于</w:t>
      </w:r>
      <w:r>
        <w:rPr>
          <w:rFonts w:hint="eastAsia" w:ascii="Times New Roman" w:hAnsi="Times New Roman" w:eastAsia="宋体" w:cs="Times New Roman"/>
          <w:color w:val="auto"/>
          <w:spacing w:val="0"/>
          <w:w w:val="100"/>
          <w:sz w:val="24"/>
          <w:szCs w:val="24"/>
          <w:lang w:val="en-US" w:eastAsia="zh-CN"/>
        </w:rPr>
        <w:t>10m处即可降解达标，</w:t>
      </w:r>
      <w:r>
        <w:rPr>
          <w:rFonts w:hint="default" w:ascii="Times New Roman" w:hAnsi="Times New Roman" w:eastAsia="宋体" w:cs="Times New Roman"/>
          <w:color w:val="auto"/>
          <w:spacing w:val="0"/>
          <w:w w:val="100"/>
          <w:sz w:val="24"/>
          <w:szCs w:val="24"/>
        </w:rPr>
        <w:t>对地表水</w:t>
      </w:r>
      <w:r>
        <w:rPr>
          <w:rFonts w:hint="default" w:ascii="Times New Roman" w:hAnsi="Times New Roman" w:eastAsia="宋体" w:cs="Times New Roman"/>
          <w:color w:val="auto"/>
          <w:spacing w:val="0"/>
          <w:w w:val="100"/>
          <w:sz w:val="24"/>
          <w:szCs w:val="24"/>
          <w:lang w:eastAsia="zh-CN"/>
        </w:rPr>
        <w:t>环境</w:t>
      </w:r>
      <w:r>
        <w:rPr>
          <w:rFonts w:hint="default" w:ascii="Times New Roman" w:hAnsi="Times New Roman" w:eastAsia="宋体" w:cs="Times New Roman"/>
          <w:color w:val="auto"/>
          <w:spacing w:val="0"/>
          <w:w w:val="100"/>
          <w:sz w:val="24"/>
          <w:szCs w:val="24"/>
        </w:rPr>
        <w:t>影响程度</w:t>
      </w:r>
      <w:r>
        <w:rPr>
          <w:rFonts w:hint="eastAsia" w:ascii="Times New Roman" w:hAnsi="Times New Roman" w:eastAsia="宋体" w:cs="Times New Roman"/>
          <w:color w:val="auto"/>
          <w:spacing w:val="0"/>
          <w:w w:val="100"/>
          <w:sz w:val="24"/>
          <w:szCs w:val="24"/>
          <w:lang w:eastAsia="zh-CN"/>
        </w:rPr>
        <w:t>较小，因此</w:t>
      </w:r>
      <w:r>
        <w:rPr>
          <w:rFonts w:hint="eastAsia" w:ascii="Times New Roman" w:hAnsi="Times New Roman" w:eastAsia="宋体" w:cs="Times New Roman"/>
          <w:color w:val="auto"/>
          <w:spacing w:val="0"/>
          <w:w w:val="100"/>
          <w:sz w:val="24"/>
          <w:szCs w:val="24"/>
          <w:lang w:val="en-US" w:eastAsia="zh-CN"/>
        </w:rPr>
        <w:t>应严格控制，避免非正常排放</w:t>
      </w:r>
      <w:r>
        <w:rPr>
          <w:rFonts w:hint="default" w:ascii="Times New Roman" w:hAnsi="Times New Roman" w:eastAsia="宋体" w:cs="Times New Roman"/>
          <w:color w:val="auto"/>
          <w:spacing w:val="0"/>
          <w:w w:val="100"/>
          <w:sz w:val="24"/>
          <w:szCs w:val="24"/>
        </w:rPr>
        <w:t>。</w:t>
      </w:r>
    </w:p>
    <w:p w14:paraId="4A8DD741">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随着本工程的建成运行，工程收水范围内的污废水将经过处理后达标排放，使周边区域污水得到有效处理，防止污水直接流入千河，其中污染物</w:t>
      </w:r>
      <w:r>
        <w:rPr>
          <w:rFonts w:hint="default" w:ascii="Times New Roman" w:hAnsi="Times New Roman" w:eastAsia="宋体" w:cs="Times New Roman"/>
          <w:color w:val="auto"/>
          <w:spacing w:val="0"/>
          <w:w w:val="100"/>
          <w:sz w:val="24"/>
          <w:szCs w:val="24"/>
          <w:lang w:val="en-US" w:eastAsia="zh-CN"/>
        </w:rPr>
        <w:t>COD</w:t>
      </w:r>
      <w:r>
        <w:rPr>
          <w:rFonts w:hint="eastAsia" w:ascii="Times New Roman" w:hAnsi="Times New Roman" w:eastAsia="宋体" w:cs="Times New Roman"/>
          <w:color w:val="auto"/>
          <w:spacing w:val="0"/>
          <w:w w:val="100"/>
          <w:sz w:val="24"/>
          <w:szCs w:val="24"/>
          <w:lang w:val="en-US" w:eastAsia="zh-CN"/>
        </w:rPr>
        <w:t>和氨氮的消减量分别为186.88</w:t>
      </w:r>
      <w:r>
        <w:rPr>
          <w:rFonts w:hint="default" w:ascii="Times New Roman" w:hAnsi="Times New Roman" w:eastAsia="宋体" w:cs="Times New Roman"/>
          <w:color w:val="auto"/>
          <w:spacing w:val="0"/>
          <w:w w:val="100"/>
          <w:sz w:val="24"/>
          <w:szCs w:val="24"/>
          <w:lang w:val="en-US" w:eastAsia="zh-CN"/>
        </w:rPr>
        <w:t>t/a</w:t>
      </w:r>
      <w:r>
        <w:rPr>
          <w:rFonts w:hint="eastAsia" w:ascii="Times New Roman" w:hAnsi="Times New Roman" w:eastAsia="宋体" w:cs="Times New Roman"/>
          <w:color w:val="auto"/>
          <w:spacing w:val="0"/>
          <w:w w:val="100"/>
          <w:sz w:val="24"/>
          <w:szCs w:val="24"/>
          <w:lang w:val="en-US" w:eastAsia="zh-CN"/>
        </w:rPr>
        <w:t>和13.436</w:t>
      </w:r>
      <w:r>
        <w:rPr>
          <w:rFonts w:hint="default" w:ascii="Times New Roman" w:hAnsi="Times New Roman" w:eastAsia="宋体" w:cs="Times New Roman"/>
          <w:color w:val="auto"/>
          <w:spacing w:val="0"/>
          <w:w w:val="100"/>
          <w:sz w:val="24"/>
          <w:szCs w:val="24"/>
          <w:lang w:val="en-US" w:eastAsia="zh-CN"/>
        </w:rPr>
        <w:t>t/a</w:t>
      </w:r>
      <w:r>
        <w:rPr>
          <w:rFonts w:hint="eastAsia" w:ascii="Times New Roman" w:hAnsi="Times New Roman" w:eastAsia="宋体" w:cs="Times New Roman"/>
          <w:color w:val="auto"/>
          <w:spacing w:val="0"/>
          <w:w w:val="100"/>
          <w:sz w:val="24"/>
          <w:szCs w:val="24"/>
          <w:lang w:val="en-US" w:eastAsia="zh-CN"/>
        </w:rPr>
        <w:t>，减轻了渭河的污染负荷。</w:t>
      </w:r>
    </w:p>
    <w:p w14:paraId="05EE4BE0">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4"/>
          <w:szCs w:val="24"/>
          <w:lang w:val="en-US" w:eastAsia="zh-CN" w:bidi="ar-SA"/>
        </w:rPr>
      </w:pPr>
      <w:r>
        <w:rPr>
          <w:rFonts w:hint="eastAsia" w:ascii="Times New Roman" w:hAnsi="Times New Roman" w:eastAsia="宋体" w:cs="Times New Roman"/>
          <w:b/>
          <w:color w:val="auto"/>
          <w:spacing w:val="0"/>
          <w:w w:val="100"/>
          <w:kern w:val="2"/>
          <w:sz w:val="24"/>
          <w:szCs w:val="24"/>
          <w:lang w:val="en-US" w:eastAsia="zh-CN" w:bidi="ar-SA"/>
        </w:rPr>
        <w:t>4.2.3对千河国家级水产种质资源保护区的影响</w:t>
      </w:r>
    </w:p>
    <w:p w14:paraId="4BF7D3DF">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72" w:firstLineChars="200"/>
        <w:textAlignment w:val="auto"/>
        <w:rPr>
          <w:rFonts w:hint="default" w:ascii="Times New Roman" w:hAnsi="Times New Roman" w:cs="Times New Roman"/>
          <w:sz w:val="24"/>
          <w:szCs w:val="24"/>
        </w:rPr>
      </w:pPr>
      <w:r>
        <w:rPr>
          <w:rFonts w:hint="default" w:ascii="Times New Roman" w:hAnsi="Times New Roman" w:cs="Times New Roman"/>
          <w:spacing w:val="-2"/>
          <w:sz w:val="24"/>
          <w:szCs w:val="24"/>
        </w:rPr>
        <w:t>（</w:t>
      </w:r>
      <w:r>
        <w:rPr>
          <w:rFonts w:hint="default" w:ascii="Times New Roman" w:hAnsi="Times New Roman" w:eastAsia="Times New Roman" w:cs="Times New Roman"/>
          <w:spacing w:val="-2"/>
          <w:sz w:val="24"/>
          <w:szCs w:val="24"/>
        </w:rPr>
        <w:t>1</w:t>
      </w:r>
      <w:r>
        <w:rPr>
          <w:rFonts w:hint="default" w:ascii="Times New Roman" w:hAnsi="Times New Roman" w:cs="Times New Roman"/>
          <w:spacing w:val="-2"/>
          <w:sz w:val="24"/>
          <w:szCs w:val="24"/>
        </w:rPr>
        <w:t>）千河国家级水产种质资源保护区概况</w:t>
      </w:r>
    </w:p>
    <w:p w14:paraId="1697C129">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68" w:firstLineChars="200"/>
        <w:textAlignment w:val="auto"/>
        <w:rPr>
          <w:rFonts w:hint="default" w:ascii="Times New Roman" w:hAnsi="Times New Roman" w:cs="Times New Roman"/>
          <w:sz w:val="24"/>
          <w:szCs w:val="24"/>
        </w:rPr>
      </w:pPr>
      <w:r>
        <w:rPr>
          <w:rFonts w:hint="default" w:ascii="Times New Roman" w:hAnsi="Times New Roman" w:cs="Times New Roman"/>
          <w:spacing w:val="-3"/>
          <w:sz w:val="24"/>
          <w:szCs w:val="24"/>
        </w:rPr>
        <w:t>根据第六</w:t>
      </w:r>
      <w:r>
        <w:rPr>
          <w:rFonts w:hint="default" w:ascii="Times New Roman" w:hAnsi="Times New Roman" w:eastAsia="宋体" w:cs="Times New Roman"/>
          <w:color w:val="auto"/>
          <w:spacing w:val="0"/>
          <w:w w:val="100"/>
          <w:sz w:val="24"/>
          <w:szCs w:val="24"/>
          <w:lang w:val="en-US" w:eastAsia="zh-CN"/>
        </w:rPr>
        <w:t>批国家级水产种质资源保护区面积和功能分区，千河国家级水产种质资源保护区总面积为3272hm</w:t>
      </w:r>
      <w:r>
        <w:rPr>
          <w:rFonts w:hint="default"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lang w:val="en-US" w:eastAsia="zh-CN"/>
        </w:rPr>
        <w:t>，其中核心区面积为1965hm</w:t>
      </w:r>
      <w:r>
        <w:rPr>
          <w:rFonts w:hint="default"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lang w:val="en-US" w:eastAsia="zh-CN"/>
        </w:rPr>
        <w:t>，实验区面积为1307hm</w:t>
      </w:r>
      <w:r>
        <w:rPr>
          <w:rFonts w:hint="default" w:ascii="Times New Roman" w:hAnsi="Times New Roman" w:eastAsia="宋体" w:cs="Times New Roman"/>
          <w:color w:val="auto"/>
          <w:spacing w:val="0"/>
          <w:w w:val="100"/>
          <w:sz w:val="24"/>
          <w:szCs w:val="24"/>
          <w:vertAlign w:val="superscript"/>
          <w:lang w:val="en-US" w:eastAsia="zh-CN"/>
        </w:rPr>
        <w:t>2</w:t>
      </w:r>
      <w:r>
        <w:rPr>
          <w:rFonts w:hint="default" w:ascii="Times New Roman" w:hAnsi="Times New Roman" w:eastAsia="宋体" w:cs="Times New Roman"/>
          <w:color w:val="auto"/>
          <w:spacing w:val="0"/>
          <w:w w:val="100"/>
          <w:sz w:val="24"/>
          <w:szCs w:val="24"/>
          <w:lang w:val="en-US" w:eastAsia="zh-CN"/>
        </w:rPr>
        <w:t>。核心区特别保护期为每年的</w:t>
      </w:r>
      <w:r>
        <w:rPr>
          <w:rFonts w:hint="default" w:ascii="Times New Roman" w:hAnsi="Times New Roman" w:eastAsia="Times New Roman" w:cs="Times New Roman"/>
          <w:spacing w:val="-3"/>
          <w:sz w:val="24"/>
          <w:szCs w:val="24"/>
        </w:rPr>
        <w:t>3</w:t>
      </w:r>
      <w:r>
        <w:rPr>
          <w:rFonts w:hint="default" w:ascii="Times New Roman" w:hAnsi="Times New Roman" w:cs="Times New Roman"/>
          <w:spacing w:val="-3"/>
          <w:sz w:val="24"/>
          <w:szCs w:val="24"/>
        </w:rPr>
        <w:t>月</w:t>
      </w:r>
      <w:r>
        <w:rPr>
          <w:rFonts w:hint="default" w:ascii="Times New Roman" w:hAnsi="Times New Roman" w:eastAsia="Times New Roman" w:cs="Times New Roman"/>
          <w:spacing w:val="-3"/>
          <w:sz w:val="24"/>
          <w:szCs w:val="24"/>
        </w:rPr>
        <w:t>1</w:t>
      </w:r>
      <w:r>
        <w:rPr>
          <w:rFonts w:hint="default" w:ascii="Times New Roman" w:hAnsi="Times New Roman" w:cs="Times New Roman"/>
          <w:spacing w:val="-3"/>
          <w:sz w:val="24"/>
          <w:szCs w:val="24"/>
        </w:rPr>
        <w:t>日</w:t>
      </w:r>
      <w:r>
        <w:rPr>
          <w:rFonts w:hint="default" w:ascii="Times New Roman" w:hAnsi="Times New Roman" w:eastAsia="Times New Roman" w:cs="Times New Roman"/>
          <w:spacing w:val="-3"/>
          <w:sz w:val="24"/>
          <w:szCs w:val="24"/>
        </w:rPr>
        <w:t>—7</w:t>
      </w:r>
      <w:r>
        <w:rPr>
          <w:rFonts w:hint="default" w:ascii="Times New Roman" w:hAnsi="Times New Roman" w:cs="Times New Roman"/>
          <w:spacing w:val="-3"/>
          <w:sz w:val="24"/>
          <w:szCs w:val="24"/>
        </w:rPr>
        <w:t>月</w:t>
      </w:r>
      <w:r>
        <w:rPr>
          <w:rFonts w:hint="default" w:ascii="Times New Roman" w:hAnsi="Times New Roman" w:eastAsia="Times New Roman" w:cs="Times New Roman"/>
          <w:spacing w:val="-3"/>
          <w:sz w:val="24"/>
          <w:szCs w:val="24"/>
        </w:rPr>
        <w:t>31</w:t>
      </w:r>
      <w:r>
        <w:rPr>
          <w:rFonts w:hint="default" w:ascii="Times New Roman" w:hAnsi="Times New Roman" w:cs="Times New Roman"/>
          <w:spacing w:val="-3"/>
          <w:sz w:val="24"/>
          <w:szCs w:val="24"/>
        </w:rPr>
        <w:t>日。保护区位于千河流域</w:t>
      </w:r>
      <w:r>
        <w:rPr>
          <w:rFonts w:hint="default" w:ascii="Times New Roman" w:hAnsi="Times New Roman" w:cs="Times New Roman"/>
          <w:spacing w:val="-4"/>
          <w:sz w:val="24"/>
          <w:szCs w:val="24"/>
        </w:rPr>
        <w:t>的中下游段，全河</w:t>
      </w:r>
      <w:r>
        <w:rPr>
          <w:rFonts w:hint="default" w:ascii="Times New Roman" w:hAnsi="Times New Roman" w:cs="Times New Roman"/>
          <w:spacing w:val="-3"/>
          <w:sz w:val="24"/>
          <w:szCs w:val="24"/>
        </w:rPr>
        <w:t>道长约</w:t>
      </w:r>
      <w:r>
        <w:rPr>
          <w:rFonts w:hint="default" w:ascii="Times New Roman" w:hAnsi="Times New Roman" w:eastAsia="Times New Roman" w:cs="Times New Roman"/>
          <w:spacing w:val="-3"/>
          <w:sz w:val="24"/>
          <w:szCs w:val="24"/>
        </w:rPr>
        <w:t>129.6km</w:t>
      </w:r>
      <w:r>
        <w:rPr>
          <w:rFonts w:hint="default" w:ascii="Times New Roman" w:hAnsi="Times New Roman" w:cs="Times New Roman"/>
          <w:spacing w:val="-3"/>
          <w:sz w:val="24"/>
          <w:szCs w:val="24"/>
        </w:rPr>
        <w:t>。地理范围在东经</w:t>
      </w:r>
      <w:r>
        <w:rPr>
          <w:rFonts w:hint="default" w:ascii="Times New Roman" w:hAnsi="Times New Roman" w:eastAsia="Times New Roman" w:cs="Times New Roman"/>
          <w:spacing w:val="-3"/>
          <w:sz w:val="24"/>
          <w:szCs w:val="24"/>
        </w:rPr>
        <w:t>106°52′15″—</w:t>
      </w:r>
      <w:r>
        <w:rPr>
          <w:rFonts w:hint="default" w:ascii="Times New Roman" w:hAnsi="Times New Roman" w:eastAsia="宋体" w:cs="Times New Roman"/>
          <w:color w:val="auto"/>
          <w:spacing w:val="0"/>
          <w:w w:val="100"/>
          <w:sz w:val="24"/>
          <w:szCs w:val="24"/>
          <w:lang w:val="en-US" w:eastAsia="zh-CN"/>
        </w:rPr>
        <w:t>107</w:t>
      </w:r>
      <w:r>
        <w:rPr>
          <w:rFonts w:hint="default" w:ascii="Times New Roman" w:hAnsi="Times New Roman" w:eastAsia="Times New Roman" w:cs="Times New Roman"/>
          <w:spacing w:val="-3"/>
          <w:sz w:val="24"/>
          <w:szCs w:val="24"/>
        </w:rPr>
        <w:t>°18′38″</w:t>
      </w:r>
      <w:r>
        <w:rPr>
          <w:rFonts w:hint="default" w:ascii="Times New Roman" w:hAnsi="Times New Roman" w:cs="Times New Roman"/>
          <w:spacing w:val="-3"/>
          <w:sz w:val="24"/>
          <w:szCs w:val="24"/>
        </w:rPr>
        <w:t>，北纬</w:t>
      </w:r>
      <w:r>
        <w:rPr>
          <w:rFonts w:hint="default" w:ascii="Times New Roman" w:hAnsi="Times New Roman" w:eastAsia="Times New Roman" w:cs="Times New Roman"/>
          <w:spacing w:val="-3"/>
          <w:sz w:val="24"/>
          <w:szCs w:val="24"/>
        </w:rPr>
        <w:t>34°21′09″—34°53′07″</w:t>
      </w:r>
      <w:r>
        <w:rPr>
          <w:rFonts w:hint="default" w:ascii="Times New Roman" w:hAnsi="Times New Roman" w:cs="Times New Roman"/>
          <w:spacing w:val="-4"/>
          <w:sz w:val="24"/>
          <w:szCs w:val="24"/>
        </w:rPr>
        <w:t>之间。核心区从陇县县城千河大桥段下游</w:t>
      </w:r>
      <w:r>
        <w:rPr>
          <w:rFonts w:hint="default" w:ascii="Times New Roman" w:hAnsi="Times New Roman" w:eastAsia="Times New Roman" w:cs="Times New Roman"/>
          <w:spacing w:val="-4"/>
          <w:sz w:val="24"/>
          <w:szCs w:val="24"/>
        </w:rPr>
        <w:t>3</w:t>
      </w:r>
      <w:r>
        <w:rPr>
          <w:rFonts w:hint="default" w:ascii="Times New Roman" w:hAnsi="Times New Roman" w:cs="Times New Roman"/>
          <w:spacing w:val="-4"/>
          <w:sz w:val="24"/>
          <w:szCs w:val="24"/>
        </w:rPr>
        <w:t>公里处，到千河入渭河河口处，河道长</w:t>
      </w:r>
      <w:r>
        <w:rPr>
          <w:rFonts w:hint="default" w:ascii="Times New Roman" w:hAnsi="Times New Roman" w:eastAsia="Times New Roman" w:cs="Times New Roman"/>
          <w:spacing w:val="-4"/>
          <w:sz w:val="24"/>
          <w:szCs w:val="24"/>
        </w:rPr>
        <w:t>86.1</w:t>
      </w:r>
      <w:r>
        <w:rPr>
          <w:rFonts w:hint="default" w:ascii="Times New Roman" w:hAnsi="Times New Roman" w:cs="Times New Roman"/>
          <w:spacing w:val="-2"/>
          <w:sz w:val="24"/>
          <w:szCs w:val="24"/>
        </w:rPr>
        <w:t>公里，地理范围在东经</w:t>
      </w:r>
      <w:r>
        <w:rPr>
          <w:rFonts w:hint="default" w:ascii="Times New Roman" w:hAnsi="Times New Roman" w:eastAsia="Times New Roman" w:cs="Times New Roman"/>
          <w:spacing w:val="-2"/>
          <w:sz w:val="24"/>
          <w:szCs w:val="24"/>
        </w:rPr>
        <w:t>107°07′25″—107°18′38″</w:t>
      </w:r>
      <w:r>
        <w:rPr>
          <w:rFonts w:hint="default" w:ascii="Times New Roman" w:hAnsi="Times New Roman" w:cs="Times New Roman"/>
          <w:spacing w:val="-2"/>
          <w:sz w:val="24"/>
          <w:szCs w:val="24"/>
        </w:rPr>
        <w:t>，北纬</w:t>
      </w:r>
      <w:r>
        <w:rPr>
          <w:rFonts w:hint="default" w:ascii="Times New Roman" w:hAnsi="Times New Roman" w:eastAsia="Times New Roman" w:cs="Times New Roman"/>
          <w:spacing w:val="-2"/>
          <w:sz w:val="24"/>
          <w:szCs w:val="24"/>
        </w:rPr>
        <w:t>34°38′20″—34°53′07″</w:t>
      </w:r>
      <w:r>
        <w:rPr>
          <w:rFonts w:hint="default" w:ascii="Times New Roman" w:hAnsi="Times New Roman" w:cs="Times New Roman"/>
          <w:spacing w:val="-2"/>
          <w:sz w:val="24"/>
          <w:szCs w:val="24"/>
        </w:rPr>
        <w:t>之间。保护</w:t>
      </w:r>
      <w:r>
        <w:rPr>
          <w:rFonts w:hint="default" w:ascii="Times New Roman" w:hAnsi="Times New Roman" w:cs="Times New Roman"/>
          <w:sz w:val="24"/>
          <w:szCs w:val="24"/>
        </w:rPr>
        <w:t>区主要保护对象为青虾、鲤、鲫、鲇和黄颡鱼，其他保护物</w:t>
      </w:r>
      <w:r>
        <w:rPr>
          <w:rFonts w:hint="default" w:ascii="Times New Roman" w:hAnsi="Times New Roman" w:cs="Times New Roman"/>
          <w:spacing w:val="-1"/>
          <w:sz w:val="24"/>
          <w:szCs w:val="24"/>
        </w:rPr>
        <w:t>种包括泥鳅和中华鳖。</w:t>
      </w:r>
    </w:p>
    <w:p w14:paraId="077C2660">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64" w:firstLineChars="200"/>
        <w:textAlignment w:val="auto"/>
        <w:rPr>
          <w:rFonts w:hint="default" w:ascii="Times New Roman" w:hAnsi="Times New Roman" w:cs="Times New Roman"/>
          <w:spacing w:val="-1"/>
          <w:sz w:val="24"/>
          <w:szCs w:val="24"/>
        </w:rPr>
      </w:pPr>
      <w:r>
        <w:rPr>
          <w:rFonts w:hint="default" w:ascii="Times New Roman" w:hAnsi="Times New Roman" w:cs="Times New Roman"/>
          <w:spacing w:val="-4"/>
          <w:sz w:val="24"/>
          <w:szCs w:val="24"/>
        </w:rPr>
        <w:t>保护区水域年平均水温</w:t>
      </w:r>
      <w:r>
        <w:rPr>
          <w:rFonts w:hint="default" w:ascii="Times New Roman" w:hAnsi="Times New Roman" w:eastAsia="Times New Roman" w:cs="Times New Roman"/>
          <w:spacing w:val="-4"/>
          <w:sz w:val="24"/>
          <w:szCs w:val="24"/>
        </w:rPr>
        <w:t>14.8</w:t>
      </w:r>
      <w:r>
        <w:rPr>
          <w:rFonts w:hint="default" w:ascii="Times New Roman" w:hAnsi="Times New Roman" w:cs="Times New Roman"/>
          <w:spacing w:val="-4"/>
          <w:sz w:val="24"/>
          <w:szCs w:val="24"/>
        </w:rPr>
        <w:t>℃</w:t>
      </w:r>
      <w:r>
        <w:rPr>
          <w:rFonts w:hint="eastAsia" w:ascii="Times New Roman" w:hAnsi="Times New Roman" w:cs="Times New Roman"/>
          <w:spacing w:val="-4"/>
          <w:sz w:val="24"/>
          <w:szCs w:val="24"/>
          <w:lang w:eastAsia="zh-CN"/>
        </w:rPr>
        <w:t>，</w:t>
      </w:r>
      <w:r>
        <w:rPr>
          <w:rFonts w:hint="default" w:ascii="Times New Roman" w:hAnsi="Times New Roman" w:cs="Times New Roman"/>
          <w:spacing w:val="-4"/>
          <w:sz w:val="24"/>
          <w:szCs w:val="24"/>
        </w:rPr>
        <w:t>河流水体由于受地理位置及汛期的</w:t>
      </w:r>
      <w:r>
        <w:rPr>
          <w:rFonts w:hint="default" w:ascii="Times New Roman" w:hAnsi="Times New Roman" w:cs="Times New Roman"/>
          <w:spacing w:val="-5"/>
          <w:sz w:val="24"/>
          <w:szCs w:val="24"/>
        </w:rPr>
        <w:t>影响，透明度的</w:t>
      </w:r>
      <w:r>
        <w:rPr>
          <w:rFonts w:hint="default" w:ascii="Times New Roman" w:hAnsi="Times New Roman" w:cs="Times New Roman"/>
          <w:spacing w:val="-1"/>
          <w:sz w:val="24"/>
          <w:szCs w:val="24"/>
        </w:rPr>
        <w:t>变化范围较大。水体</w:t>
      </w:r>
      <w:r>
        <w:rPr>
          <w:rFonts w:hint="default" w:ascii="Times New Roman" w:hAnsi="Times New Roman" w:eastAsia="Times New Roman" w:cs="Times New Roman"/>
          <w:spacing w:val="-1"/>
          <w:sz w:val="24"/>
          <w:szCs w:val="24"/>
        </w:rPr>
        <w:t>pH</w:t>
      </w:r>
      <w:r>
        <w:rPr>
          <w:rFonts w:hint="default" w:ascii="Times New Roman" w:hAnsi="Times New Roman" w:cs="Times New Roman"/>
          <w:spacing w:val="-1"/>
          <w:sz w:val="24"/>
          <w:szCs w:val="24"/>
        </w:rPr>
        <w:t>值在</w:t>
      </w:r>
      <w:r>
        <w:rPr>
          <w:rFonts w:hint="default" w:ascii="Times New Roman" w:hAnsi="Times New Roman" w:eastAsia="Times New Roman" w:cs="Times New Roman"/>
          <w:spacing w:val="-1"/>
          <w:sz w:val="24"/>
          <w:szCs w:val="24"/>
        </w:rPr>
        <w:t>7.4</w:t>
      </w:r>
      <w:r>
        <w:rPr>
          <w:rFonts w:hint="default" w:ascii="Times New Roman" w:hAnsi="Times New Roman" w:cs="Times New Roman"/>
          <w:spacing w:val="-1"/>
          <w:sz w:val="24"/>
          <w:szCs w:val="24"/>
        </w:rPr>
        <w:t>～</w:t>
      </w:r>
      <w:r>
        <w:rPr>
          <w:rFonts w:hint="default" w:ascii="Times New Roman" w:hAnsi="Times New Roman" w:eastAsia="Times New Roman" w:cs="Times New Roman"/>
          <w:spacing w:val="-1"/>
          <w:sz w:val="24"/>
          <w:szCs w:val="24"/>
        </w:rPr>
        <w:t>8.8</w:t>
      </w:r>
      <w:r>
        <w:rPr>
          <w:rFonts w:hint="default" w:ascii="Times New Roman" w:hAnsi="Times New Roman" w:cs="Times New Roman"/>
          <w:spacing w:val="-1"/>
          <w:sz w:val="24"/>
          <w:szCs w:val="24"/>
        </w:rPr>
        <w:t>之间，呈弱碱性。保护区主要保护对象为</w:t>
      </w:r>
      <w:r>
        <w:rPr>
          <w:rFonts w:hint="default" w:ascii="Times New Roman" w:hAnsi="Times New Roman" w:cs="Times New Roman"/>
          <w:spacing w:val="-2"/>
          <w:sz w:val="24"/>
          <w:szCs w:val="24"/>
        </w:rPr>
        <w:t>青虾、</w:t>
      </w:r>
      <w:r>
        <w:rPr>
          <w:rFonts w:hint="default" w:ascii="Times New Roman" w:hAnsi="Times New Roman" w:cs="Times New Roman"/>
          <w:spacing w:val="-3"/>
          <w:sz w:val="24"/>
          <w:szCs w:val="24"/>
        </w:rPr>
        <w:t>鲤鱼、鲫鱼、鲇鱼</w:t>
      </w:r>
      <w:r>
        <w:rPr>
          <w:rFonts w:hint="eastAsia" w:ascii="Times New Roman" w:hAnsi="Times New Roman" w:cs="Times New Roman"/>
          <w:spacing w:val="-3"/>
          <w:sz w:val="24"/>
          <w:szCs w:val="24"/>
          <w:lang w:eastAsia="zh-CN"/>
        </w:rPr>
        <w:t>、</w:t>
      </w:r>
      <w:r>
        <w:rPr>
          <w:rFonts w:hint="default" w:ascii="Times New Roman" w:hAnsi="Times New Roman" w:cs="Times New Roman"/>
          <w:spacing w:val="-3"/>
          <w:sz w:val="24"/>
          <w:szCs w:val="24"/>
        </w:rPr>
        <w:t>黄颡鱼，其他保护物种为泥鳅，中华鳖等。保护区水生生物资源丰富，高等水生植物主要包括荷花、菖蒲、黄菖蒲、芦苇等挺水植物；满江红、浮萍等漂浮植物；芡实、</w:t>
      </w:r>
      <w:r>
        <w:rPr>
          <w:rFonts w:hint="eastAsia" w:ascii="Times New Roman" w:hAnsi="Times New Roman" w:cs="Times New Roman"/>
          <w:spacing w:val="-3"/>
          <w:sz w:val="24"/>
          <w:szCs w:val="24"/>
          <w:lang w:eastAsia="zh-CN"/>
        </w:rPr>
        <w:t>荇</w:t>
      </w:r>
      <w:r>
        <w:rPr>
          <w:rFonts w:hint="default" w:ascii="Times New Roman" w:hAnsi="Times New Roman" w:cs="Times New Roman"/>
          <w:spacing w:val="-3"/>
          <w:sz w:val="24"/>
          <w:szCs w:val="24"/>
        </w:rPr>
        <w:t>菜等浮叶植物；轮叶黑藻、金鱼藻等沉水植物。浮游植物主要包括蓝藻、硅藻、绿藻。浮游动物主要包括沙壳虫、刺胞虫、瓜形虫、滚动焰毛虫、斜管虫等原生动物；鼠异尾轮虫、龟甲轮虫、旋轮虫等轮虫；象鼻溞、秀体溞、粗毛</w:t>
      </w:r>
      <w:r>
        <w:rPr>
          <w:rFonts w:hint="eastAsia" w:ascii="Times New Roman" w:hAnsi="Times New Roman" w:cs="Times New Roman"/>
          <w:spacing w:val="-3"/>
          <w:sz w:val="24"/>
          <w:szCs w:val="24"/>
          <w:lang w:eastAsia="zh-CN"/>
        </w:rPr>
        <w:t>鱼</w:t>
      </w:r>
      <w:r>
        <w:rPr>
          <w:rFonts w:hint="default" w:ascii="Times New Roman" w:hAnsi="Times New Roman" w:cs="Times New Roman"/>
          <w:spacing w:val="-3"/>
          <w:sz w:val="24"/>
          <w:szCs w:val="24"/>
        </w:rPr>
        <w:t>、盘肠溞等枝角类；汤匙华哲水蚤、垂饰异足水蚤、中华窄腹水蚤等桡足类。底栖动物主要包</w:t>
      </w:r>
      <w:r>
        <w:rPr>
          <w:rFonts w:hint="default" w:ascii="Times New Roman" w:hAnsi="Times New Roman" w:cs="Times New Roman"/>
          <w:sz w:val="24"/>
          <w:szCs w:val="24"/>
        </w:rPr>
        <w:t>括寡毛纲等环节动物；腹足纲、瓣鳃</w:t>
      </w:r>
      <w:r>
        <w:rPr>
          <w:rFonts w:hint="default" w:ascii="Times New Roman" w:hAnsi="Times New Roman" w:cs="Times New Roman"/>
          <w:spacing w:val="-1"/>
          <w:sz w:val="24"/>
          <w:szCs w:val="24"/>
        </w:rPr>
        <w:t>纲等软体动物；昆虫等节肢动物。</w:t>
      </w:r>
    </w:p>
    <w:p w14:paraId="6E6FB562">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76" w:firstLineChars="200"/>
        <w:textAlignment w:val="auto"/>
        <w:rPr>
          <w:rFonts w:hint="default" w:ascii="Times New Roman" w:hAnsi="Times New Roman" w:cs="Times New Roman"/>
          <w:spacing w:val="-1"/>
          <w:sz w:val="24"/>
          <w:szCs w:val="24"/>
        </w:rPr>
      </w:pPr>
      <w:r>
        <w:rPr>
          <w:rFonts w:hint="default" w:ascii="Times New Roman" w:hAnsi="Times New Roman" w:cs="Times New Roman"/>
          <w:spacing w:val="-1"/>
          <w:sz w:val="24"/>
          <w:szCs w:val="24"/>
        </w:rPr>
        <w:t>根据《农业部办公厅关于公布第六批国家水产种质资源保护区面积范围和功能分区的通知》（2013年6月）。</w:t>
      </w:r>
      <w:r>
        <w:rPr>
          <w:rFonts w:hint="eastAsia" w:ascii="Times New Roman" w:hAnsi="Times New Roman" w:cs="Times New Roman"/>
          <w:spacing w:val="-1"/>
          <w:sz w:val="24"/>
          <w:szCs w:val="24"/>
          <w:lang w:val="en-US" w:eastAsia="zh-CN"/>
        </w:rPr>
        <w:t>本项目排污</w:t>
      </w:r>
      <w:r>
        <w:rPr>
          <w:rFonts w:hint="default" w:ascii="Times New Roman" w:hAnsi="Times New Roman" w:cs="Times New Roman"/>
          <w:spacing w:val="-1"/>
          <w:sz w:val="24"/>
          <w:szCs w:val="24"/>
        </w:rPr>
        <w:t>河段处于千河水产种质资源保护区核心区段，依据</w:t>
      </w:r>
      <w:r>
        <w:rPr>
          <w:rFonts w:hint="eastAsia" w:ascii="Times New Roman" w:hAnsi="Times New Roman" w:cs="Times New Roman"/>
          <w:spacing w:val="-1"/>
          <w:sz w:val="24"/>
          <w:szCs w:val="24"/>
          <w:lang w:eastAsia="zh-CN"/>
        </w:rPr>
        <w:t>农业农村部</w:t>
      </w:r>
      <w:r>
        <w:rPr>
          <w:rFonts w:hint="default" w:ascii="Times New Roman" w:hAnsi="Times New Roman" w:cs="Times New Roman"/>
          <w:spacing w:val="-1"/>
          <w:sz w:val="24"/>
          <w:szCs w:val="24"/>
        </w:rPr>
        <w:t>《水产种质资源保护区管理暂行办法》和《陕西省主体功能区规划》，该河段的管理要求是：</w:t>
      </w:r>
    </w:p>
    <w:p w14:paraId="453A4F1B">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76" w:firstLineChars="200"/>
        <w:textAlignment w:val="auto"/>
        <w:rPr>
          <w:rFonts w:hint="default" w:ascii="Times New Roman" w:hAnsi="Times New Roman" w:cs="Times New Roman"/>
          <w:spacing w:val="-1"/>
          <w:sz w:val="24"/>
          <w:szCs w:val="24"/>
        </w:rPr>
      </w:pPr>
      <w:r>
        <w:rPr>
          <w:rFonts w:hint="default" w:ascii="Times New Roman" w:hAnsi="Times New Roman" w:cs="Times New Roman"/>
          <w:spacing w:val="-1"/>
          <w:sz w:val="24"/>
          <w:szCs w:val="24"/>
        </w:rPr>
        <w:t>①禁止在水产种质资源保护区内新建排污口。</w:t>
      </w:r>
    </w:p>
    <w:p w14:paraId="11EDC3B9">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76" w:firstLineChars="200"/>
        <w:textAlignment w:val="auto"/>
        <w:rPr>
          <w:spacing w:val="-1"/>
          <w:sz w:val="24"/>
          <w:szCs w:val="24"/>
        </w:rPr>
      </w:pPr>
      <w:r>
        <w:rPr>
          <w:rFonts w:hint="default" w:ascii="Times New Roman" w:hAnsi="Times New Roman" w:cs="Times New Roman"/>
          <w:spacing w:val="-1"/>
          <w:sz w:val="24"/>
          <w:szCs w:val="24"/>
        </w:rPr>
        <w:t>②按核心区和试验区分类管理。核心区内严禁从事任何生产建设活动；在实验区内从事水利疏浚航道，建闸筑</w:t>
      </w:r>
      <w:r>
        <w:rPr>
          <w:spacing w:val="-1"/>
          <w:sz w:val="24"/>
          <w:szCs w:val="24"/>
        </w:rPr>
        <w:t>坝、勘探和开采矿产资源、港口等工程建设的，或者在水产种质资源保护区外从事可能损害保护区功能的工程建设活动的，应当按照国家有关规定编制建设项目对水产种质资源保护区的影响评价报告，并将其纳入环境影响评价报告书。</w:t>
      </w:r>
    </w:p>
    <w:p w14:paraId="69BD0CEC">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76" w:firstLineChars="200"/>
        <w:textAlignment w:val="auto"/>
        <w:rPr>
          <w:rFonts w:hint="default"/>
          <w:spacing w:val="-1"/>
          <w:sz w:val="24"/>
          <w:szCs w:val="24"/>
          <w:lang w:val="en-US" w:eastAsia="zh-CN"/>
        </w:rPr>
      </w:pPr>
      <w:r>
        <w:rPr>
          <w:rFonts w:hint="eastAsia"/>
          <w:spacing w:val="-1"/>
          <w:sz w:val="24"/>
          <w:szCs w:val="24"/>
          <w:lang w:val="en-US" w:eastAsia="zh-CN"/>
        </w:rPr>
        <w:t>本项目排水段位于</w:t>
      </w:r>
      <w:r>
        <w:rPr>
          <w:spacing w:val="-1"/>
          <w:sz w:val="24"/>
          <w:szCs w:val="24"/>
        </w:rPr>
        <w:t>千河国家级水产种质资源保护区</w:t>
      </w:r>
      <w:r>
        <w:rPr>
          <w:rFonts w:hint="eastAsia"/>
          <w:spacing w:val="-1"/>
          <w:sz w:val="24"/>
          <w:szCs w:val="24"/>
          <w:lang w:val="en-US" w:eastAsia="zh-CN"/>
        </w:rPr>
        <w:t>核心区，项目与</w:t>
      </w:r>
      <w:r>
        <w:rPr>
          <w:spacing w:val="-1"/>
          <w:sz w:val="24"/>
          <w:szCs w:val="24"/>
        </w:rPr>
        <w:t>相对千河国家级水产种质资源保护区位置见</w:t>
      </w:r>
      <w:r>
        <w:rPr>
          <w:rFonts w:hint="eastAsia"/>
          <w:spacing w:val="-1"/>
          <w:sz w:val="24"/>
          <w:szCs w:val="24"/>
          <w:lang w:val="en-US" w:eastAsia="zh-CN"/>
        </w:rPr>
        <w:t>附图5。</w:t>
      </w:r>
    </w:p>
    <w:p w14:paraId="31E47590">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76" w:firstLineChars="200"/>
        <w:textAlignment w:val="auto"/>
        <w:rPr>
          <w:rFonts w:hint="default" w:ascii="Times New Roman" w:hAnsi="Times New Roman" w:cs="Times New Roman"/>
          <w:spacing w:val="-1"/>
          <w:sz w:val="24"/>
          <w:szCs w:val="24"/>
          <w:lang w:val="en-US" w:eastAsia="zh-CN"/>
        </w:rPr>
      </w:pPr>
      <w:r>
        <w:rPr>
          <w:rFonts w:hint="default" w:ascii="Times New Roman" w:hAnsi="Times New Roman" w:cs="Times New Roman"/>
          <w:spacing w:val="-1"/>
          <w:sz w:val="24"/>
          <w:szCs w:val="24"/>
          <w:lang w:val="en-US" w:eastAsia="zh-CN"/>
        </w:rPr>
        <w:t>（2）千河国家级水产种质资源保护区的影响</w:t>
      </w:r>
    </w:p>
    <w:p w14:paraId="4072D0FA">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76" w:firstLineChars="200"/>
        <w:textAlignment w:val="auto"/>
        <w:rPr>
          <w:rFonts w:hint="default" w:ascii="Times New Roman" w:hAnsi="Times New Roman" w:eastAsia="宋体" w:cs="Times New Roman"/>
          <w:color w:val="auto"/>
          <w:spacing w:val="0"/>
          <w:w w:val="100"/>
          <w:sz w:val="24"/>
          <w:szCs w:val="24"/>
          <w:lang w:val="en-US" w:eastAsia="zh-CN"/>
        </w:rPr>
      </w:pPr>
      <w:r>
        <w:rPr>
          <w:rFonts w:hint="default" w:ascii="Times New Roman" w:hAnsi="Times New Roman" w:cs="Times New Roman"/>
          <w:spacing w:val="-1"/>
          <w:sz w:val="24"/>
          <w:szCs w:val="24"/>
          <w:lang w:val="en-US" w:eastAsia="zh-CN"/>
        </w:rPr>
        <w:t>根据地表水环境影响预测，正常工况下，项目实施后排放口处及下游10.45米处（完全混合断</w:t>
      </w:r>
      <w:r>
        <w:rPr>
          <w:rFonts w:hint="default" w:ascii="Times New Roman" w:hAnsi="Times New Roman" w:eastAsia="宋体" w:cs="Times New Roman"/>
          <w:color w:val="auto"/>
          <w:spacing w:val="0"/>
          <w:w w:val="100"/>
          <w:sz w:val="24"/>
          <w:szCs w:val="24"/>
          <w:lang w:val="en-US" w:eastAsia="zh-CN"/>
        </w:rPr>
        <w:t>面）COD、氨氮、总磷浓度均可达到《地表水环境质量标准》（GB3838-2002）中Ⅲ类水域标准限值，</w:t>
      </w:r>
      <w:r>
        <w:rPr>
          <w:rFonts w:hint="eastAsia" w:ascii="Times New Roman" w:hAnsi="Times New Roman" w:eastAsia="宋体" w:cs="Times New Roman"/>
          <w:color w:val="auto"/>
          <w:spacing w:val="0"/>
          <w:w w:val="100"/>
          <w:sz w:val="24"/>
          <w:szCs w:val="24"/>
          <w:lang w:val="en-US" w:eastAsia="zh-CN"/>
        </w:rPr>
        <w:t>满足水产种质资源水质要求，</w:t>
      </w:r>
      <w:r>
        <w:rPr>
          <w:rFonts w:hint="default" w:ascii="Times New Roman" w:hAnsi="Times New Roman" w:eastAsia="宋体" w:cs="Times New Roman"/>
          <w:color w:val="auto"/>
          <w:spacing w:val="0"/>
          <w:w w:val="100"/>
          <w:sz w:val="24"/>
          <w:szCs w:val="24"/>
          <w:lang w:val="en-US" w:eastAsia="zh-CN"/>
        </w:rPr>
        <w:t>且与现状值相比增加较小，且至下游30米处，经河道消减，项目排水污染物几乎为零。</w:t>
      </w:r>
    </w:p>
    <w:p w14:paraId="0038BA3D">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pacing w:val="-1"/>
          <w:sz w:val="24"/>
          <w:szCs w:val="24"/>
          <w:lang w:val="en-US" w:eastAsia="zh-CN"/>
        </w:rPr>
      </w:pPr>
      <w:r>
        <w:rPr>
          <w:rFonts w:hint="default" w:ascii="Times New Roman" w:hAnsi="Times New Roman" w:eastAsia="宋体" w:cs="Times New Roman"/>
          <w:color w:val="auto"/>
          <w:spacing w:val="0"/>
          <w:w w:val="100"/>
          <w:sz w:val="24"/>
          <w:szCs w:val="24"/>
          <w:lang w:val="en-US" w:eastAsia="zh-CN"/>
        </w:rPr>
        <w:t>项目废水不含重金属、难降解有机污染物等，对保护区水体的污染风险就会大大降低。经河流的降解稀释作用后，水质能较快恢复至纳污前状态，不会对保护区水质产生长期不利影响。</w:t>
      </w:r>
    </w:p>
    <w:p w14:paraId="1AFC9317">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pacing w:val="0"/>
          <w:w w:val="100"/>
          <w:kern w:val="2"/>
          <w:sz w:val="24"/>
          <w:szCs w:val="24"/>
          <w:lang w:val="en-US" w:eastAsia="zh-CN" w:bidi="ar-SA"/>
        </w:rPr>
      </w:pPr>
      <w:r>
        <w:rPr>
          <w:rFonts w:hint="default" w:ascii="Times New Roman" w:hAnsi="Times New Roman" w:eastAsia="宋体" w:cs="Times New Roman"/>
          <w:color w:val="auto"/>
          <w:spacing w:val="0"/>
          <w:w w:val="100"/>
          <w:sz w:val="24"/>
          <w:szCs w:val="24"/>
          <w:lang w:val="en-US" w:eastAsia="zh-CN"/>
        </w:rPr>
        <w:t>因此，实施不会对千河水质产生大的影响，基本不会损害水质种质保护区功能，</w:t>
      </w:r>
      <w:r>
        <w:rPr>
          <w:rFonts w:hint="default" w:ascii="Times New Roman" w:hAnsi="Times New Roman" w:eastAsia="宋体" w:cs="Times New Roman"/>
          <w:b w:val="0"/>
          <w:bCs w:val="0"/>
          <w:color w:val="auto"/>
          <w:spacing w:val="0"/>
          <w:w w:val="100"/>
          <w:sz w:val="24"/>
          <w:szCs w:val="24"/>
          <w:lang w:val="en-US" w:eastAsia="zh-CN"/>
        </w:rPr>
        <w:t>对</w:t>
      </w:r>
      <w:r>
        <w:rPr>
          <w:rFonts w:hint="default" w:ascii="Times New Roman" w:hAnsi="Times New Roman" w:eastAsia="宋体" w:cs="Times New Roman"/>
          <w:b w:val="0"/>
          <w:bCs w:val="0"/>
          <w:color w:val="auto"/>
          <w:spacing w:val="0"/>
          <w:w w:val="100"/>
          <w:kern w:val="2"/>
          <w:sz w:val="24"/>
          <w:szCs w:val="24"/>
          <w:lang w:val="en-US" w:eastAsia="zh-CN" w:bidi="ar-SA"/>
        </w:rPr>
        <w:t>千河国家级水产种质资源保护区的影响较小。</w:t>
      </w:r>
    </w:p>
    <w:p w14:paraId="25B25E97">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4"/>
          <w:szCs w:val="24"/>
          <w:lang w:val="en-US" w:eastAsia="zh-CN" w:bidi="ar-SA"/>
        </w:rPr>
      </w:pPr>
      <w:r>
        <w:rPr>
          <w:rFonts w:hint="eastAsia" w:ascii="Times New Roman" w:hAnsi="Times New Roman" w:eastAsia="宋体" w:cs="Times New Roman"/>
          <w:b/>
          <w:color w:val="auto"/>
          <w:spacing w:val="0"/>
          <w:w w:val="100"/>
          <w:kern w:val="2"/>
          <w:sz w:val="24"/>
          <w:szCs w:val="24"/>
          <w:lang w:val="en-US" w:eastAsia="zh-CN" w:bidi="ar-SA"/>
        </w:rPr>
        <w:t>4.2.3对千河湿地的影响</w:t>
      </w:r>
    </w:p>
    <w:p w14:paraId="0A825791">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pacing w:val="0"/>
          <w:w w:val="100"/>
          <w:kern w:val="2"/>
          <w:sz w:val="24"/>
          <w:szCs w:val="24"/>
          <w:lang w:val="en-US" w:eastAsia="zh-CN" w:bidi="ar-SA"/>
        </w:rPr>
      </w:pPr>
      <w:r>
        <w:rPr>
          <w:rFonts w:hint="default" w:ascii="Times New Roman" w:hAnsi="Times New Roman" w:eastAsia="宋体" w:cs="Times New Roman"/>
          <w:b w:val="0"/>
          <w:bCs w:val="0"/>
          <w:color w:val="auto"/>
          <w:spacing w:val="0"/>
          <w:w w:val="100"/>
          <w:kern w:val="2"/>
          <w:sz w:val="24"/>
          <w:szCs w:val="24"/>
          <w:lang w:val="en-US" w:eastAsia="zh-CN" w:bidi="ar-SA"/>
        </w:rPr>
        <w:t>（1）</w:t>
      </w:r>
      <w:r>
        <w:rPr>
          <w:rFonts w:hint="eastAsia" w:ascii="Times New Roman" w:hAnsi="Times New Roman" w:eastAsia="宋体" w:cs="Times New Roman"/>
          <w:b w:val="0"/>
          <w:bCs w:val="0"/>
          <w:color w:val="auto"/>
          <w:spacing w:val="0"/>
          <w:w w:val="100"/>
          <w:kern w:val="2"/>
          <w:sz w:val="24"/>
          <w:szCs w:val="24"/>
          <w:lang w:val="en-US" w:eastAsia="zh-CN" w:bidi="ar-SA"/>
        </w:rPr>
        <w:t>千河湿地</w:t>
      </w:r>
    </w:p>
    <w:p w14:paraId="430F3A92">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pacing w:val="0"/>
          <w:w w:val="100"/>
          <w:kern w:val="2"/>
          <w:sz w:val="24"/>
          <w:szCs w:val="24"/>
          <w:lang w:val="en-US" w:eastAsia="zh-CN" w:bidi="ar-SA"/>
        </w:rPr>
      </w:pPr>
      <w:r>
        <w:rPr>
          <w:rFonts w:hint="default" w:ascii="Times New Roman" w:hAnsi="Times New Roman" w:eastAsia="宋体" w:cs="Times New Roman"/>
          <w:b w:val="0"/>
          <w:bCs w:val="0"/>
          <w:color w:val="auto"/>
          <w:spacing w:val="0"/>
          <w:w w:val="100"/>
          <w:kern w:val="2"/>
          <w:sz w:val="24"/>
          <w:szCs w:val="24"/>
          <w:lang w:val="en-US" w:eastAsia="zh-CN" w:bidi="ar-SA"/>
        </w:rPr>
        <w:t>千河湿地是在2008年8月6日由陕西省人民政府列入《陕西省重要湿地名录》。千河湿地东至陈仓区桥镇冯家庄村口，西至陕西、甘肃交界处的马鹿河，包括千河河道、河滩、泛洪区及河道两岸500m范围内的人工湿地。含陕西千湖湿地自然保护区和陕西陇县秦岭细鳞鲑省级自然保护区。行政区划上包括陈仓区、千阳县、陇县。</w:t>
      </w:r>
    </w:p>
    <w:p w14:paraId="7CEF7FD8">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76" w:firstLineChars="200"/>
        <w:textAlignment w:val="auto"/>
        <w:rPr>
          <w:rFonts w:hint="default" w:ascii="Times New Roman" w:hAnsi="Times New Roman" w:cs="Times New Roman"/>
          <w:spacing w:val="-1"/>
          <w:sz w:val="24"/>
          <w:szCs w:val="24"/>
          <w:lang w:val="en-US" w:eastAsia="zh-CN"/>
        </w:rPr>
      </w:pPr>
      <w:r>
        <w:rPr>
          <w:rFonts w:hint="default" w:ascii="Times New Roman" w:hAnsi="Times New Roman" w:cs="Times New Roman"/>
          <w:spacing w:val="-1"/>
          <w:sz w:val="24"/>
          <w:szCs w:val="24"/>
          <w:lang w:val="en-US" w:eastAsia="zh-CN"/>
        </w:rPr>
        <w:t>（2）</w:t>
      </w:r>
      <w:r>
        <w:rPr>
          <w:rFonts w:hint="eastAsia" w:ascii="Times New Roman" w:hAnsi="Times New Roman" w:cs="Times New Roman"/>
          <w:spacing w:val="-1"/>
          <w:sz w:val="24"/>
          <w:szCs w:val="24"/>
          <w:lang w:val="en-US" w:eastAsia="zh-CN"/>
        </w:rPr>
        <w:t>对千河湿地</w:t>
      </w:r>
      <w:r>
        <w:rPr>
          <w:rFonts w:hint="default" w:ascii="Times New Roman" w:hAnsi="Times New Roman" w:cs="Times New Roman"/>
          <w:spacing w:val="-1"/>
          <w:sz w:val="24"/>
          <w:szCs w:val="24"/>
          <w:lang w:val="en-US" w:eastAsia="zh-CN"/>
        </w:rPr>
        <w:t>的影响</w:t>
      </w:r>
    </w:p>
    <w:p w14:paraId="0DC10BE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spacing w:val="0"/>
          <w:w w:val="100"/>
          <w:sz w:val="24"/>
          <w:szCs w:val="24"/>
        </w:rPr>
      </w:pPr>
      <w:r>
        <w:rPr>
          <w:rFonts w:hint="eastAsia" w:ascii="Times New Roman" w:hAnsi="Times New Roman" w:eastAsia="宋体" w:cs="Times New Roman"/>
          <w:spacing w:val="0"/>
          <w:w w:val="100"/>
          <w:sz w:val="24"/>
          <w:szCs w:val="24"/>
          <w:lang w:val="en-US" w:eastAsia="zh-CN"/>
        </w:rPr>
        <w:t>本项目排污段</w:t>
      </w:r>
      <w:r>
        <w:rPr>
          <w:rFonts w:hint="default" w:ascii="Times New Roman" w:hAnsi="Times New Roman" w:eastAsia="宋体" w:cs="Times New Roman"/>
          <w:spacing w:val="0"/>
          <w:w w:val="100"/>
          <w:sz w:val="24"/>
          <w:szCs w:val="24"/>
        </w:rPr>
        <w:t>处于千河湿地，依据陕西省人民政府《陕西省湿地保护条例》，该湿地的管理要求是：禁止在湿地范围内从事下列活动：（一）开（围）垦、烧荒；（二）排干自然湿地，永久性截断自然湿地水源；（三）擅自填埋自然湿地，擅自采砂、采石、采矿、取土、挖塘；（四）排放不符合水污染物排放标准的工业</w:t>
      </w:r>
      <w:r>
        <w:rPr>
          <w:rFonts w:hint="default" w:ascii="Times New Roman" w:hAnsi="Times New Roman" w:eastAsia="宋体" w:cs="Times New Roman"/>
          <w:color w:val="auto"/>
          <w:spacing w:val="0"/>
          <w:w w:val="100"/>
          <w:sz w:val="24"/>
          <w:szCs w:val="24"/>
          <w:lang w:val="en-US" w:eastAsia="zh-CN"/>
        </w:rPr>
        <w:t>废水</w:t>
      </w:r>
      <w:r>
        <w:rPr>
          <w:rFonts w:hint="default" w:ascii="Times New Roman" w:hAnsi="Times New Roman" w:eastAsia="宋体" w:cs="Times New Roman"/>
          <w:spacing w:val="0"/>
          <w:w w:val="100"/>
          <w:sz w:val="24"/>
          <w:szCs w:val="24"/>
        </w:rPr>
        <w:t>、生活污水及其他污染湿地的废水、污水，排放有毒有害气体，倾倒、堆放、丢弃、遗撒固体废物，投放可能危害水体、水生生物的化学物品；（五）过度放牧或者滥采野生植物，过度捕捞或者灭绝式捕捞，过度施肥、投药、投放饵料等污染湿地的种植养殖行为；（六）放生外来物种；（七）其他破坏湿地及其生态功能的行为。</w:t>
      </w:r>
    </w:p>
    <w:p w14:paraId="42604A3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spacing w:val="0"/>
          <w:w w:val="100"/>
          <w:sz w:val="24"/>
          <w:szCs w:val="24"/>
        </w:rPr>
      </w:pPr>
      <w:r>
        <w:rPr>
          <w:rFonts w:hint="default" w:ascii="Times New Roman" w:hAnsi="Times New Roman" w:eastAsia="宋体" w:cs="Times New Roman"/>
          <w:spacing w:val="0"/>
          <w:w w:val="100"/>
          <w:sz w:val="24"/>
          <w:szCs w:val="24"/>
        </w:rPr>
        <w:t>本次规划建设项目均不新增污水排放口，生产生活过程中产生的污水预处理达标后经污水管网输送至千河南岸新城污水处理厂进行处理，处理后尾水排入千河。</w:t>
      </w:r>
    </w:p>
    <w:p w14:paraId="3A4B817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auto"/>
          <w:spacing w:val="0"/>
          <w:w w:val="100"/>
          <w:kern w:val="2"/>
          <w:sz w:val="24"/>
          <w:szCs w:val="24"/>
          <w:lang w:val="en-US" w:eastAsia="zh-CN" w:bidi="ar-SA"/>
        </w:rPr>
      </w:pPr>
      <w:r>
        <w:rPr>
          <w:rFonts w:hint="default" w:ascii="Times New Roman" w:hAnsi="Times New Roman" w:eastAsia="宋体" w:cs="Times New Roman"/>
          <w:spacing w:val="0"/>
          <w:w w:val="100"/>
          <w:sz w:val="24"/>
          <w:szCs w:val="24"/>
        </w:rPr>
        <w:t>根据地表水环境影响预测，规划实施后排放口下游COD、氨氮、总磷浓度均可达到《地表水环境质量标准》（GB3838-2002）中Ⅲ类水域标准限值，且与现状值相比增加较小，规划实施不会对千河水质产生大的影响。规划用地不占用湿地范围，且不在湿地内采砂、采石、采矿、取土、挖塘等。</w:t>
      </w:r>
    </w:p>
    <w:p w14:paraId="156C30B6">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4"/>
          <w:szCs w:val="24"/>
          <w:lang w:val="en-US" w:eastAsia="zh-CN" w:bidi="ar-SA"/>
        </w:rPr>
      </w:pPr>
      <w:r>
        <w:rPr>
          <w:rFonts w:hint="default" w:ascii="Times New Roman" w:hAnsi="Times New Roman" w:eastAsia="宋体" w:cs="Times New Roman"/>
          <w:b/>
          <w:color w:val="auto"/>
          <w:spacing w:val="0"/>
          <w:w w:val="100"/>
          <w:kern w:val="2"/>
          <w:sz w:val="24"/>
          <w:szCs w:val="24"/>
          <w:lang w:val="en-US" w:eastAsia="zh-CN" w:bidi="ar-SA"/>
        </w:rPr>
        <w:t>4.2</w:t>
      </w:r>
      <w:r>
        <w:rPr>
          <w:rFonts w:hint="eastAsia" w:ascii="Times New Roman" w:hAnsi="Times New Roman" w:eastAsia="宋体" w:cs="Times New Roman"/>
          <w:b/>
          <w:color w:val="auto"/>
          <w:spacing w:val="0"/>
          <w:w w:val="100"/>
          <w:kern w:val="2"/>
          <w:sz w:val="24"/>
          <w:szCs w:val="24"/>
          <w:lang w:val="en-US" w:eastAsia="zh-CN" w:bidi="ar-SA"/>
        </w:rPr>
        <w:t>.4</w:t>
      </w:r>
      <w:r>
        <w:rPr>
          <w:rFonts w:hint="eastAsia" w:ascii="Times New Roman" w:hAnsi="Times New Roman" w:eastAsia="宋体" w:cs="Times New Roman"/>
          <w:b/>
          <w:color w:val="auto"/>
          <w:spacing w:val="0"/>
          <w:w w:val="100"/>
          <w:kern w:val="2"/>
          <w:sz w:val="24"/>
          <w:szCs w:val="24"/>
          <w:lang w:val="en-GB" w:eastAsia="zh-CN" w:bidi="ar-SA"/>
        </w:rPr>
        <w:t>为防止故事时造成的废水外漏，设置事故水池（调节池兼做事故池）</w:t>
      </w:r>
    </w:p>
    <w:p w14:paraId="7557169C">
      <w:pPr>
        <w:keepNext w:val="0"/>
        <w:keepLines w:val="0"/>
        <w:pageBreakBefore w:val="0"/>
        <w:widowControl w:val="0"/>
        <w:suppressLineNumbers w:val="0"/>
        <w:kinsoku/>
        <w:wordWrap/>
        <w:overflowPunct/>
        <w:topLinePunct w:val="0"/>
        <w:bidi w:val="0"/>
        <w:adjustRightInd w:val="0"/>
        <w:snapToGrid/>
        <w:spacing w:before="0" w:beforeAutospacing="0" w:after="0" w:afterAutospacing="0" w:line="360" w:lineRule="auto"/>
        <w:ind w:left="0" w:right="0" w:firstLine="482"/>
        <w:textAlignment w:val="auto"/>
        <w:rPr>
          <w:rFonts w:hint="default" w:ascii="Times New Roman" w:hAnsi="Times New Roman" w:cs="Times New Roman"/>
          <w:snapToGrid w:val="0"/>
          <w:color w:val="auto"/>
          <w:kern w:val="0"/>
          <w:sz w:val="24"/>
          <w:szCs w:val="24"/>
          <w:highlight w:val="none"/>
          <w:u w:val="none" w:color="auto"/>
          <w:lang w:val="en-US" w:eastAsia="zh-CN"/>
        </w:rPr>
      </w:pPr>
      <w:r>
        <w:rPr>
          <w:rFonts w:hint="default" w:ascii="Times New Roman" w:hAnsi="Times New Roman" w:cs="Times New Roman"/>
          <w:snapToGrid w:val="0"/>
          <w:color w:val="auto"/>
          <w:kern w:val="0"/>
          <w:sz w:val="24"/>
          <w:szCs w:val="24"/>
          <w:highlight w:val="none"/>
          <w:u w:val="none" w:color="auto"/>
          <w:lang w:eastAsia="zh-CN"/>
        </w:rPr>
        <w:t>本项目</w:t>
      </w:r>
      <w:r>
        <w:rPr>
          <w:rFonts w:hint="eastAsia" w:ascii="Times New Roman" w:hAnsi="Times New Roman" w:cs="Times New Roman"/>
          <w:snapToGrid w:val="0"/>
          <w:color w:val="auto"/>
          <w:kern w:val="0"/>
          <w:sz w:val="24"/>
          <w:szCs w:val="24"/>
          <w:highlight w:val="none"/>
          <w:u w:val="none" w:color="auto"/>
          <w:lang w:val="en-US" w:eastAsia="zh-CN"/>
        </w:rPr>
        <w:t>工</w:t>
      </w:r>
      <w:r>
        <w:rPr>
          <w:rFonts w:hint="default" w:ascii="Times New Roman" w:hAnsi="Times New Roman" w:cs="Times New Roman"/>
          <w:snapToGrid w:val="0"/>
          <w:color w:val="auto"/>
          <w:kern w:val="0"/>
          <w:sz w:val="24"/>
          <w:szCs w:val="24"/>
          <w:highlight w:val="none"/>
          <w:u w:val="none" w:color="auto"/>
          <w:lang w:val="en-US" w:eastAsia="zh-CN"/>
        </w:rPr>
        <w:t>艺系统事故排水：由排水管网引入本工程进水总管，经调节池暂存后经污水处理系统处理</w:t>
      </w:r>
      <w:r>
        <w:rPr>
          <w:rFonts w:hint="eastAsia" w:ascii="Times New Roman" w:hAnsi="Times New Roman" w:cs="Times New Roman"/>
          <w:snapToGrid w:val="0"/>
          <w:color w:val="auto"/>
          <w:kern w:val="0"/>
          <w:sz w:val="24"/>
          <w:szCs w:val="24"/>
          <w:highlight w:val="none"/>
          <w:u w:val="none" w:color="auto"/>
          <w:lang w:val="en-US" w:eastAsia="zh-CN"/>
        </w:rPr>
        <w:t>。</w:t>
      </w:r>
    </w:p>
    <w:p w14:paraId="068FF332">
      <w:pPr>
        <w:keepNext w:val="0"/>
        <w:keepLines w:val="0"/>
        <w:pageBreakBefore w:val="0"/>
        <w:widowControl w:val="0"/>
        <w:suppressLineNumbers w:val="0"/>
        <w:kinsoku/>
        <w:wordWrap/>
        <w:overflowPunct/>
        <w:topLinePunct w:val="0"/>
        <w:bidi w:val="0"/>
        <w:adjustRightInd w:val="0"/>
        <w:snapToGrid/>
        <w:spacing w:before="0" w:beforeAutospacing="0" w:after="0" w:afterAutospacing="0" w:line="360" w:lineRule="auto"/>
        <w:ind w:left="0" w:right="0" w:firstLine="482"/>
        <w:textAlignment w:val="auto"/>
        <w:rPr>
          <w:rFonts w:hint="default" w:ascii="Times New Roman" w:hAnsi="Times New Roman" w:cs="Times New Roman"/>
          <w:iCs/>
          <w:snapToGrid w:val="0"/>
          <w:color w:val="auto"/>
          <w:kern w:val="0"/>
          <w:sz w:val="24"/>
          <w:szCs w:val="24"/>
          <w:highlight w:val="none"/>
          <w:u w:val="none" w:color="auto"/>
        </w:rPr>
      </w:pPr>
      <w:r>
        <w:rPr>
          <w:rFonts w:hint="default" w:ascii="Times New Roman" w:hAnsi="Times New Roman" w:cs="Times New Roman"/>
          <w:iCs/>
          <w:snapToGrid w:val="0"/>
          <w:color w:val="auto"/>
          <w:kern w:val="0"/>
          <w:sz w:val="24"/>
          <w:szCs w:val="24"/>
          <w:highlight w:val="none"/>
          <w:u w:val="none" w:color="auto"/>
          <w:lang w:eastAsia="zh-CN"/>
        </w:rPr>
        <w:t>本</w:t>
      </w:r>
      <w:r>
        <w:rPr>
          <w:rFonts w:hint="default" w:ascii="Times New Roman" w:hAnsi="Times New Roman" w:cs="Times New Roman"/>
          <w:iCs/>
          <w:snapToGrid w:val="0"/>
          <w:color w:val="auto"/>
          <w:kern w:val="0"/>
          <w:sz w:val="24"/>
          <w:szCs w:val="24"/>
          <w:highlight w:val="none"/>
          <w:u w:val="none" w:color="auto"/>
        </w:rPr>
        <w:t>项目</w:t>
      </w:r>
      <w:r>
        <w:rPr>
          <w:rFonts w:hint="default" w:ascii="Times New Roman" w:hAnsi="Times New Roman" w:cs="Times New Roman"/>
          <w:iCs/>
          <w:snapToGrid w:val="0"/>
          <w:color w:val="auto"/>
          <w:kern w:val="0"/>
          <w:sz w:val="24"/>
          <w:szCs w:val="24"/>
          <w:highlight w:val="none"/>
          <w:u w:val="none" w:color="auto"/>
          <w:lang w:eastAsia="zh-CN"/>
        </w:rPr>
        <w:t>为城镇污水处理厂项目，事故时造成的污水</w:t>
      </w:r>
      <w:r>
        <w:rPr>
          <w:rFonts w:hint="eastAsia" w:ascii="Times New Roman" w:hAnsi="Times New Roman" w:cs="Times New Roman"/>
          <w:iCs/>
          <w:snapToGrid w:val="0"/>
          <w:color w:val="auto"/>
          <w:kern w:val="0"/>
          <w:sz w:val="24"/>
          <w:szCs w:val="24"/>
          <w:highlight w:val="none"/>
          <w:u w:val="none" w:color="auto"/>
          <w:lang w:eastAsia="zh-CN"/>
        </w:rPr>
        <w:t>未</w:t>
      </w:r>
      <w:r>
        <w:rPr>
          <w:rFonts w:hint="default" w:ascii="Times New Roman" w:hAnsi="Times New Roman" w:cs="Times New Roman"/>
          <w:iCs/>
          <w:snapToGrid w:val="0"/>
          <w:color w:val="auto"/>
          <w:kern w:val="0"/>
          <w:sz w:val="24"/>
          <w:szCs w:val="24"/>
          <w:highlight w:val="none"/>
          <w:u w:val="none" w:color="auto"/>
          <w:lang w:eastAsia="zh-CN"/>
        </w:rPr>
        <w:t>经处理直接排放，因此项目污水事故废水按</w:t>
      </w:r>
      <w:r>
        <w:rPr>
          <w:rFonts w:hint="default" w:ascii="Times New Roman" w:hAnsi="Times New Roman" w:cs="Times New Roman"/>
          <w:iCs/>
          <w:snapToGrid w:val="0"/>
          <w:color w:val="auto"/>
          <w:kern w:val="0"/>
          <w:sz w:val="24"/>
          <w:szCs w:val="24"/>
          <w:highlight w:val="none"/>
          <w:u w:val="none" w:color="auto"/>
          <w:lang w:val="en-US" w:eastAsia="zh-CN"/>
        </w:rPr>
        <w:t>4h</w:t>
      </w:r>
      <w:r>
        <w:rPr>
          <w:rFonts w:hint="default" w:ascii="Times New Roman" w:hAnsi="Times New Roman" w:cs="Times New Roman"/>
          <w:iCs/>
          <w:snapToGrid w:val="0"/>
          <w:color w:val="auto"/>
          <w:kern w:val="0"/>
          <w:sz w:val="24"/>
          <w:szCs w:val="24"/>
          <w:highlight w:val="none"/>
          <w:u w:val="none" w:color="auto"/>
          <w:lang w:eastAsia="zh-CN"/>
        </w:rPr>
        <w:t>计算，处理水量为</w:t>
      </w:r>
      <w:r>
        <w:rPr>
          <w:rFonts w:hint="eastAsia" w:ascii="Times New Roman" w:hAnsi="Times New Roman" w:cs="Times New Roman"/>
          <w:iCs/>
          <w:snapToGrid w:val="0"/>
          <w:color w:val="auto"/>
          <w:kern w:val="0"/>
          <w:sz w:val="24"/>
          <w:szCs w:val="24"/>
          <w:highlight w:val="none"/>
          <w:u w:val="none" w:color="auto"/>
          <w:lang w:val="en-US" w:eastAsia="zh-CN"/>
        </w:rPr>
        <w:t>2000m</w:t>
      </w:r>
      <w:r>
        <w:rPr>
          <w:rFonts w:hint="default" w:ascii="Times New Roman" w:hAnsi="Times New Roman" w:cs="Times New Roman"/>
          <w:iCs/>
          <w:snapToGrid w:val="0"/>
          <w:color w:val="auto"/>
          <w:kern w:val="0"/>
          <w:sz w:val="24"/>
          <w:szCs w:val="24"/>
          <w:highlight w:val="none"/>
          <w:u w:val="none" w:color="auto"/>
          <w:vertAlign w:val="superscript"/>
        </w:rPr>
        <w:t>3</w:t>
      </w:r>
      <w:r>
        <w:rPr>
          <w:rFonts w:hint="default" w:ascii="Times New Roman" w:hAnsi="Times New Roman" w:cs="Times New Roman"/>
          <w:iCs/>
          <w:snapToGrid w:val="0"/>
          <w:color w:val="auto"/>
          <w:kern w:val="0"/>
          <w:sz w:val="24"/>
          <w:szCs w:val="24"/>
          <w:highlight w:val="none"/>
          <w:u w:val="none" w:color="auto"/>
          <w:vertAlign w:val="baseline"/>
          <w:lang w:val="en-US" w:eastAsia="zh-CN"/>
        </w:rPr>
        <w:t>/d，</w:t>
      </w:r>
      <w:r>
        <w:rPr>
          <w:rFonts w:hint="default" w:ascii="Times New Roman" w:hAnsi="Times New Roman" w:cs="Times New Roman"/>
          <w:iCs/>
          <w:snapToGrid w:val="0"/>
          <w:color w:val="auto"/>
          <w:kern w:val="0"/>
          <w:sz w:val="24"/>
          <w:szCs w:val="24"/>
          <w:highlight w:val="none"/>
          <w:u w:val="none" w:color="auto"/>
        </w:rPr>
        <w:t>故</w:t>
      </w:r>
      <w:r>
        <w:rPr>
          <w:rFonts w:hint="eastAsia" w:ascii="Times New Roman" w:hAnsi="Times New Roman" w:cs="Times New Roman"/>
          <w:iCs/>
          <w:snapToGrid w:val="0"/>
          <w:color w:val="auto"/>
          <w:kern w:val="0"/>
          <w:sz w:val="24"/>
          <w:szCs w:val="24"/>
          <w:highlight w:val="none"/>
          <w:u w:val="none" w:color="auto"/>
          <w:lang w:eastAsia="zh-CN"/>
        </w:rPr>
        <w:t>事故时事故池容量</w:t>
      </w:r>
      <w:r>
        <w:rPr>
          <w:rFonts w:hint="default" w:ascii="Times New Roman" w:hAnsi="Times New Roman" w:cs="Times New Roman"/>
          <w:iCs/>
          <w:snapToGrid w:val="0"/>
          <w:color w:val="auto"/>
          <w:kern w:val="0"/>
          <w:sz w:val="24"/>
          <w:szCs w:val="24"/>
          <w:highlight w:val="none"/>
          <w:u w:val="none" w:color="auto"/>
        </w:rPr>
        <w:t>为</w:t>
      </w:r>
      <w:r>
        <w:rPr>
          <w:rFonts w:hint="eastAsia" w:ascii="Times New Roman" w:hAnsi="Times New Roman" w:cs="Times New Roman"/>
          <w:iCs/>
          <w:snapToGrid w:val="0"/>
          <w:color w:val="auto"/>
          <w:kern w:val="0"/>
          <w:sz w:val="24"/>
          <w:szCs w:val="24"/>
          <w:highlight w:val="none"/>
          <w:u w:val="none" w:color="auto"/>
          <w:lang w:val="en-US" w:eastAsia="zh-CN"/>
        </w:rPr>
        <w:t>3</w:t>
      </w:r>
      <w:r>
        <w:rPr>
          <w:rFonts w:hint="default" w:ascii="Times New Roman" w:hAnsi="Times New Roman" w:cs="Times New Roman"/>
          <w:iCs/>
          <w:snapToGrid w:val="0"/>
          <w:color w:val="auto"/>
          <w:kern w:val="0"/>
          <w:sz w:val="24"/>
          <w:szCs w:val="24"/>
          <w:highlight w:val="none"/>
          <w:u w:val="none" w:color="auto"/>
          <w:lang w:val="en-US" w:eastAsia="zh-CN"/>
        </w:rPr>
        <w:t>33.3</w:t>
      </w:r>
      <w:r>
        <w:rPr>
          <w:rFonts w:hint="default" w:ascii="Times New Roman" w:hAnsi="Times New Roman" w:cs="Times New Roman"/>
          <w:iCs/>
          <w:snapToGrid w:val="0"/>
          <w:color w:val="auto"/>
          <w:kern w:val="0"/>
          <w:sz w:val="24"/>
          <w:szCs w:val="24"/>
          <w:highlight w:val="none"/>
          <w:u w:val="none" w:color="auto"/>
        </w:rPr>
        <w:t>m</w:t>
      </w:r>
      <w:r>
        <w:rPr>
          <w:rFonts w:hint="default" w:ascii="Times New Roman" w:hAnsi="Times New Roman" w:cs="Times New Roman"/>
          <w:iCs/>
          <w:snapToGrid w:val="0"/>
          <w:color w:val="auto"/>
          <w:kern w:val="0"/>
          <w:sz w:val="24"/>
          <w:szCs w:val="24"/>
          <w:highlight w:val="none"/>
          <w:u w:val="none" w:color="auto"/>
          <w:vertAlign w:val="superscript"/>
        </w:rPr>
        <w:t>3</w:t>
      </w:r>
      <w:r>
        <w:rPr>
          <w:rFonts w:hint="default" w:ascii="Times New Roman" w:hAnsi="Times New Roman" w:cs="Times New Roman"/>
          <w:iCs/>
          <w:snapToGrid w:val="0"/>
          <w:color w:val="auto"/>
          <w:kern w:val="0"/>
          <w:sz w:val="24"/>
          <w:szCs w:val="24"/>
          <w:highlight w:val="none"/>
          <w:u w:val="none" w:color="auto"/>
        </w:rPr>
        <w:t>。</w:t>
      </w:r>
    </w:p>
    <w:p w14:paraId="2B536908">
      <w:pPr>
        <w:keepNext w:val="0"/>
        <w:keepLines w:val="0"/>
        <w:pageBreakBefore w:val="0"/>
        <w:widowControl w:val="0"/>
        <w:suppressLineNumbers w:val="0"/>
        <w:kinsoku/>
        <w:wordWrap/>
        <w:overflowPunct/>
        <w:topLinePunct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cs="Times New Roman"/>
          <w:snapToGrid w:val="0"/>
          <w:color w:val="auto"/>
          <w:kern w:val="0"/>
          <w:sz w:val="24"/>
          <w:szCs w:val="24"/>
          <w:highlight w:val="none"/>
          <w:u w:val="none" w:color="auto"/>
        </w:rPr>
      </w:pPr>
      <w:r>
        <w:rPr>
          <w:rFonts w:hint="default" w:ascii="Times New Roman" w:hAnsi="Times New Roman" w:cs="Times New Roman"/>
          <w:snapToGrid w:val="0"/>
          <w:color w:val="auto"/>
          <w:kern w:val="0"/>
          <w:sz w:val="24"/>
          <w:szCs w:val="24"/>
          <w:highlight w:val="none"/>
          <w:u w:val="none" w:color="auto"/>
        </w:rPr>
        <w:t>经计算，应急事故废水最大量为</w:t>
      </w:r>
      <w:r>
        <w:rPr>
          <w:rFonts w:hint="eastAsia" w:ascii="Times New Roman" w:hAnsi="Times New Roman" w:cs="Times New Roman"/>
          <w:snapToGrid w:val="0"/>
          <w:color w:val="auto"/>
          <w:kern w:val="0"/>
          <w:sz w:val="24"/>
          <w:szCs w:val="24"/>
          <w:highlight w:val="none"/>
          <w:u w:val="none" w:color="auto"/>
          <w:lang w:val="en-US" w:eastAsia="zh-CN"/>
        </w:rPr>
        <w:t>333.3</w:t>
      </w:r>
      <w:r>
        <w:rPr>
          <w:rFonts w:hint="default" w:ascii="Times New Roman" w:hAnsi="Times New Roman" w:cs="Times New Roman"/>
          <w:snapToGrid w:val="0"/>
          <w:color w:val="auto"/>
          <w:kern w:val="0"/>
          <w:sz w:val="24"/>
          <w:szCs w:val="24"/>
          <w:highlight w:val="none"/>
          <w:u w:val="none" w:color="auto"/>
        </w:rPr>
        <w:t>m</w:t>
      </w:r>
      <w:r>
        <w:rPr>
          <w:rFonts w:hint="default" w:ascii="Times New Roman" w:hAnsi="Times New Roman" w:cs="Times New Roman"/>
          <w:snapToGrid w:val="0"/>
          <w:color w:val="auto"/>
          <w:kern w:val="0"/>
          <w:sz w:val="24"/>
          <w:szCs w:val="24"/>
          <w:highlight w:val="none"/>
          <w:u w:val="none" w:color="auto"/>
          <w:vertAlign w:val="superscript"/>
        </w:rPr>
        <w:t>3</w:t>
      </w:r>
      <w:r>
        <w:rPr>
          <w:rFonts w:hint="default" w:ascii="Times New Roman" w:hAnsi="Times New Roman" w:cs="Times New Roman"/>
          <w:snapToGrid w:val="0"/>
          <w:color w:val="auto"/>
          <w:kern w:val="0"/>
          <w:sz w:val="24"/>
          <w:szCs w:val="24"/>
          <w:highlight w:val="none"/>
          <w:u w:val="none" w:color="auto"/>
        </w:rPr>
        <w:t>，</w:t>
      </w:r>
      <w:r>
        <w:rPr>
          <w:rFonts w:hint="eastAsia" w:ascii="Times New Roman" w:hAnsi="Times New Roman" w:cs="Times New Roman"/>
          <w:snapToGrid w:val="0"/>
          <w:color w:val="auto"/>
          <w:kern w:val="0"/>
          <w:sz w:val="24"/>
          <w:szCs w:val="24"/>
          <w:highlight w:val="none"/>
          <w:u w:val="none" w:color="auto"/>
          <w:lang w:eastAsia="zh-CN"/>
        </w:rPr>
        <w:t>本项目</w:t>
      </w:r>
      <w:r>
        <w:rPr>
          <w:rFonts w:hint="default" w:ascii="Times New Roman" w:hAnsi="Times New Roman" w:cs="Times New Roman"/>
          <w:snapToGrid w:val="0"/>
          <w:color w:val="auto"/>
          <w:kern w:val="0"/>
          <w:sz w:val="24"/>
          <w:szCs w:val="24"/>
          <w:highlight w:val="none"/>
          <w:u w:val="none" w:color="auto"/>
        </w:rPr>
        <w:t>拟建</w:t>
      </w:r>
      <w:r>
        <w:rPr>
          <w:rFonts w:hint="eastAsia" w:ascii="Times New Roman" w:hAnsi="Times New Roman" w:cs="Times New Roman"/>
          <w:snapToGrid w:val="0"/>
          <w:color w:val="auto"/>
          <w:kern w:val="0"/>
          <w:sz w:val="24"/>
          <w:szCs w:val="24"/>
          <w:highlight w:val="none"/>
          <w:u w:val="none" w:color="auto"/>
          <w:lang w:eastAsia="zh-CN"/>
        </w:rPr>
        <w:t>调节池容积为</w:t>
      </w:r>
      <w:r>
        <w:rPr>
          <w:rFonts w:hint="eastAsia" w:ascii="Times New Roman" w:hAnsi="Times New Roman" w:eastAsia="宋体" w:cs="Times New Roman"/>
          <w:color w:val="auto"/>
          <w:spacing w:val="0"/>
          <w:w w:val="100"/>
          <w:sz w:val="24"/>
          <w:szCs w:val="24"/>
          <w:lang w:val="en-US" w:eastAsia="zh-CN"/>
        </w:rPr>
        <w:t>575</w:t>
      </w:r>
      <w:r>
        <w:rPr>
          <w:rFonts w:hint="default" w:ascii="Times New Roman" w:hAnsi="Times New Roman" w:eastAsia="宋体" w:cs="Times New Roman"/>
          <w:color w:val="auto"/>
          <w:spacing w:val="0"/>
          <w:w w:val="100"/>
          <w:sz w:val="24"/>
          <w:szCs w:val="24"/>
        </w:rPr>
        <w:t>m</w:t>
      </w:r>
      <w:r>
        <w:rPr>
          <w:rFonts w:hint="default" w:ascii="Times New Roman" w:hAnsi="Times New Roman" w:eastAsia="宋体" w:cs="Times New Roman"/>
          <w:color w:val="auto"/>
          <w:spacing w:val="0"/>
          <w:w w:val="100"/>
          <w:sz w:val="24"/>
          <w:szCs w:val="24"/>
          <w:vertAlign w:val="superscript"/>
        </w:rPr>
        <w:t>3</w:t>
      </w:r>
      <w:r>
        <w:rPr>
          <w:rFonts w:hint="eastAsia" w:ascii="Times New Roman" w:hAnsi="Times New Roman" w:cs="Times New Roman"/>
          <w:snapToGrid w:val="0"/>
          <w:color w:val="auto"/>
          <w:kern w:val="0"/>
          <w:sz w:val="24"/>
          <w:szCs w:val="24"/>
          <w:highlight w:val="none"/>
          <w:u w:val="none" w:color="auto"/>
          <w:lang w:eastAsia="zh-CN"/>
        </w:rPr>
        <w:t>，</w:t>
      </w:r>
      <w:r>
        <w:rPr>
          <w:rFonts w:hint="default" w:ascii="Times New Roman" w:hAnsi="Times New Roman" w:cs="Times New Roman"/>
          <w:snapToGrid w:val="0"/>
          <w:color w:val="auto"/>
          <w:kern w:val="0"/>
          <w:sz w:val="24"/>
          <w:szCs w:val="24"/>
          <w:highlight w:val="none"/>
          <w:u w:val="none" w:color="auto"/>
        </w:rPr>
        <w:t>根据计算结果，确定项目</w:t>
      </w:r>
      <w:r>
        <w:rPr>
          <w:rFonts w:hint="eastAsia" w:ascii="Times New Roman" w:hAnsi="Times New Roman" w:cs="Times New Roman"/>
          <w:snapToGrid w:val="0"/>
          <w:color w:val="auto"/>
          <w:kern w:val="0"/>
          <w:sz w:val="24"/>
          <w:szCs w:val="24"/>
          <w:highlight w:val="none"/>
          <w:u w:val="none" w:color="auto"/>
          <w:lang w:eastAsia="zh-CN"/>
        </w:rPr>
        <w:t>调节池</w:t>
      </w:r>
      <w:r>
        <w:rPr>
          <w:rFonts w:hint="default" w:ascii="Times New Roman" w:hAnsi="Times New Roman" w:cs="Times New Roman"/>
          <w:snapToGrid w:val="0"/>
          <w:color w:val="auto"/>
          <w:kern w:val="0"/>
          <w:sz w:val="24"/>
          <w:szCs w:val="24"/>
          <w:highlight w:val="none"/>
          <w:u w:val="none" w:color="auto"/>
        </w:rPr>
        <w:t>可满足项目</w:t>
      </w:r>
      <w:r>
        <w:rPr>
          <w:rFonts w:hint="eastAsia" w:ascii="Times New Roman" w:hAnsi="Times New Roman" w:cs="Times New Roman"/>
          <w:snapToGrid w:val="0"/>
          <w:color w:val="auto"/>
          <w:kern w:val="0"/>
          <w:sz w:val="24"/>
          <w:szCs w:val="24"/>
          <w:highlight w:val="none"/>
          <w:u w:val="none" w:color="auto"/>
          <w:lang w:eastAsia="zh-CN"/>
        </w:rPr>
        <w:t>事故应急</w:t>
      </w:r>
      <w:r>
        <w:rPr>
          <w:rFonts w:hint="default" w:ascii="Times New Roman" w:hAnsi="Times New Roman" w:cs="Times New Roman"/>
          <w:snapToGrid w:val="0"/>
          <w:color w:val="auto"/>
          <w:kern w:val="0"/>
          <w:sz w:val="24"/>
          <w:szCs w:val="24"/>
          <w:highlight w:val="none"/>
          <w:u w:val="none" w:color="auto"/>
        </w:rPr>
        <w:t>需求</w:t>
      </w:r>
      <w:r>
        <w:rPr>
          <w:rFonts w:hint="eastAsia" w:ascii="Times New Roman" w:hAnsi="Times New Roman" w:cs="Times New Roman"/>
          <w:snapToGrid w:val="0"/>
          <w:color w:val="auto"/>
          <w:kern w:val="0"/>
          <w:sz w:val="24"/>
          <w:szCs w:val="24"/>
          <w:highlight w:val="none"/>
          <w:u w:val="none" w:color="auto"/>
          <w:lang w:eastAsia="zh-CN"/>
        </w:rPr>
        <w:t>，</w:t>
      </w:r>
      <w:r>
        <w:rPr>
          <w:rFonts w:hint="eastAsia" w:ascii="Times New Roman" w:hAnsi="Times New Roman" w:cs="Times New Roman"/>
          <w:snapToGrid w:val="0"/>
          <w:color w:val="auto"/>
          <w:kern w:val="0"/>
          <w:sz w:val="24"/>
          <w:szCs w:val="24"/>
          <w:highlight w:val="none"/>
          <w:u w:val="none" w:color="auto"/>
          <w:lang w:val="en-US" w:eastAsia="zh-CN"/>
        </w:rPr>
        <w:t>不会造成非正常排放的产生</w:t>
      </w:r>
      <w:r>
        <w:rPr>
          <w:rFonts w:hint="default" w:ascii="Times New Roman" w:hAnsi="Times New Roman" w:cs="Times New Roman"/>
          <w:snapToGrid w:val="0"/>
          <w:color w:val="auto"/>
          <w:kern w:val="0"/>
          <w:sz w:val="24"/>
          <w:szCs w:val="24"/>
          <w:highlight w:val="none"/>
          <w:u w:val="none" w:color="auto"/>
        </w:rPr>
        <w:t>。</w:t>
      </w:r>
    </w:p>
    <w:p w14:paraId="6D692019">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4"/>
          <w:szCs w:val="24"/>
          <w:lang w:val="en-US" w:eastAsia="zh-CN" w:bidi="ar-SA"/>
        </w:rPr>
      </w:pPr>
      <w:r>
        <w:rPr>
          <w:rFonts w:hint="default" w:ascii="Times New Roman" w:hAnsi="Times New Roman" w:eastAsia="宋体" w:cs="Times New Roman"/>
          <w:b/>
          <w:color w:val="auto"/>
          <w:spacing w:val="0"/>
          <w:w w:val="100"/>
          <w:kern w:val="2"/>
          <w:sz w:val="24"/>
          <w:szCs w:val="24"/>
          <w:lang w:val="en-US" w:eastAsia="zh-CN" w:bidi="ar-SA"/>
        </w:rPr>
        <w:t>4.2</w:t>
      </w:r>
      <w:r>
        <w:rPr>
          <w:rFonts w:hint="eastAsia" w:ascii="Times New Roman" w:hAnsi="Times New Roman" w:eastAsia="宋体" w:cs="Times New Roman"/>
          <w:b/>
          <w:color w:val="auto"/>
          <w:spacing w:val="0"/>
          <w:w w:val="100"/>
          <w:kern w:val="2"/>
          <w:sz w:val="24"/>
          <w:szCs w:val="24"/>
          <w:lang w:val="en-US" w:eastAsia="zh-CN" w:bidi="ar-SA"/>
        </w:rPr>
        <w:t>.5</w:t>
      </w:r>
      <w:r>
        <w:rPr>
          <w:rFonts w:hint="default" w:ascii="Times New Roman" w:hAnsi="Times New Roman" w:eastAsia="宋体" w:cs="Times New Roman"/>
          <w:b/>
          <w:color w:val="auto"/>
          <w:spacing w:val="0"/>
          <w:w w:val="100"/>
          <w:kern w:val="2"/>
          <w:sz w:val="24"/>
          <w:szCs w:val="24"/>
          <w:lang w:val="en-GB" w:eastAsia="zh-CN" w:bidi="ar-SA"/>
        </w:rPr>
        <w:t>防范措施</w:t>
      </w:r>
    </w:p>
    <w:p w14:paraId="7E1E6745">
      <w:pPr>
        <w:spacing w:line="360" w:lineRule="auto"/>
        <w:ind w:firstLine="480" w:firstLineChars="200"/>
        <w:rPr>
          <w:rFonts w:hint="eastAsia" w:ascii="Times New Roman" w:hAnsi="Times New Roman" w:eastAsia="宋体" w:cs="Times New Roman"/>
          <w:color w:val="auto"/>
          <w:spacing w:val="0"/>
          <w:w w:val="100"/>
          <w:sz w:val="24"/>
          <w:szCs w:val="24"/>
          <w:lang w:val="en-US" w:eastAsia="zh-CN"/>
        </w:rPr>
      </w:pPr>
      <w:r>
        <w:rPr>
          <w:rFonts w:hint="eastAsia" w:ascii="Times New Roman" w:hAnsi="Times New Roman" w:eastAsia="宋体" w:cs="Times New Roman"/>
          <w:color w:val="auto"/>
          <w:spacing w:val="0"/>
          <w:w w:val="100"/>
          <w:sz w:val="24"/>
          <w:szCs w:val="24"/>
          <w:lang w:val="en-US" w:eastAsia="zh-CN"/>
        </w:rPr>
        <w:t>1、日常防范措施</w:t>
      </w:r>
    </w:p>
    <w:p w14:paraId="46CB6EF6">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本次环评建议企业采取以下防范措施：</w:t>
      </w:r>
    </w:p>
    <w:p w14:paraId="6E1F98A2">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（1）拟建项目应严格设计，采用单系列运行原则，以保证日后正常运营，即如果一个处理系列出现问题，则将其负责处理的水量均匀分配到其他几个处理系列进行处理。</w:t>
      </w:r>
    </w:p>
    <w:p w14:paraId="2E11C7E3">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（2）选用性能可靠的设备，关键设备应有备机，加强设备、设施的维护和管理。</w:t>
      </w:r>
    </w:p>
    <w:p w14:paraId="60FFA248">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（3）电源双回路供电；加强电站管理，保证供电设施及线路正常运行。</w:t>
      </w:r>
    </w:p>
    <w:p w14:paraId="1C507C4D">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（4）如一旦出现不可抗拒的外部原因，如双回路停电，突发性自然灾害等情况将导致污水未处理外排时，应要求接管工厂部分或全部停止向管道排污，以确保水体功能安全。</w:t>
      </w:r>
    </w:p>
    <w:p w14:paraId="50542291">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（5）力争保证格栅和沉砂池正常运行，使进水中SS和COD得到一定的削减。</w:t>
      </w:r>
    </w:p>
    <w:p w14:paraId="7DAEF503">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（6）加强对提升泵站设备的维护及管理，保证泵站供电</w:t>
      </w:r>
      <w:r>
        <w:rPr>
          <w:rFonts w:hint="eastAsia" w:ascii="Times New Roman" w:hAnsi="Times New Roman" w:eastAsia="宋体" w:cs="Times New Roman"/>
          <w:color w:val="auto"/>
          <w:spacing w:val="0"/>
          <w:w w:val="100"/>
          <w:sz w:val="24"/>
          <w:szCs w:val="24"/>
          <w:lang w:val="en-GB" w:eastAsia="zh-CN"/>
        </w:rPr>
        <w:t>设施</w:t>
      </w:r>
      <w:r>
        <w:rPr>
          <w:rFonts w:hint="default" w:ascii="Times New Roman" w:hAnsi="Times New Roman" w:eastAsia="宋体" w:cs="Times New Roman"/>
          <w:color w:val="auto"/>
          <w:spacing w:val="0"/>
          <w:w w:val="100"/>
          <w:sz w:val="24"/>
          <w:szCs w:val="24"/>
          <w:lang w:val="en-GB" w:eastAsia="zh-CN"/>
        </w:rPr>
        <w:t>的稳定，对于备用发电机要定期保养。</w:t>
      </w:r>
    </w:p>
    <w:p w14:paraId="37F6EFAE">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（7）建立污水处理厂运行管理和操作责任制度</w:t>
      </w:r>
      <w:r>
        <w:rPr>
          <w:rFonts w:hint="eastAsia" w:ascii="Times New Roman" w:hAnsi="Times New Roman" w:eastAsia="宋体" w:cs="Times New Roman"/>
          <w:color w:val="auto"/>
          <w:spacing w:val="0"/>
          <w:w w:val="100"/>
          <w:sz w:val="24"/>
          <w:szCs w:val="24"/>
          <w:lang w:val="en-GB" w:eastAsia="zh-CN"/>
        </w:rPr>
        <w:t>，</w:t>
      </w:r>
      <w:r>
        <w:rPr>
          <w:rFonts w:hint="default" w:ascii="Times New Roman" w:hAnsi="Times New Roman" w:eastAsia="宋体" w:cs="Times New Roman"/>
          <w:color w:val="auto"/>
          <w:spacing w:val="0"/>
          <w:w w:val="100"/>
          <w:sz w:val="24"/>
          <w:szCs w:val="24"/>
          <w:lang w:val="en-GB" w:eastAsia="zh-CN"/>
        </w:rPr>
        <w:t>搞好员工培训，建立技术考核档案，不合格者不得上岗。</w:t>
      </w:r>
    </w:p>
    <w:p w14:paraId="590F24CA">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（8）加强对污水处理厂日常管理，加强生产中的监测，避免或减少污泥膨胀发生。</w:t>
      </w:r>
    </w:p>
    <w:p w14:paraId="009534BB">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default" w:ascii="Times New Roman" w:hAnsi="Times New Roman" w:eastAsia="宋体" w:cs="Times New Roman"/>
          <w:color w:val="auto"/>
          <w:spacing w:val="0"/>
          <w:w w:val="100"/>
          <w:sz w:val="24"/>
          <w:szCs w:val="24"/>
          <w:lang w:val="en-GB" w:eastAsia="zh-CN"/>
        </w:rPr>
        <w:t>（9）加强与重点污染源的联系，及时获知其可能的超标排放和事故排放的信息，并针对实际情况调整污水处理厂运行参数，确保尾水达标排放。</w:t>
      </w:r>
    </w:p>
    <w:p w14:paraId="20D8BCF6">
      <w:pPr>
        <w:spacing w:line="360" w:lineRule="auto"/>
        <w:ind w:firstLine="480" w:firstLineChars="200"/>
        <w:rPr>
          <w:rFonts w:hint="default" w:ascii="Times New Roman" w:hAnsi="Times New Roman" w:eastAsia="宋体" w:cs="Times New Roman"/>
          <w:b w:val="0"/>
          <w:bCs w:val="0"/>
          <w:color w:val="auto"/>
          <w:spacing w:val="0"/>
          <w:w w:val="100"/>
          <w:sz w:val="24"/>
          <w:szCs w:val="32"/>
          <w:lang w:val="en-US" w:eastAsia="zh-CN"/>
        </w:rPr>
      </w:pPr>
      <w:r>
        <w:rPr>
          <w:rFonts w:hint="eastAsia" w:ascii="Times New Roman" w:hAnsi="Times New Roman" w:eastAsia="宋体" w:cs="Times New Roman"/>
          <w:b w:val="0"/>
          <w:bCs w:val="0"/>
          <w:color w:val="auto"/>
          <w:spacing w:val="0"/>
          <w:w w:val="100"/>
          <w:sz w:val="24"/>
          <w:szCs w:val="32"/>
          <w:lang w:val="en-US" w:eastAsia="zh-CN"/>
        </w:rPr>
        <w:t>2、事故应急</w:t>
      </w:r>
      <w:r>
        <w:rPr>
          <w:rFonts w:hint="default" w:ascii="Times New Roman" w:hAnsi="Times New Roman" w:eastAsia="宋体" w:cs="Times New Roman"/>
          <w:b w:val="0"/>
          <w:bCs w:val="0"/>
          <w:color w:val="auto"/>
          <w:spacing w:val="0"/>
          <w:w w:val="100"/>
          <w:sz w:val="24"/>
          <w:szCs w:val="32"/>
          <w:lang w:val="en-US" w:eastAsia="zh-CN"/>
        </w:rPr>
        <w:t>防范措施</w:t>
      </w:r>
    </w:p>
    <w:p w14:paraId="5C9E88CF">
      <w:pPr>
        <w:spacing w:line="360" w:lineRule="auto"/>
        <w:ind w:firstLine="480" w:firstLineChars="200"/>
        <w:rPr>
          <w:rFonts w:hint="default" w:ascii="Times New Roman" w:hAnsi="Times New Roman" w:eastAsia="宋体" w:cs="Times New Roman"/>
          <w:b w:val="0"/>
          <w:bCs w:val="0"/>
          <w:color w:val="auto"/>
          <w:spacing w:val="0"/>
          <w:w w:val="100"/>
          <w:sz w:val="24"/>
          <w:szCs w:val="32"/>
          <w:lang w:val="en-US" w:eastAsia="zh-CN"/>
        </w:rPr>
      </w:pPr>
      <w:r>
        <w:rPr>
          <w:rFonts w:hint="eastAsia" w:ascii="Times New Roman" w:hAnsi="Times New Roman" w:eastAsia="宋体" w:cs="Times New Roman"/>
          <w:b w:val="0"/>
          <w:bCs w:val="0"/>
          <w:color w:val="auto"/>
          <w:spacing w:val="0"/>
          <w:w w:val="100"/>
          <w:sz w:val="24"/>
          <w:szCs w:val="32"/>
          <w:lang w:val="en-US" w:eastAsia="zh-CN"/>
        </w:rPr>
        <w:t>（1）</w:t>
      </w:r>
      <w:r>
        <w:rPr>
          <w:rFonts w:hint="default" w:ascii="Times New Roman" w:hAnsi="Times New Roman" w:eastAsia="宋体" w:cs="Times New Roman"/>
          <w:b w:val="0"/>
          <w:bCs w:val="0"/>
          <w:color w:val="auto"/>
          <w:spacing w:val="0"/>
          <w:w w:val="100"/>
          <w:sz w:val="24"/>
          <w:szCs w:val="32"/>
          <w:lang w:val="en-US" w:eastAsia="zh-CN"/>
        </w:rPr>
        <w:t>建立应急事故处理小组，负责事故的处理和日常预防措施的执行监督；</w:t>
      </w:r>
    </w:p>
    <w:p w14:paraId="7857F34C">
      <w:pPr>
        <w:spacing w:line="360" w:lineRule="auto"/>
        <w:ind w:firstLine="480" w:firstLineChars="200"/>
        <w:rPr>
          <w:rFonts w:hint="default" w:ascii="Times New Roman" w:hAnsi="Times New Roman" w:eastAsia="宋体" w:cs="Times New Roman"/>
          <w:b w:val="0"/>
          <w:bCs w:val="0"/>
          <w:color w:val="auto"/>
          <w:spacing w:val="0"/>
          <w:w w:val="100"/>
          <w:sz w:val="24"/>
          <w:szCs w:val="32"/>
          <w:lang w:val="en-US" w:eastAsia="zh-CN"/>
        </w:rPr>
      </w:pPr>
      <w:r>
        <w:rPr>
          <w:rFonts w:hint="eastAsia" w:ascii="Times New Roman" w:hAnsi="Times New Roman" w:eastAsia="宋体" w:cs="Times New Roman"/>
          <w:b w:val="0"/>
          <w:bCs w:val="0"/>
          <w:color w:val="auto"/>
          <w:spacing w:val="0"/>
          <w:w w:val="100"/>
          <w:sz w:val="24"/>
          <w:szCs w:val="32"/>
          <w:lang w:val="en-US" w:eastAsia="zh-CN"/>
        </w:rPr>
        <w:t>（2）</w:t>
      </w:r>
      <w:r>
        <w:rPr>
          <w:rFonts w:hint="default" w:ascii="Times New Roman" w:hAnsi="Times New Roman" w:eastAsia="宋体" w:cs="Times New Roman"/>
          <w:b w:val="0"/>
          <w:bCs w:val="0"/>
          <w:color w:val="auto"/>
          <w:spacing w:val="0"/>
          <w:w w:val="100"/>
          <w:sz w:val="24"/>
          <w:szCs w:val="32"/>
          <w:lang w:val="en-US" w:eastAsia="zh-CN"/>
        </w:rPr>
        <w:t>如果是由于进水水质不正常</w:t>
      </w:r>
      <w:r>
        <w:rPr>
          <w:rFonts w:hint="eastAsia" w:ascii="Times New Roman" w:hAnsi="Times New Roman" w:eastAsia="宋体" w:cs="Times New Roman"/>
          <w:b w:val="0"/>
          <w:bCs w:val="0"/>
          <w:color w:val="auto"/>
          <w:spacing w:val="0"/>
          <w:w w:val="100"/>
          <w:sz w:val="24"/>
          <w:szCs w:val="32"/>
          <w:lang w:val="en-US" w:eastAsia="zh-CN"/>
        </w:rPr>
        <w:t>或</w:t>
      </w:r>
      <w:r>
        <w:rPr>
          <w:rFonts w:hint="default" w:ascii="Times New Roman" w:hAnsi="Times New Roman" w:eastAsia="宋体" w:cs="Times New Roman"/>
          <w:b w:val="0"/>
          <w:bCs w:val="0"/>
          <w:color w:val="auto"/>
          <w:spacing w:val="0"/>
          <w:w w:val="100"/>
          <w:sz w:val="24"/>
          <w:szCs w:val="32"/>
          <w:lang w:val="en-US" w:eastAsia="zh-CN"/>
        </w:rPr>
        <w:t>由于有毒有害物质误入管网，在污水处理厂采取应急措施的同时，从汇水系统的主要污染源查找原因，采取应急措施，控制对微生物有毒</w:t>
      </w:r>
      <w:r>
        <w:rPr>
          <w:rFonts w:hint="eastAsia" w:ascii="Times New Roman" w:hAnsi="Times New Roman" w:eastAsia="宋体" w:cs="Times New Roman"/>
          <w:b w:val="0"/>
          <w:bCs w:val="0"/>
          <w:color w:val="auto"/>
          <w:spacing w:val="0"/>
          <w:w w:val="100"/>
          <w:sz w:val="24"/>
          <w:szCs w:val="32"/>
          <w:lang w:val="en-US" w:eastAsia="zh-CN"/>
        </w:rPr>
        <w:t>有</w:t>
      </w:r>
      <w:r>
        <w:rPr>
          <w:rFonts w:hint="default" w:ascii="Times New Roman" w:hAnsi="Times New Roman" w:eastAsia="宋体" w:cs="Times New Roman"/>
          <w:b w:val="0"/>
          <w:bCs w:val="0"/>
          <w:color w:val="auto"/>
          <w:spacing w:val="0"/>
          <w:w w:val="100"/>
          <w:sz w:val="24"/>
          <w:szCs w:val="32"/>
          <w:lang w:val="en-US" w:eastAsia="zh-CN"/>
        </w:rPr>
        <w:t>害物质的排放量；</w:t>
      </w:r>
    </w:p>
    <w:p w14:paraId="07152F66">
      <w:pPr>
        <w:spacing w:line="360" w:lineRule="auto"/>
        <w:ind w:firstLine="480" w:firstLineChars="200"/>
        <w:rPr>
          <w:rFonts w:hint="default" w:ascii="Times New Roman" w:hAnsi="Times New Roman" w:eastAsia="宋体" w:cs="Times New Roman"/>
          <w:b w:val="0"/>
          <w:bCs w:val="0"/>
          <w:color w:val="auto"/>
          <w:spacing w:val="0"/>
          <w:w w:val="100"/>
          <w:sz w:val="24"/>
          <w:szCs w:val="32"/>
          <w:lang w:val="en-US" w:eastAsia="zh-CN"/>
        </w:rPr>
      </w:pPr>
      <w:r>
        <w:rPr>
          <w:rFonts w:hint="eastAsia" w:ascii="Times New Roman" w:hAnsi="Times New Roman" w:eastAsia="宋体" w:cs="Times New Roman"/>
          <w:b w:val="0"/>
          <w:bCs w:val="0"/>
          <w:color w:val="auto"/>
          <w:spacing w:val="0"/>
          <w:w w:val="100"/>
          <w:sz w:val="24"/>
          <w:szCs w:val="32"/>
          <w:lang w:val="en-US" w:eastAsia="zh-CN"/>
        </w:rPr>
        <w:t>（3）</w:t>
      </w:r>
      <w:r>
        <w:rPr>
          <w:rFonts w:hint="default" w:ascii="Times New Roman" w:hAnsi="Times New Roman" w:eastAsia="宋体" w:cs="Times New Roman"/>
          <w:b w:val="0"/>
          <w:bCs w:val="0"/>
          <w:color w:val="auto"/>
          <w:spacing w:val="0"/>
          <w:w w:val="100"/>
          <w:sz w:val="24"/>
          <w:szCs w:val="32"/>
          <w:lang w:val="en-US" w:eastAsia="zh-CN"/>
        </w:rPr>
        <w:t>如一旦出现不可抗拒的外部原因，如双回路停电，突发性自然灾害等情况将导致污水未处理外排时，应要求接管</w:t>
      </w:r>
      <w:r>
        <w:rPr>
          <w:rFonts w:hint="eastAsia" w:ascii="Times New Roman" w:hAnsi="Times New Roman" w:eastAsia="宋体" w:cs="Times New Roman"/>
          <w:b w:val="0"/>
          <w:bCs w:val="0"/>
          <w:color w:val="auto"/>
          <w:spacing w:val="0"/>
          <w:w w:val="100"/>
          <w:sz w:val="24"/>
          <w:szCs w:val="32"/>
          <w:lang w:val="en-US" w:eastAsia="zh-CN"/>
        </w:rPr>
        <w:t>范围内部分</w:t>
      </w:r>
      <w:r>
        <w:rPr>
          <w:rFonts w:hint="default" w:ascii="Times New Roman" w:hAnsi="Times New Roman" w:eastAsia="宋体" w:cs="Times New Roman"/>
          <w:b w:val="0"/>
          <w:bCs w:val="0"/>
          <w:color w:val="auto"/>
          <w:spacing w:val="0"/>
          <w:w w:val="100"/>
          <w:sz w:val="24"/>
          <w:szCs w:val="32"/>
          <w:lang w:val="en-US" w:eastAsia="zh-CN"/>
        </w:rPr>
        <w:t>或全部停止向管道排污，以确保水体功能安全</w:t>
      </w:r>
      <w:r>
        <w:rPr>
          <w:rFonts w:hint="eastAsia" w:ascii="Times New Roman" w:hAnsi="Times New Roman" w:eastAsia="宋体" w:cs="Times New Roman"/>
          <w:b w:val="0"/>
          <w:bCs w:val="0"/>
          <w:color w:val="auto"/>
          <w:spacing w:val="0"/>
          <w:w w:val="100"/>
          <w:sz w:val="24"/>
          <w:szCs w:val="32"/>
          <w:lang w:val="en-US" w:eastAsia="zh-CN"/>
        </w:rPr>
        <w:t>；</w:t>
      </w:r>
    </w:p>
    <w:p w14:paraId="1647C156">
      <w:pPr>
        <w:spacing w:line="360" w:lineRule="auto"/>
        <w:ind w:firstLine="480" w:firstLineChars="200"/>
        <w:rPr>
          <w:rFonts w:hint="default" w:ascii="Times New Roman" w:hAnsi="Times New Roman" w:eastAsia="宋体" w:cs="Times New Roman"/>
          <w:color w:val="auto"/>
          <w:spacing w:val="0"/>
          <w:w w:val="100"/>
          <w:sz w:val="24"/>
          <w:szCs w:val="24"/>
          <w:lang w:val="en-GB" w:eastAsia="zh-CN"/>
        </w:rPr>
      </w:pPr>
      <w:r>
        <w:rPr>
          <w:rFonts w:hint="eastAsia" w:ascii="Times New Roman" w:hAnsi="Times New Roman" w:eastAsia="宋体" w:cs="Times New Roman"/>
          <w:b w:val="0"/>
          <w:bCs w:val="0"/>
          <w:color w:val="auto"/>
          <w:spacing w:val="0"/>
          <w:w w:val="100"/>
          <w:sz w:val="24"/>
          <w:szCs w:val="32"/>
          <w:lang w:val="en-US" w:eastAsia="zh-CN"/>
        </w:rPr>
        <w:t>（4）</w:t>
      </w:r>
      <w:r>
        <w:rPr>
          <w:rFonts w:hint="default" w:ascii="Times New Roman" w:hAnsi="Times New Roman" w:eastAsia="宋体" w:cs="Times New Roman"/>
          <w:color w:val="auto"/>
          <w:spacing w:val="0"/>
          <w:w w:val="100"/>
          <w:sz w:val="24"/>
          <w:szCs w:val="24"/>
          <w:lang w:val="en-GB" w:eastAsia="zh-CN"/>
        </w:rPr>
        <w:t>污水处理厂一旦发生污水非正常排放的事故，应及时进行</w:t>
      </w:r>
      <w:r>
        <w:rPr>
          <w:rFonts w:hint="eastAsia" w:ascii="Times New Roman" w:hAnsi="Times New Roman" w:eastAsia="宋体" w:cs="Times New Roman"/>
          <w:color w:val="auto"/>
          <w:spacing w:val="0"/>
          <w:w w:val="100"/>
          <w:sz w:val="24"/>
          <w:szCs w:val="24"/>
          <w:lang w:val="en-GB" w:eastAsia="zh-CN"/>
        </w:rPr>
        <w:t>应急处理</w:t>
      </w:r>
      <w:r>
        <w:rPr>
          <w:rFonts w:hint="default" w:ascii="Times New Roman" w:hAnsi="Times New Roman" w:eastAsia="宋体" w:cs="Times New Roman"/>
          <w:color w:val="auto"/>
          <w:spacing w:val="0"/>
          <w:w w:val="100"/>
          <w:sz w:val="24"/>
          <w:szCs w:val="24"/>
          <w:lang w:val="en-GB" w:eastAsia="zh-CN"/>
        </w:rPr>
        <w:t>并通知</w:t>
      </w:r>
      <w:r>
        <w:rPr>
          <w:rFonts w:hint="eastAsia" w:ascii="Times New Roman" w:hAnsi="Times New Roman" w:eastAsia="宋体" w:cs="Times New Roman"/>
          <w:color w:val="auto"/>
          <w:spacing w:val="0"/>
          <w:w w:val="100"/>
          <w:sz w:val="24"/>
          <w:szCs w:val="24"/>
          <w:lang w:val="en-GB" w:eastAsia="zh-CN"/>
        </w:rPr>
        <w:t>生态环境局陇县分局；</w:t>
      </w:r>
    </w:p>
    <w:p w14:paraId="6DB2D3D1">
      <w:pPr>
        <w:spacing w:line="360" w:lineRule="auto"/>
        <w:ind w:firstLine="480" w:firstLineChars="200"/>
        <w:rPr>
          <w:rFonts w:hint="default" w:ascii="Times New Roman" w:hAnsi="Times New Roman" w:eastAsia="宋体" w:cs="Times New Roman"/>
          <w:b w:val="0"/>
          <w:bCs w:val="0"/>
          <w:color w:val="auto"/>
          <w:spacing w:val="0"/>
          <w:w w:val="100"/>
          <w:sz w:val="24"/>
          <w:szCs w:val="32"/>
          <w:lang w:val="en-US" w:eastAsia="zh-CN"/>
        </w:rPr>
      </w:pPr>
      <w:r>
        <w:rPr>
          <w:rFonts w:hint="eastAsia" w:ascii="Times New Roman" w:hAnsi="Times New Roman" w:eastAsia="宋体" w:cs="Times New Roman"/>
          <w:color w:val="auto"/>
          <w:spacing w:val="0"/>
          <w:w w:val="100"/>
          <w:sz w:val="24"/>
          <w:szCs w:val="24"/>
          <w:lang w:val="en-US" w:eastAsia="zh-CN"/>
        </w:rPr>
        <w:t>（5）</w:t>
      </w:r>
      <w:r>
        <w:rPr>
          <w:rFonts w:hint="default" w:ascii="Times New Roman" w:hAnsi="Times New Roman" w:eastAsia="宋体" w:cs="Times New Roman"/>
          <w:b w:val="0"/>
          <w:bCs w:val="0"/>
          <w:color w:val="auto"/>
          <w:spacing w:val="0"/>
          <w:w w:val="100"/>
          <w:sz w:val="24"/>
          <w:szCs w:val="32"/>
          <w:lang w:val="en-US" w:eastAsia="zh-CN"/>
        </w:rPr>
        <w:t>在事故发生及处理期间，应在排放口附近水域悬挂标志示警，提醒各有关方面采取防范措施。</w:t>
      </w:r>
    </w:p>
    <w:p w14:paraId="62BEDE8F">
      <w:pPr>
        <w:spacing w:line="360" w:lineRule="auto"/>
        <w:ind w:firstLine="480" w:firstLineChars="200"/>
        <w:rPr>
          <w:rFonts w:hint="default" w:ascii="Times New Roman" w:hAnsi="Times New Roman" w:eastAsia="宋体" w:cs="Times New Roman"/>
          <w:b w:val="0"/>
          <w:bCs w:val="0"/>
          <w:color w:val="auto"/>
          <w:spacing w:val="0"/>
          <w:w w:val="100"/>
          <w:sz w:val="24"/>
          <w:szCs w:val="32"/>
          <w:lang w:val="en-US" w:eastAsia="zh-CN"/>
        </w:rPr>
      </w:pPr>
      <w:r>
        <w:rPr>
          <w:rFonts w:hint="default" w:ascii="Times New Roman" w:hAnsi="Times New Roman" w:eastAsia="宋体" w:cs="Times New Roman"/>
          <w:b w:val="0"/>
          <w:bCs w:val="0"/>
          <w:color w:val="auto"/>
          <w:spacing w:val="0"/>
          <w:w w:val="100"/>
          <w:sz w:val="24"/>
          <w:szCs w:val="32"/>
          <w:lang w:val="en-US" w:eastAsia="zh-CN"/>
        </w:rPr>
        <w:t>综上所述，</w:t>
      </w:r>
      <w:r>
        <w:rPr>
          <w:rFonts w:hint="default" w:ascii="Times New Roman" w:hAnsi="Times New Roman" w:eastAsia="宋体" w:cs="Times New Roman"/>
          <w:color w:val="auto"/>
          <w:spacing w:val="0"/>
          <w:w w:val="100"/>
          <w:sz w:val="24"/>
          <w:szCs w:val="24"/>
          <w:lang w:val="en-GB" w:eastAsia="zh-CN"/>
        </w:rPr>
        <w:t>随着本工程的建成运行，</w:t>
      </w:r>
      <w:r>
        <w:rPr>
          <w:rFonts w:hint="default" w:ascii="Times New Roman" w:hAnsi="Times New Roman" w:eastAsia="宋体" w:cs="Times New Roman"/>
          <w:color w:val="auto"/>
          <w:spacing w:val="0"/>
          <w:w w:val="100"/>
          <w:sz w:val="24"/>
          <w:szCs w:val="24"/>
          <w:lang w:val="en-US" w:eastAsia="zh-CN"/>
        </w:rPr>
        <w:t>项目服务范围内</w:t>
      </w:r>
      <w:r>
        <w:rPr>
          <w:rFonts w:hint="default" w:ascii="Times New Roman" w:hAnsi="Times New Roman" w:eastAsia="宋体" w:cs="Times New Roman"/>
          <w:color w:val="auto"/>
          <w:spacing w:val="0"/>
          <w:w w:val="100"/>
          <w:sz w:val="24"/>
          <w:szCs w:val="24"/>
          <w:lang w:val="en-GB" w:eastAsia="zh-CN"/>
        </w:rPr>
        <w:t>的生活污水经过处理达标后排放，使周边区域污水得到有效处理，防止污水直接流入</w:t>
      </w:r>
      <w:r>
        <w:rPr>
          <w:rFonts w:hint="eastAsia" w:ascii="Times New Roman" w:hAnsi="Times New Roman" w:eastAsia="宋体" w:cs="Times New Roman"/>
          <w:color w:val="auto"/>
          <w:spacing w:val="0"/>
          <w:w w:val="100"/>
          <w:sz w:val="24"/>
          <w:szCs w:val="24"/>
          <w:lang w:val="en-GB" w:eastAsia="zh-CN"/>
        </w:rPr>
        <w:t>千河</w:t>
      </w:r>
      <w:r>
        <w:rPr>
          <w:rFonts w:hint="default" w:ascii="Times New Roman" w:hAnsi="Times New Roman" w:eastAsia="宋体" w:cs="Times New Roman"/>
          <w:color w:val="auto"/>
          <w:spacing w:val="0"/>
          <w:w w:val="100"/>
          <w:sz w:val="24"/>
          <w:szCs w:val="24"/>
          <w:lang w:val="en-GB" w:eastAsia="zh-CN"/>
        </w:rPr>
        <w:t>，从而减轻</w:t>
      </w:r>
      <w:r>
        <w:rPr>
          <w:rFonts w:hint="eastAsia" w:ascii="Times New Roman" w:hAnsi="Times New Roman" w:eastAsia="宋体" w:cs="Times New Roman"/>
          <w:color w:val="auto"/>
          <w:spacing w:val="0"/>
          <w:w w:val="100"/>
          <w:sz w:val="24"/>
          <w:szCs w:val="24"/>
          <w:lang w:val="en-GB" w:eastAsia="zh-CN"/>
        </w:rPr>
        <w:t>千河</w:t>
      </w:r>
      <w:r>
        <w:rPr>
          <w:rFonts w:hint="default" w:ascii="Times New Roman" w:hAnsi="Times New Roman" w:eastAsia="宋体" w:cs="Times New Roman"/>
          <w:color w:val="auto"/>
          <w:spacing w:val="0"/>
          <w:w w:val="100"/>
          <w:sz w:val="24"/>
          <w:szCs w:val="24"/>
          <w:lang w:val="en-GB" w:eastAsia="zh-CN"/>
        </w:rPr>
        <w:t>污染负荷，与现状相比，</w:t>
      </w:r>
      <w:r>
        <w:rPr>
          <w:rFonts w:hint="eastAsia" w:ascii="Times New Roman" w:hAnsi="Times New Roman" w:eastAsia="宋体" w:cs="Times New Roman"/>
          <w:color w:val="auto"/>
          <w:spacing w:val="0"/>
          <w:w w:val="100"/>
          <w:sz w:val="24"/>
          <w:szCs w:val="24"/>
          <w:lang w:val="en-GB" w:eastAsia="zh-CN"/>
        </w:rPr>
        <w:t>千河</w:t>
      </w:r>
      <w:r>
        <w:rPr>
          <w:rFonts w:hint="default" w:ascii="Times New Roman" w:hAnsi="Times New Roman" w:eastAsia="宋体" w:cs="Times New Roman"/>
          <w:color w:val="auto"/>
          <w:spacing w:val="0"/>
          <w:w w:val="100"/>
          <w:sz w:val="24"/>
          <w:szCs w:val="24"/>
          <w:lang w:val="en-GB" w:eastAsia="zh-CN"/>
        </w:rPr>
        <w:t>水质将会有明显改善。</w:t>
      </w:r>
      <w:r>
        <w:rPr>
          <w:rFonts w:hint="default" w:ascii="Times New Roman" w:hAnsi="Times New Roman" w:eastAsia="宋体" w:cs="Times New Roman"/>
          <w:b w:val="0"/>
          <w:bCs w:val="0"/>
          <w:color w:val="auto"/>
          <w:spacing w:val="0"/>
          <w:w w:val="100"/>
          <w:sz w:val="24"/>
          <w:szCs w:val="32"/>
          <w:lang w:val="en-US" w:eastAsia="zh-CN"/>
        </w:rPr>
        <w:t>因此在设计中应</w:t>
      </w:r>
      <w:r>
        <w:rPr>
          <w:rFonts w:hint="eastAsia" w:ascii="Times New Roman" w:hAnsi="Times New Roman" w:eastAsia="宋体" w:cs="Times New Roman"/>
          <w:b w:val="0"/>
          <w:bCs w:val="0"/>
          <w:color w:val="auto"/>
          <w:spacing w:val="0"/>
          <w:w w:val="100"/>
          <w:sz w:val="24"/>
          <w:szCs w:val="32"/>
          <w:lang w:val="en-US" w:eastAsia="zh-CN"/>
        </w:rPr>
        <w:t>充分考虑</w:t>
      </w:r>
      <w:r>
        <w:rPr>
          <w:rFonts w:hint="default" w:ascii="Times New Roman" w:hAnsi="Times New Roman" w:eastAsia="宋体" w:cs="Times New Roman"/>
          <w:b w:val="0"/>
          <w:bCs w:val="0"/>
          <w:color w:val="auto"/>
          <w:spacing w:val="0"/>
          <w:w w:val="100"/>
          <w:sz w:val="24"/>
          <w:szCs w:val="32"/>
          <w:lang w:val="en-US" w:eastAsia="zh-CN"/>
        </w:rPr>
        <w:t>可能的事故并采取必要的事故防范措施和应急措施，在日常工作中加强管理，保证污水处理厂的正常运行并预防和及时处理风险事故，减少可能造成的环境影响。</w:t>
      </w:r>
    </w:p>
    <w:p w14:paraId="09D6E38A">
      <w:pPr>
        <w:numPr>
          <w:ilvl w:val="0"/>
          <w:numId w:val="0"/>
        </w:numPr>
        <w:spacing w:line="360" w:lineRule="auto"/>
        <w:ind w:leftChars="196"/>
        <w:rPr>
          <w:rFonts w:hint="eastAsia" w:ascii="Times New Roman" w:hAnsi="Times New Roman" w:eastAsia="宋体" w:cs="Times New Roman"/>
          <w:b w:val="0"/>
          <w:bCs w:val="0"/>
          <w:color w:val="auto"/>
          <w:spacing w:val="0"/>
          <w:w w:val="100"/>
          <w:sz w:val="24"/>
          <w:szCs w:val="32"/>
          <w:lang w:val="en-US" w:eastAsia="zh-CN"/>
        </w:rPr>
      </w:pPr>
      <w:r>
        <w:rPr>
          <w:rFonts w:hint="eastAsia" w:ascii="Times New Roman" w:hAnsi="Times New Roman" w:eastAsia="宋体" w:cs="Times New Roman"/>
          <w:b w:val="0"/>
          <w:bCs w:val="0"/>
          <w:color w:val="auto"/>
          <w:spacing w:val="0"/>
          <w:w w:val="100"/>
          <w:sz w:val="24"/>
          <w:szCs w:val="32"/>
          <w:lang w:val="en-US" w:eastAsia="zh-CN"/>
        </w:rPr>
        <w:t>3、排污口设置规范化要求</w:t>
      </w:r>
    </w:p>
    <w:p w14:paraId="54F69D5B">
      <w:pPr>
        <w:spacing w:line="360" w:lineRule="auto"/>
        <w:ind w:firstLine="480" w:firstLineChars="200"/>
        <w:rPr>
          <w:rFonts w:hint="eastAsia" w:ascii="Times New Roman" w:hAnsi="Times New Roman" w:eastAsia="宋体" w:cs="Times New Roman"/>
          <w:b w:val="0"/>
          <w:bCs w:val="0"/>
          <w:color w:val="auto"/>
          <w:spacing w:val="0"/>
          <w:w w:val="100"/>
          <w:sz w:val="24"/>
          <w:szCs w:val="32"/>
          <w:lang w:val="en-US" w:eastAsia="zh-CN"/>
        </w:rPr>
      </w:pPr>
      <w:r>
        <w:rPr>
          <w:rFonts w:hint="eastAsia" w:ascii="Times New Roman" w:hAnsi="Times New Roman" w:eastAsia="宋体" w:cs="Times New Roman"/>
          <w:b w:val="0"/>
          <w:bCs w:val="0"/>
          <w:color w:val="auto"/>
          <w:spacing w:val="0"/>
          <w:w w:val="100"/>
          <w:sz w:val="24"/>
          <w:szCs w:val="32"/>
          <w:lang w:val="en-US" w:eastAsia="zh-CN"/>
        </w:rPr>
        <w:t>（1）按照《污染源监测技术规范》设置采样点。</w:t>
      </w:r>
    </w:p>
    <w:p w14:paraId="3FF93ED6">
      <w:pPr>
        <w:spacing w:line="360" w:lineRule="auto"/>
        <w:ind w:firstLine="480" w:firstLineChars="200"/>
        <w:rPr>
          <w:rFonts w:hint="eastAsia" w:ascii="Times New Roman" w:hAnsi="Times New Roman" w:eastAsia="宋体" w:cs="Times New Roman"/>
          <w:b w:val="0"/>
          <w:bCs w:val="0"/>
          <w:color w:val="auto"/>
          <w:spacing w:val="0"/>
          <w:w w:val="100"/>
          <w:sz w:val="24"/>
          <w:szCs w:val="32"/>
          <w:lang w:val="en-US" w:eastAsia="zh-CN"/>
        </w:rPr>
      </w:pPr>
      <w:r>
        <w:rPr>
          <w:rFonts w:hint="eastAsia" w:ascii="Times New Roman" w:hAnsi="Times New Roman" w:eastAsia="宋体" w:cs="Times New Roman"/>
          <w:b w:val="0"/>
          <w:bCs w:val="0"/>
          <w:color w:val="auto"/>
          <w:spacing w:val="0"/>
          <w:w w:val="100"/>
          <w:sz w:val="24"/>
          <w:szCs w:val="32"/>
          <w:lang w:val="en-US" w:eastAsia="zh-CN"/>
        </w:rPr>
        <w:t>（2）应设置规范的、便于测量流量、流速的测流段。</w:t>
      </w:r>
    </w:p>
    <w:p w14:paraId="39020D43">
      <w:pPr>
        <w:spacing w:line="360" w:lineRule="auto"/>
        <w:ind w:firstLine="480" w:firstLineChars="200"/>
        <w:rPr>
          <w:rFonts w:hint="eastAsia" w:ascii="Times New Roman" w:hAnsi="Times New Roman" w:eastAsia="宋体" w:cs="Times New Roman"/>
          <w:b w:val="0"/>
          <w:bCs w:val="0"/>
          <w:color w:val="auto"/>
          <w:spacing w:val="0"/>
          <w:w w:val="100"/>
          <w:sz w:val="24"/>
          <w:szCs w:val="32"/>
          <w:lang w:val="en-US" w:eastAsia="zh-CN"/>
        </w:rPr>
      </w:pPr>
      <w:r>
        <w:rPr>
          <w:rFonts w:hint="eastAsia" w:ascii="Times New Roman" w:hAnsi="Times New Roman" w:eastAsia="宋体" w:cs="Times New Roman"/>
          <w:b w:val="0"/>
          <w:bCs w:val="0"/>
          <w:color w:val="auto"/>
          <w:spacing w:val="0"/>
          <w:w w:val="100"/>
          <w:sz w:val="24"/>
          <w:szCs w:val="32"/>
          <w:lang w:val="en-US" w:eastAsia="zh-CN"/>
        </w:rPr>
        <w:t>（3）污水排放口应安装流量计。</w:t>
      </w:r>
    </w:p>
    <w:p w14:paraId="33F70A08">
      <w:pPr>
        <w:spacing w:line="360" w:lineRule="auto"/>
        <w:ind w:firstLine="480" w:firstLineChars="200"/>
        <w:rPr>
          <w:rFonts w:hint="eastAsia" w:ascii="Times New Roman" w:hAnsi="Times New Roman" w:eastAsia="宋体" w:cs="Times New Roman"/>
          <w:b w:val="0"/>
          <w:bCs w:val="0"/>
          <w:color w:val="auto"/>
          <w:spacing w:val="0"/>
          <w:w w:val="100"/>
          <w:sz w:val="24"/>
          <w:szCs w:val="32"/>
          <w:lang w:val="en-US" w:eastAsia="zh-CN"/>
        </w:rPr>
      </w:pPr>
      <w:r>
        <w:rPr>
          <w:rFonts w:hint="eastAsia" w:ascii="Times New Roman" w:hAnsi="Times New Roman" w:eastAsia="宋体" w:cs="Times New Roman"/>
          <w:b w:val="0"/>
          <w:bCs w:val="0"/>
          <w:color w:val="auto"/>
          <w:spacing w:val="0"/>
          <w:w w:val="100"/>
          <w:sz w:val="24"/>
          <w:szCs w:val="32"/>
          <w:lang w:val="en-US" w:eastAsia="zh-CN"/>
        </w:rPr>
        <w:t>（4）排污口可安装三角堰、矩形堰、测流槽等测流装置或其他计量装置。</w:t>
      </w:r>
    </w:p>
    <w:p w14:paraId="4D1D578E">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本项目污水排放口位于厂区</w:t>
      </w:r>
      <w:r>
        <w:rPr>
          <w:rFonts w:hint="eastAsia" w:ascii="Times New Roman" w:hAnsi="Times New Roman" w:eastAsia="宋体" w:cs="Times New Roman"/>
          <w:color w:val="auto"/>
          <w:spacing w:val="0"/>
          <w:w w:val="100"/>
          <w:sz w:val="24"/>
          <w:szCs w:val="24"/>
          <w:lang w:val="en-US" w:eastAsia="zh-CN"/>
        </w:rPr>
        <w:t>南</w:t>
      </w:r>
      <w:r>
        <w:rPr>
          <w:rFonts w:hint="default" w:ascii="Times New Roman" w:hAnsi="Times New Roman" w:eastAsia="宋体" w:cs="Times New Roman"/>
          <w:color w:val="auto"/>
          <w:spacing w:val="0"/>
          <w:w w:val="100"/>
          <w:sz w:val="24"/>
          <w:szCs w:val="24"/>
        </w:rPr>
        <w:t>侧，</w:t>
      </w:r>
      <w:r>
        <w:rPr>
          <w:rFonts w:hint="eastAsia" w:ascii="Times New Roman" w:hAnsi="Times New Roman" w:eastAsia="宋体" w:cs="Times New Roman"/>
          <w:color w:val="auto"/>
          <w:spacing w:val="0"/>
          <w:w w:val="100"/>
          <w:sz w:val="24"/>
          <w:szCs w:val="22"/>
          <w:lang w:val="en-US" w:eastAsia="zh-CN"/>
        </w:rPr>
        <w:t>尾水依托</w:t>
      </w:r>
      <w:r>
        <w:rPr>
          <w:rFonts w:hint="eastAsia" w:ascii="Times New Roman" w:hAnsi="Times New Roman" w:eastAsia="宋体" w:cs="Times New Roman"/>
          <w:color w:val="auto"/>
          <w:spacing w:val="0"/>
          <w:w w:val="100"/>
          <w:sz w:val="24"/>
          <w:szCs w:val="24"/>
          <w:lang w:val="en-US" w:eastAsia="zh-CN"/>
        </w:rPr>
        <w:t>陇县千河南岸新城污水处理厂排放口排放，</w:t>
      </w:r>
      <w:r>
        <w:rPr>
          <w:rFonts w:hint="default" w:ascii="Times New Roman" w:hAnsi="Times New Roman" w:eastAsia="宋体" w:cs="Times New Roman"/>
          <w:color w:val="auto"/>
          <w:spacing w:val="0"/>
          <w:w w:val="100"/>
          <w:sz w:val="24"/>
          <w:szCs w:val="24"/>
        </w:rPr>
        <w:t>项目废水</w:t>
      </w:r>
      <w:r>
        <w:rPr>
          <w:rFonts w:hint="default" w:ascii="Times New Roman" w:hAnsi="Times New Roman" w:eastAsia="宋体" w:cs="Times New Roman"/>
          <w:color w:val="auto"/>
          <w:spacing w:val="0"/>
          <w:w w:val="100"/>
          <w:sz w:val="24"/>
          <w:szCs w:val="24"/>
          <w:lang w:eastAsia="zh-CN"/>
        </w:rPr>
        <w:t>直</w:t>
      </w:r>
      <w:r>
        <w:rPr>
          <w:rFonts w:hint="default" w:ascii="Times New Roman" w:hAnsi="Times New Roman" w:eastAsia="宋体" w:cs="Times New Roman"/>
          <w:color w:val="auto"/>
          <w:spacing w:val="0"/>
          <w:w w:val="100"/>
          <w:sz w:val="24"/>
          <w:szCs w:val="24"/>
        </w:rPr>
        <w:t>接排放口基本情况见下表</w:t>
      </w:r>
      <w:r>
        <w:rPr>
          <w:rFonts w:hint="default" w:ascii="Times New Roman" w:hAnsi="Times New Roman" w:eastAsia="宋体" w:cs="Times New Roman"/>
          <w:color w:val="auto"/>
          <w:spacing w:val="0"/>
          <w:w w:val="100"/>
          <w:sz w:val="24"/>
          <w:szCs w:val="24"/>
          <w:lang w:val="en-US" w:eastAsia="zh-CN"/>
        </w:rPr>
        <w:t>4-5</w:t>
      </w:r>
      <w:r>
        <w:rPr>
          <w:rFonts w:hint="default" w:ascii="Times New Roman" w:hAnsi="Times New Roman" w:eastAsia="宋体" w:cs="Times New Roman"/>
          <w:color w:val="auto"/>
          <w:spacing w:val="0"/>
          <w:w w:val="100"/>
          <w:sz w:val="24"/>
          <w:szCs w:val="24"/>
        </w:rPr>
        <w:t>，地表水环境影响自查表见表</w:t>
      </w:r>
      <w:r>
        <w:rPr>
          <w:rFonts w:hint="default" w:ascii="Times New Roman" w:hAnsi="Times New Roman" w:eastAsia="宋体" w:cs="Times New Roman"/>
          <w:color w:val="auto"/>
          <w:spacing w:val="0"/>
          <w:w w:val="100"/>
          <w:sz w:val="24"/>
          <w:szCs w:val="24"/>
          <w:lang w:val="en-US" w:eastAsia="zh-CN"/>
        </w:rPr>
        <w:t>4-6</w:t>
      </w:r>
      <w:r>
        <w:rPr>
          <w:rFonts w:hint="default" w:ascii="Times New Roman" w:hAnsi="Times New Roman" w:eastAsia="宋体" w:cs="Times New Roman"/>
          <w:color w:val="auto"/>
          <w:spacing w:val="0"/>
          <w:w w:val="100"/>
          <w:sz w:val="24"/>
          <w:szCs w:val="24"/>
        </w:rPr>
        <w:t>。</w:t>
      </w:r>
    </w:p>
    <w:p w14:paraId="6C390BA4">
      <w:pPr>
        <w:spacing w:line="240" w:lineRule="auto"/>
        <w:ind w:firstLine="422" w:firstLineChars="200"/>
        <w:jc w:val="center"/>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表</w:t>
      </w:r>
      <w:r>
        <w:rPr>
          <w:rFonts w:hint="default" w:ascii="Times New Roman" w:hAnsi="Times New Roman" w:eastAsia="宋体" w:cs="Times New Roman"/>
          <w:b/>
          <w:bCs/>
          <w:color w:val="auto"/>
          <w:spacing w:val="0"/>
          <w:w w:val="100"/>
          <w:sz w:val="21"/>
          <w:szCs w:val="21"/>
          <w:lang w:val="en-US" w:eastAsia="zh-CN"/>
        </w:rPr>
        <w:t>4-</w:t>
      </w:r>
      <w:r>
        <w:rPr>
          <w:rFonts w:hint="eastAsia" w:ascii="Times New Roman" w:hAnsi="Times New Roman" w:eastAsia="宋体" w:cs="Times New Roman"/>
          <w:b/>
          <w:bCs/>
          <w:color w:val="auto"/>
          <w:spacing w:val="0"/>
          <w:w w:val="100"/>
          <w:sz w:val="21"/>
          <w:szCs w:val="21"/>
          <w:lang w:val="en-US" w:eastAsia="zh-CN"/>
        </w:rPr>
        <w:t>5</w:t>
      </w:r>
      <w:r>
        <w:rPr>
          <w:rFonts w:hint="default" w:ascii="Times New Roman" w:hAnsi="Times New Roman" w:eastAsia="宋体" w:cs="Times New Roman"/>
          <w:b/>
          <w:bCs/>
          <w:color w:val="auto"/>
          <w:spacing w:val="0"/>
          <w:w w:val="100"/>
          <w:sz w:val="21"/>
          <w:szCs w:val="21"/>
          <w:lang w:val="en-US" w:eastAsia="zh-CN"/>
        </w:rPr>
        <w:t xml:space="preserve">  </w:t>
      </w:r>
      <w:r>
        <w:rPr>
          <w:rFonts w:hint="default" w:ascii="Times New Roman" w:hAnsi="Times New Roman" w:eastAsia="宋体" w:cs="Times New Roman"/>
          <w:b/>
          <w:bCs/>
          <w:color w:val="auto"/>
          <w:spacing w:val="0"/>
          <w:w w:val="100"/>
          <w:sz w:val="21"/>
          <w:szCs w:val="21"/>
        </w:rPr>
        <w:t xml:space="preserve"> 废水直接排放口基本情况表</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
        <w:gridCol w:w="1558"/>
        <w:gridCol w:w="1203"/>
        <w:gridCol w:w="710"/>
        <w:gridCol w:w="1073"/>
        <w:gridCol w:w="653"/>
        <w:gridCol w:w="910"/>
        <w:gridCol w:w="1451"/>
      </w:tblGrid>
      <w:tr w14:paraId="1E8E3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563" w:type="pct"/>
            <w:vMerge w:val="restart"/>
            <w:noWrap w:val="0"/>
            <w:vAlign w:val="center"/>
          </w:tcPr>
          <w:p w14:paraId="4D452D24">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排放口编号</w:t>
            </w:r>
          </w:p>
        </w:tc>
        <w:tc>
          <w:tcPr>
            <w:tcW w:w="914" w:type="pct"/>
            <w:noWrap w:val="0"/>
            <w:vAlign w:val="center"/>
          </w:tcPr>
          <w:p w14:paraId="7BE6AFD6">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排放口地理坐标</w:t>
            </w:r>
          </w:p>
        </w:tc>
        <w:tc>
          <w:tcPr>
            <w:tcW w:w="706" w:type="pct"/>
            <w:vMerge w:val="restart"/>
            <w:noWrap w:val="0"/>
            <w:vAlign w:val="center"/>
          </w:tcPr>
          <w:p w14:paraId="7E341CEC">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废水排</w:t>
            </w:r>
          </w:p>
          <w:p w14:paraId="77A38B28">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放量</w:t>
            </w:r>
          </w:p>
        </w:tc>
        <w:tc>
          <w:tcPr>
            <w:tcW w:w="416" w:type="pct"/>
            <w:vMerge w:val="restart"/>
            <w:noWrap w:val="0"/>
            <w:vAlign w:val="center"/>
          </w:tcPr>
          <w:p w14:paraId="111DEDA9">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排放</w:t>
            </w:r>
          </w:p>
          <w:p w14:paraId="2C621C18">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去向</w:t>
            </w:r>
          </w:p>
        </w:tc>
        <w:tc>
          <w:tcPr>
            <w:tcW w:w="629" w:type="pct"/>
            <w:vMerge w:val="restart"/>
            <w:noWrap w:val="0"/>
            <w:vAlign w:val="center"/>
          </w:tcPr>
          <w:p w14:paraId="1BAB35F1">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排放</w:t>
            </w:r>
          </w:p>
          <w:p w14:paraId="52E682E4">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规律</w:t>
            </w:r>
          </w:p>
        </w:tc>
        <w:tc>
          <w:tcPr>
            <w:tcW w:w="917" w:type="pct"/>
            <w:gridSpan w:val="2"/>
            <w:noWrap w:val="0"/>
            <w:vAlign w:val="center"/>
          </w:tcPr>
          <w:p w14:paraId="0D3E0D9D">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受纳自然水体信息</w:t>
            </w:r>
          </w:p>
        </w:tc>
        <w:tc>
          <w:tcPr>
            <w:tcW w:w="851" w:type="pct"/>
            <w:noWrap w:val="0"/>
            <w:vAlign w:val="center"/>
          </w:tcPr>
          <w:p w14:paraId="1BDA2C4F">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收纳水体</w:t>
            </w:r>
          </w:p>
          <w:p w14:paraId="7F3D006E">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地理信息</w:t>
            </w:r>
          </w:p>
        </w:tc>
      </w:tr>
      <w:tr w14:paraId="0C129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noWrap w:val="0"/>
            <w:vAlign w:val="center"/>
          </w:tcPr>
          <w:p w14:paraId="6D2700F5">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p>
        </w:tc>
        <w:tc>
          <w:tcPr>
            <w:tcW w:w="914" w:type="pct"/>
            <w:noWrap w:val="0"/>
            <w:vAlign w:val="center"/>
          </w:tcPr>
          <w:p w14:paraId="0A5130B8">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经度/纬度</w:t>
            </w:r>
          </w:p>
        </w:tc>
        <w:tc>
          <w:tcPr>
            <w:tcW w:w="706" w:type="pct"/>
            <w:vMerge w:val="continue"/>
            <w:noWrap w:val="0"/>
            <w:vAlign w:val="center"/>
          </w:tcPr>
          <w:p w14:paraId="1C6F1991">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p>
        </w:tc>
        <w:tc>
          <w:tcPr>
            <w:tcW w:w="416" w:type="pct"/>
            <w:vMerge w:val="continue"/>
            <w:noWrap w:val="0"/>
            <w:vAlign w:val="center"/>
          </w:tcPr>
          <w:p w14:paraId="244B99D5">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p>
        </w:tc>
        <w:tc>
          <w:tcPr>
            <w:tcW w:w="629" w:type="pct"/>
            <w:vMerge w:val="continue"/>
            <w:noWrap w:val="0"/>
            <w:vAlign w:val="center"/>
          </w:tcPr>
          <w:p w14:paraId="3A92D6C6">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p>
        </w:tc>
        <w:tc>
          <w:tcPr>
            <w:tcW w:w="383" w:type="pct"/>
            <w:noWrap w:val="0"/>
            <w:vAlign w:val="center"/>
          </w:tcPr>
          <w:p w14:paraId="27B95F0E">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名称</w:t>
            </w:r>
          </w:p>
        </w:tc>
        <w:tc>
          <w:tcPr>
            <w:tcW w:w="534" w:type="pct"/>
            <w:noWrap w:val="0"/>
            <w:vAlign w:val="center"/>
          </w:tcPr>
          <w:p w14:paraId="3D3501D2">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受纳水体功能目标</w:t>
            </w:r>
          </w:p>
        </w:tc>
        <w:tc>
          <w:tcPr>
            <w:tcW w:w="851" w:type="pct"/>
            <w:noWrap w:val="0"/>
            <w:vAlign w:val="center"/>
          </w:tcPr>
          <w:p w14:paraId="3EDD1560">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经度/纬度</w:t>
            </w:r>
          </w:p>
        </w:tc>
      </w:tr>
      <w:tr w14:paraId="683CA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563" w:type="pct"/>
            <w:noWrap w:val="0"/>
            <w:vAlign w:val="center"/>
          </w:tcPr>
          <w:p w14:paraId="1ACD3EB4">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z w:val="24"/>
                <w:szCs w:val="24"/>
                <w:lang w:val="en-US" w:eastAsia="zh-CN"/>
              </w:rPr>
              <w:t>WS14010</w:t>
            </w:r>
          </w:p>
        </w:tc>
        <w:tc>
          <w:tcPr>
            <w:tcW w:w="914" w:type="pct"/>
            <w:noWrap w:val="0"/>
            <w:vAlign w:val="center"/>
          </w:tcPr>
          <w:p w14:paraId="6D46D76E">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z w:val="21"/>
                <w:szCs w:val="21"/>
                <w:lang w:val="en-US" w:eastAsia="zh-CN"/>
              </w:rPr>
              <w:t>东经106°54'45</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，北纬34°54’4</w:t>
            </w:r>
            <w:r>
              <w:rPr>
                <w:rFonts w:hint="eastAsia" w:ascii="Times New Roman" w:hAnsi="Times New Roman" w:eastAsia="宋体" w:cs="Times New Roman"/>
                <w:color w:val="auto"/>
                <w:sz w:val="21"/>
                <w:szCs w:val="21"/>
                <w:lang w:val="en-US" w:eastAsia="zh-CN"/>
              </w:rPr>
              <w:t>″</w:t>
            </w:r>
          </w:p>
        </w:tc>
        <w:tc>
          <w:tcPr>
            <w:tcW w:w="706" w:type="pct"/>
            <w:noWrap w:val="0"/>
            <w:vAlign w:val="center"/>
          </w:tcPr>
          <w:p w14:paraId="55930B51">
            <w:pPr>
              <w:keepNext w:val="0"/>
              <w:keepLines w:val="0"/>
              <w:widowControl/>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val="en-US" w:eastAsia="zh-CN"/>
              </w:rPr>
              <w:t>1600m</w:t>
            </w:r>
            <w:r>
              <w:rPr>
                <w:rFonts w:hint="default" w:ascii="Times New Roman" w:hAnsi="Times New Roman" w:eastAsia="宋体" w:cs="Times New Roman"/>
                <w:color w:val="auto"/>
                <w:spacing w:val="0"/>
                <w:w w:val="100"/>
                <w:sz w:val="21"/>
                <w:szCs w:val="21"/>
                <w:vertAlign w:val="superscript"/>
              </w:rPr>
              <w:t>3</w:t>
            </w:r>
            <w:r>
              <w:rPr>
                <w:rFonts w:hint="default" w:ascii="Times New Roman" w:hAnsi="Times New Roman" w:eastAsia="宋体" w:cs="Times New Roman"/>
                <w:color w:val="auto"/>
                <w:spacing w:val="0"/>
                <w:w w:val="100"/>
                <w:sz w:val="21"/>
                <w:szCs w:val="21"/>
              </w:rPr>
              <w:t>/d</w:t>
            </w:r>
            <w:r>
              <w:rPr>
                <w:rFonts w:hint="eastAsia" w:ascii="Times New Roman" w:hAnsi="Times New Roman" w:eastAsia="宋体" w:cs="Times New Roman"/>
                <w:color w:val="auto"/>
                <w:spacing w:val="0"/>
                <w:w w:val="100"/>
                <w:sz w:val="21"/>
                <w:szCs w:val="21"/>
                <w:lang w:eastAsia="zh-CN"/>
              </w:rPr>
              <w:t>（</w:t>
            </w:r>
            <w:r>
              <w:rPr>
                <w:rFonts w:hint="eastAsia" w:ascii="Times New Roman" w:hAnsi="Times New Roman" w:eastAsia="宋体" w:cs="Times New Roman"/>
                <w:color w:val="auto"/>
                <w:spacing w:val="0"/>
                <w:w w:val="100"/>
                <w:sz w:val="21"/>
                <w:szCs w:val="21"/>
                <w:lang w:val="en-US" w:eastAsia="zh-CN"/>
              </w:rPr>
              <w:t>本项目</w:t>
            </w:r>
            <w:r>
              <w:rPr>
                <w:rFonts w:hint="eastAsia" w:ascii="Times New Roman" w:hAnsi="Times New Roman" w:eastAsia="宋体" w:cs="Times New Roman"/>
                <w:color w:val="auto"/>
                <w:spacing w:val="0"/>
                <w:w w:val="100"/>
                <w:sz w:val="21"/>
                <w:szCs w:val="21"/>
                <w:lang w:eastAsia="zh-CN"/>
              </w:rPr>
              <w:t>）</w:t>
            </w:r>
          </w:p>
        </w:tc>
        <w:tc>
          <w:tcPr>
            <w:tcW w:w="416" w:type="pct"/>
            <w:noWrap w:val="0"/>
            <w:vAlign w:val="center"/>
          </w:tcPr>
          <w:p w14:paraId="4E314751">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eastAsia="zh-CN"/>
              </w:rPr>
              <w:t>千河</w:t>
            </w:r>
          </w:p>
        </w:tc>
        <w:tc>
          <w:tcPr>
            <w:tcW w:w="629" w:type="pct"/>
            <w:noWrap w:val="0"/>
            <w:vAlign w:val="center"/>
          </w:tcPr>
          <w:p w14:paraId="66F6E3FA">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连续排放流量稳定</w:t>
            </w:r>
          </w:p>
        </w:tc>
        <w:tc>
          <w:tcPr>
            <w:tcW w:w="383" w:type="pct"/>
            <w:noWrap w:val="0"/>
            <w:vAlign w:val="center"/>
          </w:tcPr>
          <w:p w14:paraId="4DA00EE9">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eastAsia="zh-CN"/>
              </w:rPr>
            </w:pPr>
            <w:r>
              <w:rPr>
                <w:rFonts w:hint="eastAsia" w:ascii="Times New Roman" w:hAnsi="Times New Roman" w:eastAsia="宋体" w:cs="Times New Roman"/>
                <w:color w:val="auto"/>
                <w:spacing w:val="0"/>
                <w:w w:val="100"/>
                <w:sz w:val="21"/>
                <w:szCs w:val="21"/>
                <w:lang w:eastAsia="zh-CN"/>
              </w:rPr>
              <w:t>千河</w:t>
            </w:r>
          </w:p>
        </w:tc>
        <w:tc>
          <w:tcPr>
            <w:tcW w:w="534" w:type="pct"/>
            <w:noWrap w:val="0"/>
            <w:vAlign w:val="center"/>
          </w:tcPr>
          <w:p w14:paraId="0504AD40">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rPr>
            </w:pPr>
            <w:r>
              <w:rPr>
                <w:rFonts w:hint="eastAsia" w:ascii="Times New Roman" w:hAnsi="Times New Roman" w:eastAsia="宋体" w:cs="Times New Roman"/>
                <w:color w:val="auto"/>
                <w:spacing w:val="0"/>
                <w:w w:val="100"/>
                <w:sz w:val="21"/>
                <w:szCs w:val="21"/>
                <w:lang w:eastAsia="zh-CN"/>
              </w:rPr>
              <w:t>Ⅲ</w:t>
            </w:r>
            <w:r>
              <w:rPr>
                <w:rFonts w:hint="default" w:ascii="Times New Roman" w:hAnsi="Times New Roman" w:eastAsia="宋体" w:cs="Times New Roman"/>
                <w:color w:val="auto"/>
                <w:spacing w:val="0"/>
                <w:w w:val="100"/>
                <w:sz w:val="21"/>
                <w:szCs w:val="21"/>
              </w:rPr>
              <w:t>类</w:t>
            </w:r>
          </w:p>
        </w:tc>
        <w:tc>
          <w:tcPr>
            <w:tcW w:w="851" w:type="pct"/>
            <w:noWrap w:val="0"/>
            <w:vAlign w:val="center"/>
          </w:tcPr>
          <w:p w14:paraId="4472A2EB">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106°54′37.71122″,34°50′54.61142″</w:t>
            </w:r>
          </w:p>
        </w:tc>
      </w:tr>
    </w:tbl>
    <w:p w14:paraId="7CEE9E5B">
      <w:pPr>
        <w:spacing w:line="240" w:lineRule="auto"/>
        <w:ind w:firstLine="422" w:firstLineChars="200"/>
        <w:jc w:val="center"/>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表</w:t>
      </w:r>
      <w:r>
        <w:rPr>
          <w:rFonts w:hint="default" w:ascii="Times New Roman" w:hAnsi="Times New Roman" w:eastAsia="宋体" w:cs="Times New Roman"/>
          <w:b/>
          <w:bCs/>
          <w:color w:val="auto"/>
          <w:spacing w:val="0"/>
          <w:w w:val="100"/>
          <w:sz w:val="21"/>
          <w:szCs w:val="21"/>
          <w:lang w:val="en-US" w:eastAsia="zh-CN"/>
        </w:rPr>
        <w:t>4-6</w:t>
      </w:r>
      <w:r>
        <w:rPr>
          <w:rFonts w:hint="default" w:ascii="Times New Roman" w:hAnsi="Times New Roman" w:eastAsia="宋体" w:cs="Times New Roman"/>
          <w:b/>
          <w:bCs/>
          <w:color w:val="auto"/>
          <w:spacing w:val="0"/>
          <w:w w:val="100"/>
          <w:sz w:val="21"/>
          <w:szCs w:val="21"/>
        </w:rPr>
        <w:t xml:space="preserve"> </w:t>
      </w:r>
      <w:r>
        <w:rPr>
          <w:rFonts w:hint="default" w:ascii="Times New Roman" w:hAnsi="Times New Roman" w:eastAsia="宋体" w:cs="Times New Roman"/>
          <w:b/>
          <w:bCs/>
          <w:color w:val="auto"/>
          <w:spacing w:val="0"/>
          <w:w w:val="100"/>
          <w:sz w:val="21"/>
          <w:szCs w:val="21"/>
          <w:lang w:val="en-US" w:eastAsia="zh-CN"/>
        </w:rPr>
        <w:t xml:space="preserve"> </w:t>
      </w:r>
      <w:r>
        <w:rPr>
          <w:rFonts w:hint="default" w:ascii="Times New Roman" w:hAnsi="Times New Roman" w:eastAsia="宋体" w:cs="Times New Roman"/>
          <w:b/>
          <w:bCs/>
          <w:color w:val="auto"/>
          <w:spacing w:val="0"/>
          <w:w w:val="100"/>
          <w:sz w:val="21"/>
          <w:szCs w:val="21"/>
        </w:rPr>
        <w:t xml:space="preserve"> 地表水环境影响评价自查表</w:t>
      </w:r>
    </w:p>
    <w:tbl>
      <w:tblPr>
        <w:tblStyle w:val="21"/>
        <w:tblW w:w="50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1061"/>
        <w:gridCol w:w="1328"/>
        <w:gridCol w:w="987"/>
        <w:gridCol w:w="903"/>
        <w:gridCol w:w="355"/>
        <w:gridCol w:w="562"/>
        <w:gridCol w:w="1151"/>
        <w:gridCol w:w="671"/>
        <w:gridCol w:w="45"/>
        <w:gridCol w:w="896"/>
      </w:tblGrid>
      <w:tr w14:paraId="72412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989" w:type="pct"/>
            <w:gridSpan w:val="2"/>
            <w:noWrap/>
            <w:vAlign w:val="center"/>
          </w:tcPr>
          <w:p w14:paraId="2263CED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自查表工作内容</w:t>
            </w:r>
          </w:p>
        </w:tc>
        <w:tc>
          <w:tcPr>
            <w:tcW w:w="4010" w:type="pct"/>
            <w:gridSpan w:val="9"/>
            <w:noWrap/>
            <w:vAlign w:val="center"/>
          </w:tcPr>
          <w:p w14:paraId="0D26C0B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自查项目</w:t>
            </w:r>
          </w:p>
        </w:tc>
      </w:tr>
      <w:tr w14:paraId="742A8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restart"/>
            <w:noWrap/>
            <w:textDirection w:val="tbRlV"/>
            <w:vAlign w:val="center"/>
          </w:tcPr>
          <w:p w14:paraId="308799C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影响识别</w:t>
            </w:r>
          </w:p>
        </w:tc>
        <w:tc>
          <w:tcPr>
            <w:tcW w:w="616" w:type="pct"/>
            <w:noWrap w:val="0"/>
            <w:vAlign w:val="center"/>
          </w:tcPr>
          <w:p w14:paraId="4043B5E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影响类型</w:t>
            </w:r>
          </w:p>
        </w:tc>
        <w:tc>
          <w:tcPr>
            <w:tcW w:w="4010" w:type="pct"/>
            <w:gridSpan w:val="9"/>
            <w:noWrap/>
            <w:vAlign w:val="center"/>
          </w:tcPr>
          <w:p w14:paraId="6196B0B3">
            <w:pPr>
              <w:keepNext w:val="0"/>
              <w:keepLines w:val="0"/>
              <w:widowControl/>
              <w:suppressLineNumbers w:val="0"/>
              <w:spacing w:before="0" w:beforeAutospacing="0" w:after="0" w:afterAutospacing="0" w:line="0" w:lineRule="atLeast"/>
              <w:ind w:left="0" w:right="0"/>
              <w:jc w:val="center"/>
              <w:textAlignment w:val="center"/>
              <w:rPr>
                <w:rFonts w:hint="eastAsia" w:ascii="Times New Roman" w:hAnsi="Times New Roman" w:eastAsia="宋体" w:cs="Times New Roman"/>
                <w:color w:val="auto"/>
                <w:spacing w:val="0"/>
                <w:w w:val="100"/>
                <w:kern w:val="0"/>
                <w:sz w:val="21"/>
                <w:szCs w:val="21"/>
                <w:lang w:eastAsia="zh-CN" w:bidi="ar"/>
              </w:rPr>
            </w:pPr>
            <w:r>
              <w:rPr>
                <w:rFonts w:hint="default" w:ascii="Times New Roman" w:hAnsi="Times New Roman" w:eastAsia="宋体" w:cs="Times New Roman"/>
                <w:color w:val="auto"/>
                <w:spacing w:val="0"/>
                <w:w w:val="100"/>
                <w:kern w:val="0"/>
                <w:sz w:val="21"/>
                <w:szCs w:val="21"/>
                <w:lang w:bidi="ar"/>
              </w:rPr>
              <w:t>水污染影响型</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水文要素影响型</w:t>
            </w:r>
            <w:r>
              <w:rPr>
                <w:rFonts w:hint="eastAsia" w:ascii="Times New Roman" w:hAnsi="Times New Roman" w:eastAsia="宋体" w:cs="Times New Roman"/>
                <w:color w:val="auto"/>
                <w:spacing w:val="0"/>
                <w:w w:val="100"/>
                <w:kern w:val="0"/>
                <w:sz w:val="21"/>
                <w:szCs w:val="21"/>
                <w:lang w:eastAsia="zh-CN" w:bidi="ar"/>
              </w:rPr>
              <w:t>□</w:t>
            </w:r>
          </w:p>
        </w:tc>
      </w:tr>
      <w:tr w14:paraId="41EBC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2EAE27C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4331078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水环境保护目标</w:t>
            </w:r>
          </w:p>
        </w:tc>
        <w:tc>
          <w:tcPr>
            <w:tcW w:w="4010" w:type="pct"/>
            <w:gridSpan w:val="9"/>
            <w:noWrap w:val="0"/>
            <w:vAlign w:val="center"/>
          </w:tcPr>
          <w:p w14:paraId="73163B68">
            <w:pPr>
              <w:keepNext w:val="0"/>
              <w:keepLines w:val="0"/>
              <w:widowControl/>
              <w:suppressLineNumbers w:val="0"/>
              <w:spacing w:before="0" w:beforeAutospacing="0" w:after="0" w:afterAutospacing="0" w:line="0" w:lineRule="atLeast"/>
              <w:ind w:left="0" w:right="0"/>
              <w:jc w:val="center"/>
              <w:textAlignment w:val="center"/>
              <w:rPr>
                <w:rFonts w:hint="eastAsia" w:ascii="Times New Roman" w:hAnsi="Times New Roman" w:eastAsia="宋体" w:cs="Times New Roman"/>
                <w:color w:val="auto"/>
                <w:spacing w:val="0"/>
                <w:w w:val="100"/>
                <w:kern w:val="0"/>
                <w:sz w:val="21"/>
                <w:szCs w:val="21"/>
                <w:lang w:eastAsia="zh-CN" w:bidi="ar"/>
              </w:rPr>
            </w:pPr>
            <w:r>
              <w:rPr>
                <w:rFonts w:hint="default" w:ascii="Times New Roman" w:hAnsi="Times New Roman" w:eastAsia="宋体" w:cs="Times New Roman"/>
                <w:color w:val="auto"/>
                <w:spacing w:val="0"/>
                <w:w w:val="100"/>
                <w:kern w:val="0"/>
                <w:sz w:val="21"/>
                <w:szCs w:val="21"/>
                <w:lang w:bidi="ar"/>
              </w:rPr>
              <w:t>饮用水水源保护区口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饮用水取水口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涉水的自然保护区口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重要湿地口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重点保护与珍稀水生生物的栖息地</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重要水生生物的自然产卵场及索饵场、越冬场和洄游通道、天然渔场等渔业水体</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涉水的风景名胜区口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w:t>
            </w:r>
            <w:r>
              <w:rPr>
                <w:rFonts w:hint="eastAsia" w:ascii="Times New Roman" w:hAnsi="Times New Roman" w:eastAsia="宋体" w:cs="Times New Roman"/>
                <w:color w:val="auto"/>
                <w:spacing w:val="0"/>
                <w:w w:val="100"/>
                <w:kern w:val="0"/>
                <w:sz w:val="21"/>
                <w:szCs w:val="21"/>
                <w:lang w:eastAsia="zh-CN" w:bidi="ar"/>
              </w:rPr>
              <w:t>□</w:t>
            </w:r>
          </w:p>
        </w:tc>
      </w:tr>
      <w:tr w14:paraId="18ACF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449FA652">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restart"/>
            <w:noWrap w:val="0"/>
            <w:vAlign w:val="center"/>
          </w:tcPr>
          <w:p w14:paraId="60B930C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影响途径</w:t>
            </w:r>
          </w:p>
        </w:tc>
        <w:tc>
          <w:tcPr>
            <w:tcW w:w="1871" w:type="pct"/>
            <w:gridSpan w:val="3"/>
            <w:noWrap w:val="0"/>
            <w:vAlign w:val="center"/>
          </w:tcPr>
          <w:p w14:paraId="6D9CC801">
            <w:pPr>
              <w:keepNext w:val="0"/>
              <w:keepLines w:val="0"/>
              <w:widowControl/>
              <w:suppressLineNumbers w:val="0"/>
              <w:spacing w:before="0" w:beforeAutospacing="0" w:after="0" w:afterAutospacing="0" w:line="0" w:lineRule="atLeast"/>
              <w:ind w:left="0" w:right="0"/>
              <w:jc w:val="center"/>
              <w:textAlignment w:val="center"/>
              <w:rPr>
                <w:rFonts w:hint="eastAsia" w:ascii="Times New Roman" w:hAnsi="Times New Roman" w:eastAsia="宋体" w:cs="Times New Roman"/>
                <w:color w:val="auto"/>
                <w:spacing w:val="0"/>
                <w:w w:val="100"/>
                <w:kern w:val="0"/>
                <w:sz w:val="21"/>
                <w:szCs w:val="21"/>
                <w:lang w:eastAsia="zh-CN" w:bidi="ar"/>
              </w:rPr>
            </w:pPr>
            <w:r>
              <w:rPr>
                <w:rFonts w:hint="default" w:ascii="Times New Roman" w:hAnsi="Times New Roman" w:eastAsia="宋体" w:cs="Times New Roman"/>
                <w:color w:val="auto"/>
                <w:spacing w:val="0"/>
                <w:w w:val="100"/>
                <w:kern w:val="0"/>
                <w:sz w:val="21"/>
                <w:szCs w:val="21"/>
                <w:lang w:bidi="ar"/>
              </w:rPr>
              <w:t>水污染影响型☑</w:t>
            </w:r>
          </w:p>
        </w:tc>
        <w:tc>
          <w:tcPr>
            <w:tcW w:w="2139" w:type="pct"/>
            <w:gridSpan w:val="6"/>
            <w:noWrap w:val="0"/>
            <w:vAlign w:val="center"/>
          </w:tcPr>
          <w:p w14:paraId="4980CE5C">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水文要素影响型</w:t>
            </w:r>
          </w:p>
        </w:tc>
      </w:tr>
      <w:tr w14:paraId="37257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4174A0D2">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067BDE8F">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1871" w:type="pct"/>
            <w:gridSpan w:val="3"/>
            <w:noWrap w:val="0"/>
            <w:vAlign w:val="center"/>
          </w:tcPr>
          <w:p w14:paraId="1CA59661">
            <w:pPr>
              <w:keepNext w:val="0"/>
              <w:keepLines w:val="0"/>
              <w:widowControl/>
              <w:suppressLineNumbers w:val="0"/>
              <w:spacing w:before="0" w:beforeAutospacing="0" w:after="0" w:afterAutospacing="0" w:line="0" w:lineRule="atLeast"/>
              <w:ind w:left="0" w:right="0"/>
              <w:jc w:val="center"/>
              <w:textAlignment w:val="center"/>
              <w:rPr>
                <w:rFonts w:hint="eastAsia" w:ascii="Times New Roman" w:hAnsi="Times New Roman" w:eastAsia="宋体" w:cs="Times New Roman"/>
                <w:color w:val="auto"/>
                <w:spacing w:val="0"/>
                <w:w w:val="100"/>
                <w:kern w:val="0"/>
                <w:sz w:val="21"/>
                <w:szCs w:val="21"/>
                <w:lang w:eastAsia="zh-CN" w:bidi="ar"/>
              </w:rPr>
            </w:pPr>
            <w:r>
              <w:rPr>
                <w:rFonts w:hint="default" w:ascii="Times New Roman" w:hAnsi="Times New Roman" w:eastAsia="宋体" w:cs="Times New Roman"/>
                <w:color w:val="auto"/>
                <w:spacing w:val="0"/>
                <w:w w:val="100"/>
                <w:kern w:val="0"/>
                <w:sz w:val="21"/>
                <w:szCs w:val="21"/>
                <w:lang w:bidi="ar"/>
              </w:rPr>
              <w:t>直接排放☑</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间接排放□</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w:t>
            </w:r>
          </w:p>
        </w:tc>
        <w:tc>
          <w:tcPr>
            <w:tcW w:w="2139" w:type="pct"/>
            <w:gridSpan w:val="6"/>
            <w:noWrap w:val="0"/>
            <w:vAlign w:val="center"/>
          </w:tcPr>
          <w:p w14:paraId="5D101FC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水温□</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径流□</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水域面积□</w:t>
            </w:r>
          </w:p>
        </w:tc>
      </w:tr>
      <w:tr w14:paraId="437B6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138DBF7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46992AE3">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影响因子</w:t>
            </w:r>
          </w:p>
        </w:tc>
        <w:tc>
          <w:tcPr>
            <w:tcW w:w="1871" w:type="pct"/>
            <w:gridSpan w:val="3"/>
            <w:noWrap w:val="0"/>
            <w:vAlign w:val="center"/>
          </w:tcPr>
          <w:p w14:paraId="0C2F51C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持久性污染物□</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有毒有害污染物□</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非持久性污染物☑</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pH值□</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热污染□</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富营养化</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w:t>
            </w:r>
          </w:p>
        </w:tc>
        <w:tc>
          <w:tcPr>
            <w:tcW w:w="2139" w:type="pct"/>
            <w:gridSpan w:val="6"/>
            <w:noWrap w:val="0"/>
            <w:vAlign w:val="center"/>
          </w:tcPr>
          <w:p w14:paraId="67C72F63">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水温□</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水位（水深）□</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流速□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流量□</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w:t>
            </w:r>
          </w:p>
        </w:tc>
      </w:tr>
      <w:tr w14:paraId="61800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9" w:type="pct"/>
            <w:gridSpan w:val="2"/>
            <w:vMerge w:val="restart"/>
            <w:noWrap/>
            <w:vAlign w:val="center"/>
          </w:tcPr>
          <w:p w14:paraId="1E1FCAD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评价等级</w:t>
            </w:r>
          </w:p>
        </w:tc>
        <w:tc>
          <w:tcPr>
            <w:tcW w:w="1871" w:type="pct"/>
            <w:gridSpan w:val="3"/>
            <w:noWrap/>
            <w:vAlign w:val="center"/>
          </w:tcPr>
          <w:p w14:paraId="1DE46CA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水污染影响型</w:t>
            </w:r>
          </w:p>
        </w:tc>
        <w:tc>
          <w:tcPr>
            <w:tcW w:w="2139" w:type="pct"/>
            <w:gridSpan w:val="6"/>
            <w:noWrap w:val="0"/>
            <w:vAlign w:val="center"/>
          </w:tcPr>
          <w:p w14:paraId="3895B91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水文要素影响型</w:t>
            </w:r>
          </w:p>
        </w:tc>
      </w:tr>
      <w:tr w14:paraId="5D742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9" w:type="pct"/>
            <w:gridSpan w:val="2"/>
            <w:vMerge w:val="continue"/>
            <w:noWrap/>
            <w:vAlign w:val="center"/>
          </w:tcPr>
          <w:p w14:paraId="7A0513A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1871" w:type="pct"/>
            <w:gridSpan w:val="3"/>
            <w:noWrap/>
            <w:vAlign w:val="center"/>
          </w:tcPr>
          <w:p w14:paraId="411CD20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eastAsia="zh-CN" w:bidi="ar"/>
              </w:rPr>
            </w:pPr>
            <w:r>
              <w:rPr>
                <w:rFonts w:hint="default" w:ascii="Times New Roman" w:hAnsi="Times New Roman" w:eastAsia="宋体" w:cs="Times New Roman"/>
                <w:color w:val="auto"/>
                <w:spacing w:val="0"/>
                <w:w w:val="100"/>
                <w:kern w:val="0"/>
                <w:sz w:val="21"/>
                <w:szCs w:val="21"/>
                <w:lang w:bidi="ar"/>
              </w:rPr>
              <w:t>一级</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二级☑</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三级A□</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三级B□</w:t>
            </w:r>
          </w:p>
        </w:tc>
        <w:tc>
          <w:tcPr>
            <w:tcW w:w="2139" w:type="pct"/>
            <w:gridSpan w:val="6"/>
            <w:noWrap w:val="0"/>
            <w:vAlign w:val="center"/>
          </w:tcPr>
          <w:p w14:paraId="3FC19C7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一级□</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二级□</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三级□</w:t>
            </w:r>
          </w:p>
        </w:tc>
      </w:tr>
      <w:tr w14:paraId="44109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372" w:type="pct"/>
            <w:vMerge w:val="restart"/>
            <w:noWrap/>
            <w:textDirection w:val="tbRlV"/>
            <w:vAlign w:val="center"/>
          </w:tcPr>
          <w:p w14:paraId="32A7341E">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现状调查</w:t>
            </w:r>
          </w:p>
        </w:tc>
        <w:tc>
          <w:tcPr>
            <w:tcW w:w="616" w:type="pct"/>
            <w:vMerge w:val="restart"/>
            <w:noWrap w:val="0"/>
            <w:vAlign w:val="center"/>
          </w:tcPr>
          <w:p w14:paraId="0BE6553F">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区域污染源</w:t>
            </w:r>
          </w:p>
        </w:tc>
        <w:tc>
          <w:tcPr>
            <w:tcW w:w="1871" w:type="pct"/>
            <w:gridSpan w:val="3"/>
            <w:noWrap/>
            <w:vAlign w:val="center"/>
          </w:tcPr>
          <w:p w14:paraId="76AEED52">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调查项目</w:t>
            </w:r>
          </w:p>
        </w:tc>
        <w:tc>
          <w:tcPr>
            <w:tcW w:w="2139" w:type="pct"/>
            <w:gridSpan w:val="6"/>
            <w:noWrap/>
            <w:vAlign w:val="center"/>
          </w:tcPr>
          <w:p w14:paraId="634EA594">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数据来源</w:t>
            </w:r>
          </w:p>
        </w:tc>
      </w:tr>
      <w:tr w14:paraId="6A9BF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0150C6F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2B1D99D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1871" w:type="pct"/>
            <w:gridSpan w:val="3"/>
            <w:noWrap w:val="0"/>
            <w:vAlign w:val="center"/>
          </w:tcPr>
          <w:p w14:paraId="0D34B22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已建☑</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在建☑</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拟建☑</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w:t>
            </w:r>
          </w:p>
        </w:tc>
        <w:tc>
          <w:tcPr>
            <w:tcW w:w="533" w:type="pct"/>
            <w:gridSpan w:val="2"/>
            <w:noWrap w:val="0"/>
            <w:vAlign w:val="center"/>
          </w:tcPr>
          <w:p w14:paraId="7E32EBDC">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拟替代的污染源□</w:t>
            </w:r>
          </w:p>
        </w:tc>
        <w:tc>
          <w:tcPr>
            <w:tcW w:w="1606" w:type="pct"/>
            <w:gridSpan w:val="4"/>
            <w:noWrap w:val="0"/>
            <w:vAlign w:val="center"/>
          </w:tcPr>
          <w:p w14:paraId="6672D4D1">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排污许可证</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环评□</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环保验收□</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既有实测□</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现场监测□</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入河排放口数据</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w:t>
            </w:r>
          </w:p>
        </w:tc>
      </w:tr>
      <w:tr w14:paraId="1F47A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372" w:type="pct"/>
            <w:vMerge w:val="continue"/>
            <w:noWrap w:val="0"/>
            <w:vAlign w:val="center"/>
          </w:tcPr>
          <w:p w14:paraId="098DAAF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restart"/>
            <w:noWrap w:val="0"/>
            <w:vAlign w:val="center"/>
          </w:tcPr>
          <w:p w14:paraId="33D1498C">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受影响水体水环境质量</w:t>
            </w:r>
          </w:p>
        </w:tc>
        <w:tc>
          <w:tcPr>
            <w:tcW w:w="1871" w:type="pct"/>
            <w:gridSpan w:val="3"/>
            <w:noWrap/>
            <w:vAlign w:val="center"/>
          </w:tcPr>
          <w:p w14:paraId="2F2F936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调查时期</w:t>
            </w:r>
          </w:p>
        </w:tc>
        <w:tc>
          <w:tcPr>
            <w:tcW w:w="2139" w:type="pct"/>
            <w:gridSpan w:val="6"/>
            <w:noWrap/>
            <w:vAlign w:val="center"/>
          </w:tcPr>
          <w:p w14:paraId="5A1487E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数据来源</w:t>
            </w:r>
          </w:p>
        </w:tc>
      </w:tr>
      <w:tr w14:paraId="7BCEB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081912D0">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4BFAEEAD">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1871" w:type="pct"/>
            <w:gridSpan w:val="3"/>
            <w:noWrap w:val="0"/>
            <w:vAlign w:val="center"/>
          </w:tcPr>
          <w:p w14:paraId="76AEE3FC">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eastAsia="zh-CN" w:bidi="ar"/>
              </w:rPr>
            </w:pPr>
            <w:r>
              <w:rPr>
                <w:rFonts w:hint="default" w:ascii="Times New Roman" w:hAnsi="Times New Roman" w:eastAsia="宋体" w:cs="Times New Roman"/>
                <w:color w:val="auto"/>
                <w:spacing w:val="0"/>
                <w:w w:val="100"/>
                <w:kern w:val="0"/>
                <w:sz w:val="21"/>
                <w:szCs w:val="21"/>
                <w:lang w:bidi="ar"/>
              </w:rPr>
              <w:t>丰水期</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平水期□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枯水期☑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冰封□</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春季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夏季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秋季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冬季</w:t>
            </w:r>
            <w:r>
              <w:rPr>
                <w:rFonts w:hint="default" w:ascii="Times New Roman" w:hAnsi="Times New Roman" w:eastAsia="宋体" w:cs="Times New Roman"/>
                <w:color w:val="auto"/>
                <w:spacing w:val="0"/>
                <w:w w:val="100"/>
                <w:kern w:val="0"/>
                <w:sz w:val="21"/>
                <w:szCs w:val="21"/>
                <w:lang w:eastAsia="zh-CN" w:bidi="ar"/>
              </w:rPr>
              <w:t>□</w:t>
            </w:r>
          </w:p>
        </w:tc>
        <w:tc>
          <w:tcPr>
            <w:tcW w:w="2139" w:type="pct"/>
            <w:gridSpan w:val="6"/>
            <w:noWrap/>
            <w:vAlign w:val="center"/>
          </w:tcPr>
          <w:p w14:paraId="19919782">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eastAsia="zh-CN" w:bidi="ar"/>
              </w:rPr>
            </w:pPr>
            <w:r>
              <w:rPr>
                <w:rFonts w:hint="default" w:ascii="Times New Roman" w:hAnsi="Times New Roman" w:eastAsia="宋体" w:cs="Times New Roman"/>
                <w:color w:val="auto"/>
                <w:spacing w:val="0"/>
                <w:w w:val="100"/>
                <w:kern w:val="0"/>
                <w:sz w:val="21"/>
                <w:szCs w:val="21"/>
                <w:lang w:bidi="ar"/>
              </w:rPr>
              <w:t>生态环境保护主管部门☑</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补充监测☑</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w:t>
            </w:r>
            <w:r>
              <w:rPr>
                <w:rFonts w:hint="default" w:ascii="Times New Roman" w:hAnsi="Times New Roman" w:eastAsia="宋体" w:cs="Times New Roman"/>
                <w:color w:val="auto"/>
                <w:spacing w:val="0"/>
                <w:w w:val="100"/>
                <w:kern w:val="0"/>
                <w:sz w:val="21"/>
                <w:szCs w:val="21"/>
                <w:lang w:eastAsia="zh-CN" w:bidi="ar"/>
              </w:rPr>
              <w:t>□</w:t>
            </w:r>
          </w:p>
        </w:tc>
      </w:tr>
      <w:tr w14:paraId="6D6D7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1277DE3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15723DD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区域水资源开发利用状况</w:t>
            </w:r>
          </w:p>
        </w:tc>
        <w:tc>
          <w:tcPr>
            <w:tcW w:w="4010" w:type="pct"/>
            <w:gridSpan w:val="9"/>
            <w:noWrap/>
            <w:vAlign w:val="center"/>
          </w:tcPr>
          <w:p w14:paraId="748FD8D0">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未开发□</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开发量40%以下□</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开发量40%以上□</w:t>
            </w:r>
          </w:p>
        </w:tc>
      </w:tr>
      <w:tr w14:paraId="5F81D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40576D32">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restart"/>
            <w:noWrap w:val="0"/>
            <w:vAlign w:val="center"/>
          </w:tcPr>
          <w:p w14:paraId="22E0E69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水文情势调查</w:t>
            </w:r>
          </w:p>
        </w:tc>
        <w:tc>
          <w:tcPr>
            <w:tcW w:w="1871" w:type="pct"/>
            <w:gridSpan w:val="3"/>
            <w:noWrap/>
            <w:vAlign w:val="center"/>
          </w:tcPr>
          <w:p w14:paraId="4D5DD76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调查时期</w:t>
            </w:r>
          </w:p>
        </w:tc>
        <w:tc>
          <w:tcPr>
            <w:tcW w:w="2139" w:type="pct"/>
            <w:gridSpan w:val="6"/>
            <w:noWrap/>
            <w:vAlign w:val="center"/>
          </w:tcPr>
          <w:p w14:paraId="64F57E0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数据来源</w:t>
            </w:r>
          </w:p>
        </w:tc>
      </w:tr>
      <w:tr w14:paraId="21E24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173A730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361238CF">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1871" w:type="pct"/>
            <w:gridSpan w:val="3"/>
            <w:noWrap w:val="0"/>
            <w:vAlign w:val="center"/>
          </w:tcPr>
          <w:p w14:paraId="30D4CC2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丰水期□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平水期□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枯水期□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冰封期□</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春季□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夏季□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秋季□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冬季□</w:t>
            </w:r>
          </w:p>
        </w:tc>
        <w:tc>
          <w:tcPr>
            <w:tcW w:w="2139" w:type="pct"/>
            <w:gridSpan w:val="6"/>
            <w:noWrap/>
            <w:vAlign w:val="center"/>
          </w:tcPr>
          <w:p w14:paraId="2D0A31A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水行政主管部门□</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补充监测□</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w:t>
            </w:r>
          </w:p>
        </w:tc>
      </w:tr>
      <w:tr w14:paraId="7F9CD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0D96B49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restart"/>
            <w:noWrap w:val="0"/>
            <w:vAlign w:val="center"/>
          </w:tcPr>
          <w:p w14:paraId="088C9CC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补充监测</w:t>
            </w:r>
          </w:p>
        </w:tc>
        <w:tc>
          <w:tcPr>
            <w:tcW w:w="1871" w:type="pct"/>
            <w:gridSpan w:val="3"/>
            <w:noWrap w:val="0"/>
            <w:vAlign w:val="center"/>
          </w:tcPr>
          <w:p w14:paraId="1F55CC13">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监测时期</w:t>
            </w:r>
          </w:p>
        </w:tc>
        <w:tc>
          <w:tcPr>
            <w:tcW w:w="1202" w:type="pct"/>
            <w:gridSpan w:val="3"/>
            <w:noWrap/>
            <w:vAlign w:val="center"/>
          </w:tcPr>
          <w:p w14:paraId="46C6FB6F">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监测因子</w:t>
            </w:r>
          </w:p>
        </w:tc>
        <w:tc>
          <w:tcPr>
            <w:tcW w:w="937" w:type="pct"/>
            <w:gridSpan w:val="3"/>
            <w:noWrap/>
            <w:vAlign w:val="center"/>
          </w:tcPr>
          <w:p w14:paraId="768957FE">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监测断面或点位</w:t>
            </w:r>
          </w:p>
        </w:tc>
      </w:tr>
      <w:tr w14:paraId="08D17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continue"/>
            <w:noWrap w:val="0"/>
            <w:vAlign w:val="center"/>
          </w:tcPr>
          <w:p w14:paraId="5524D5D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0C6F59BD">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1871" w:type="pct"/>
            <w:gridSpan w:val="3"/>
            <w:noWrap w:val="0"/>
            <w:vAlign w:val="center"/>
          </w:tcPr>
          <w:p w14:paraId="6B5FDA0F">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丰水期</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平水期□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枯水期☑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冰封期□</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春季□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夏季□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秋季□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冬季□</w:t>
            </w:r>
          </w:p>
        </w:tc>
        <w:tc>
          <w:tcPr>
            <w:tcW w:w="1202" w:type="pct"/>
            <w:gridSpan w:val="3"/>
            <w:noWrap/>
            <w:vAlign w:val="center"/>
          </w:tcPr>
          <w:p w14:paraId="039BA76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w:t>
            </w:r>
            <w:r>
              <w:rPr>
                <w:rFonts w:hint="default"/>
                <w:spacing w:val="6"/>
                <w:sz w:val="20"/>
                <w:szCs w:val="20"/>
              </w:rPr>
              <w:t>水温、</w:t>
            </w:r>
            <w:r>
              <w:rPr>
                <w:rFonts w:hint="default" w:ascii="Times New Roman" w:hAnsi="Times New Roman" w:eastAsia="Times New Roman" w:cs="Times New Roman"/>
                <w:sz w:val="20"/>
                <w:szCs w:val="20"/>
              </w:rPr>
              <w:t>pH</w:t>
            </w:r>
            <w:r>
              <w:rPr>
                <w:rFonts w:hint="default"/>
                <w:spacing w:val="6"/>
                <w:sz w:val="20"/>
                <w:szCs w:val="20"/>
              </w:rPr>
              <w:t>、</w:t>
            </w:r>
            <w:r>
              <w:rPr>
                <w:rFonts w:hint="default" w:ascii="Times New Roman" w:hAnsi="Times New Roman" w:eastAsia="Times New Roman" w:cs="Times New Roman"/>
                <w:sz w:val="20"/>
                <w:szCs w:val="20"/>
              </w:rPr>
              <w:t>SS</w:t>
            </w:r>
            <w:r>
              <w:rPr>
                <w:rFonts w:hint="default"/>
                <w:spacing w:val="6"/>
                <w:sz w:val="20"/>
                <w:szCs w:val="20"/>
              </w:rPr>
              <w:t>、</w:t>
            </w:r>
            <w:r>
              <w:rPr>
                <w:rFonts w:hint="default" w:ascii="Times New Roman" w:hAnsi="Times New Roman" w:eastAsia="Times New Roman" w:cs="Times New Roman"/>
                <w:sz w:val="20"/>
                <w:szCs w:val="20"/>
              </w:rPr>
              <w:t>COD</w:t>
            </w:r>
            <w:r>
              <w:rPr>
                <w:rFonts w:hint="default"/>
                <w:spacing w:val="6"/>
                <w:sz w:val="20"/>
                <w:szCs w:val="20"/>
              </w:rPr>
              <w:t>、</w:t>
            </w:r>
            <w:r>
              <w:rPr>
                <w:rFonts w:hint="default" w:ascii="Times New Roman" w:hAnsi="Times New Roman" w:eastAsia="Times New Roman" w:cs="Times New Roman"/>
                <w:sz w:val="20"/>
                <w:szCs w:val="20"/>
              </w:rPr>
              <w:t>BOD</w:t>
            </w:r>
            <w:r>
              <w:rPr>
                <w:rFonts w:hint="default" w:ascii="Times New Roman" w:hAnsi="Times New Roman" w:eastAsia="Times New Roman" w:cs="Times New Roman"/>
                <w:spacing w:val="6"/>
                <w:position w:val="-1"/>
                <w:sz w:val="13"/>
                <w:szCs w:val="13"/>
              </w:rPr>
              <w:t>5</w:t>
            </w:r>
            <w:r>
              <w:rPr>
                <w:rFonts w:hint="default"/>
                <w:spacing w:val="6"/>
                <w:sz w:val="20"/>
                <w:szCs w:val="20"/>
              </w:rPr>
              <w:t>、</w:t>
            </w:r>
            <w:r>
              <w:rPr>
                <w:rFonts w:hint="default" w:ascii="Times New Roman" w:hAnsi="Times New Roman" w:eastAsia="Times New Roman" w:cs="Times New Roman"/>
                <w:sz w:val="20"/>
                <w:szCs w:val="20"/>
              </w:rPr>
              <w:t>DO</w:t>
            </w:r>
            <w:r>
              <w:rPr>
                <w:rFonts w:hint="default"/>
                <w:spacing w:val="6"/>
                <w:sz w:val="20"/>
                <w:szCs w:val="20"/>
              </w:rPr>
              <w:t>、氨氮、氟化物、硫化</w:t>
            </w:r>
            <w:r>
              <w:rPr>
                <w:rFonts w:hint="default"/>
                <w:spacing w:val="7"/>
                <w:sz w:val="20"/>
                <w:szCs w:val="20"/>
              </w:rPr>
              <w:t>物、石油类、挥发酚、总砷、总镉、总汞、六价铬</w:t>
            </w:r>
            <w:r>
              <w:rPr>
                <w:rFonts w:hint="default"/>
                <w:spacing w:val="6"/>
                <w:sz w:val="20"/>
                <w:szCs w:val="20"/>
              </w:rPr>
              <w:t>、总磷、阴离子表面活性剂</w:t>
            </w:r>
            <w:r>
              <w:rPr>
                <w:rFonts w:hint="default" w:ascii="Times New Roman" w:hAnsi="Times New Roman" w:eastAsia="宋体" w:cs="Times New Roman"/>
                <w:color w:val="auto"/>
                <w:spacing w:val="0"/>
                <w:w w:val="100"/>
                <w:kern w:val="0"/>
                <w:sz w:val="21"/>
                <w:szCs w:val="21"/>
                <w:lang w:bidi="ar"/>
              </w:rPr>
              <w:t>）</w:t>
            </w:r>
          </w:p>
        </w:tc>
        <w:tc>
          <w:tcPr>
            <w:tcW w:w="937" w:type="pct"/>
            <w:gridSpan w:val="3"/>
            <w:noWrap/>
            <w:vAlign w:val="center"/>
          </w:tcPr>
          <w:p w14:paraId="769402A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监测断面或点位个数（</w:t>
            </w:r>
            <w:r>
              <w:rPr>
                <w:rFonts w:hint="default" w:ascii="Times New Roman" w:hAnsi="Times New Roman" w:eastAsia="宋体" w:cs="Times New Roman"/>
                <w:color w:val="auto"/>
                <w:spacing w:val="0"/>
                <w:w w:val="100"/>
                <w:kern w:val="0"/>
                <w:sz w:val="21"/>
                <w:szCs w:val="21"/>
                <w:lang w:val="en-US" w:eastAsia="zh-CN" w:bidi="ar"/>
              </w:rPr>
              <w:t>2</w:t>
            </w:r>
            <w:r>
              <w:rPr>
                <w:rFonts w:hint="default" w:ascii="Times New Roman" w:hAnsi="Times New Roman" w:eastAsia="宋体" w:cs="Times New Roman"/>
                <w:color w:val="auto"/>
                <w:spacing w:val="0"/>
                <w:w w:val="100"/>
                <w:kern w:val="0"/>
                <w:sz w:val="21"/>
                <w:szCs w:val="21"/>
                <w:lang w:bidi="ar"/>
              </w:rPr>
              <w:t>）个</w:t>
            </w:r>
          </w:p>
        </w:tc>
      </w:tr>
      <w:tr w14:paraId="73363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restart"/>
            <w:noWrap/>
            <w:vAlign w:val="center"/>
          </w:tcPr>
          <w:p w14:paraId="4848A8CF">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现状评价</w:t>
            </w:r>
          </w:p>
        </w:tc>
        <w:tc>
          <w:tcPr>
            <w:tcW w:w="616" w:type="pct"/>
            <w:noWrap w:val="0"/>
            <w:vAlign w:val="center"/>
          </w:tcPr>
          <w:p w14:paraId="642E67C2">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评价范围</w:t>
            </w:r>
          </w:p>
        </w:tc>
        <w:tc>
          <w:tcPr>
            <w:tcW w:w="4010" w:type="pct"/>
            <w:gridSpan w:val="9"/>
            <w:noWrap/>
            <w:vAlign w:val="center"/>
          </w:tcPr>
          <w:p w14:paraId="48C0A9E4">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河流：长度（-）</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湖库、河口及近岸海域：面积（-）km</w:t>
            </w:r>
            <w:r>
              <w:rPr>
                <w:rFonts w:hint="default" w:ascii="Times New Roman" w:hAnsi="Times New Roman" w:eastAsia="宋体" w:cs="Times New Roman"/>
                <w:color w:val="auto"/>
                <w:spacing w:val="0"/>
                <w:w w:val="100"/>
                <w:kern w:val="0"/>
                <w:sz w:val="21"/>
                <w:szCs w:val="21"/>
                <w:vertAlign w:val="superscript"/>
                <w:lang w:bidi="ar"/>
              </w:rPr>
              <w:t>2</w:t>
            </w:r>
          </w:p>
        </w:tc>
      </w:tr>
      <w:tr w14:paraId="65D08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50BA750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29BC0D8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评价因子</w:t>
            </w:r>
          </w:p>
        </w:tc>
        <w:tc>
          <w:tcPr>
            <w:tcW w:w="4010" w:type="pct"/>
            <w:gridSpan w:val="9"/>
            <w:noWrap/>
            <w:vAlign w:val="center"/>
          </w:tcPr>
          <w:p w14:paraId="090ED2CE">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w:t>
            </w:r>
            <w:r>
              <w:rPr>
                <w:rFonts w:hint="default"/>
                <w:spacing w:val="6"/>
                <w:sz w:val="20"/>
                <w:szCs w:val="20"/>
              </w:rPr>
              <w:t>水温、</w:t>
            </w:r>
            <w:r>
              <w:rPr>
                <w:rFonts w:hint="default" w:ascii="Times New Roman" w:hAnsi="Times New Roman" w:eastAsia="Times New Roman" w:cs="Times New Roman"/>
                <w:sz w:val="20"/>
                <w:szCs w:val="20"/>
              </w:rPr>
              <w:t>pH</w:t>
            </w:r>
            <w:r>
              <w:rPr>
                <w:rFonts w:hint="default"/>
                <w:spacing w:val="6"/>
                <w:sz w:val="20"/>
                <w:szCs w:val="20"/>
              </w:rPr>
              <w:t>、</w:t>
            </w:r>
            <w:r>
              <w:rPr>
                <w:rFonts w:hint="default" w:ascii="Times New Roman" w:hAnsi="Times New Roman" w:eastAsia="Times New Roman" w:cs="Times New Roman"/>
                <w:sz w:val="20"/>
                <w:szCs w:val="20"/>
              </w:rPr>
              <w:t>SS</w:t>
            </w:r>
            <w:r>
              <w:rPr>
                <w:rFonts w:hint="default"/>
                <w:spacing w:val="6"/>
                <w:sz w:val="20"/>
                <w:szCs w:val="20"/>
              </w:rPr>
              <w:t>、</w:t>
            </w:r>
            <w:r>
              <w:rPr>
                <w:rFonts w:hint="default" w:ascii="Times New Roman" w:hAnsi="Times New Roman" w:eastAsia="Times New Roman" w:cs="Times New Roman"/>
                <w:sz w:val="20"/>
                <w:szCs w:val="20"/>
              </w:rPr>
              <w:t>COD</w:t>
            </w:r>
            <w:r>
              <w:rPr>
                <w:rFonts w:hint="default"/>
                <w:spacing w:val="6"/>
                <w:sz w:val="20"/>
                <w:szCs w:val="20"/>
              </w:rPr>
              <w:t>、</w:t>
            </w:r>
            <w:r>
              <w:rPr>
                <w:rFonts w:hint="default" w:ascii="Times New Roman" w:hAnsi="Times New Roman" w:eastAsia="Times New Roman" w:cs="Times New Roman"/>
                <w:sz w:val="20"/>
                <w:szCs w:val="20"/>
              </w:rPr>
              <w:t>BOD</w:t>
            </w:r>
            <w:r>
              <w:rPr>
                <w:rFonts w:hint="default" w:ascii="Times New Roman" w:hAnsi="Times New Roman" w:eastAsia="Times New Roman" w:cs="Times New Roman"/>
                <w:spacing w:val="6"/>
                <w:position w:val="-1"/>
                <w:sz w:val="13"/>
                <w:szCs w:val="13"/>
              </w:rPr>
              <w:t>5</w:t>
            </w:r>
            <w:r>
              <w:rPr>
                <w:rFonts w:hint="default"/>
                <w:spacing w:val="6"/>
                <w:sz w:val="20"/>
                <w:szCs w:val="20"/>
              </w:rPr>
              <w:t>、</w:t>
            </w:r>
            <w:r>
              <w:rPr>
                <w:rFonts w:hint="default" w:ascii="Times New Roman" w:hAnsi="Times New Roman" w:eastAsia="Times New Roman" w:cs="Times New Roman"/>
                <w:sz w:val="20"/>
                <w:szCs w:val="20"/>
              </w:rPr>
              <w:t>DO</w:t>
            </w:r>
            <w:r>
              <w:rPr>
                <w:rFonts w:hint="default"/>
                <w:spacing w:val="6"/>
                <w:sz w:val="20"/>
                <w:szCs w:val="20"/>
              </w:rPr>
              <w:t>、氨氮、氟化物、硫化</w:t>
            </w:r>
            <w:r>
              <w:rPr>
                <w:rFonts w:hint="default"/>
                <w:spacing w:val="7"/>
                <w:sz w:val="20"/>
                <w:szCs w:val="20"/>
              </w:rPr>
              <w:t>物、石油类、挥发酚、总砷、总镉、总汞、六价铬</w:t>
            </w:r>
            <w:r>
              <w:rPr>
                <w:rFonts w:hint="default"/>
                <w:spacing w:val="6"/>
                <w:sz w:val="20"/>
                <w:szCs w:val="20"/>
              </w:rPr>
              <w:t>、总磷、阴离子表面活性剂</w:t>
            </w:r>
            <w:r>
              <w:rPr>
                <w:rFonts w:hint="default" w:ascii="Times New Roman" w:hAnsi="Times New Roman" w:eastAsia="宋体" w:cs="Times New Roman"/>
                <w:color w:val="auto"/>
                <w:spacing w:val="0"/>
                <w:w w:val="100"/>
                <w:kern w:val="0"/>
                <w:sz w:val="21"/>
                <w:szCs w:val="21"/>
                <w:lang w:bidi="ar"/>
              </w:rPr>
              <w:t>）</w:t>
            </w:r>
          </w:p>
        </w:tc>
      </w:tr>
      <w:tr w14:paraId="4F480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38326D6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6F881D23">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评价标准</w:t>
            </w:r>
          </w:p>
        </w:tc>
        <w:tc>
          <w:tcPr>
            <w:tcW w:w="4010" w:type="pct"/>
            <w:gridSpan w:val="9"/>
            <w:noWrap/>
            <w:vAlign w:val="center"/>
          </w:tcPr>
          <w:p w14:paraId="6EC88EF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河流、湖库、河口：Ⅰ类□</w:t>
            </w:r>
            <w:r>
              <w:rPr>
                <w:rFonts w:hint="default" w:ascii="Times New Roman" w:hAnsi="Times New Roman" w:eastAsia="宋体" w:cs="Times New Roman"/>
                <w:color w:val="auto"/>
                <w:spacing w:val="0"/>
                <w:w w:val="100"/>
                <w:kern w:val="0"/>
                <w:sz w:val="21"/>
                <w:szCs w:val="21"/>
                <w:lang w:eastAsia="zh-CN" w:bidi="ar"/>
              </w:rPr>
              <w:t>；</w:t>
            </w:r>
            <w:r>
              <w:rPr>
                <w:rFonts w:hint="eastAsia" w:ascii="Times New Roman" w:hAnsi="Times New Roman" w:eastAsia="宋体" w:cs="Times New Roman"/>
                <w:color w:val="auto"/>
                <w:spacing w:val="0"/>
                <w:w w:val="100"/>
                <w:kern w:val="0"/>
                <w:sz w:val="21"/>
                <w:szCs w:val="21"/>
                <w:lang w:eastAsia="zh-CN" w:bidi="ar"/>
              </w:rPr>
              <w:t>Ⅱ类</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Ⅲ类☑</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Ⅳ类□</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Ⅴ类□</w:t>
            </w:r>
          </w:p>
          <w:p w14:paraId="4E35F99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近岸海域：第一类□</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第二类□</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第三类□</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第四类□</w:t>
            </w:r>
          </w:p>
          <w:p w14:paraId="2DBCDCF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规划年评价标准（   ）</w:t>
            </w:r>
          </w:p>
        </w:tc>
      </w:tr>
      <w:tr w14:paraId="73D8B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792CD82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6D104A0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评价时期</w:t>
            </w:r>
          </w:p>
        </w:tc>
        <w:tc>
          <w:tcPr>
            <w:tcW w:w="4010" w:type="pct"/>
            <w:gridSpan w:val="9"/>
            <w:noWrap w:val="0"/>
            <w:vAlign w:val="center"/>
          </w:tcPr>
          <w:p w14:paraId="53AEE218">
            <w:pPr>
              <w:keepNext w:val="0"/>
              <w:keepLines w:val="0"/>
              <w:widowControl/>
              <w:suppressLineNumbers w:val="0"/>
              <w:spacing w:before="0" w:beforeAutospacing="0" w:after="0" w:afterAutospacing="0" w:line="0" w:lineRule="atLeast"/>
              <w:ind w:left="0" w:right="0"/>
              <w:jc w:val="center"/>
              <w:textAlignment w:val="center"/>
              <w:rPr>
                <w:rFonts w:hint="eastAsia" w:ascii="Times New Roman" w:hAnsi="Times New Roman" w:eastAsia="宋体" w:cs="Times New Roman"/>
                <w:color w:val="auto"/>
                <w:spacing w:val="0"/>
                <w:w w:val="100"/>
                <w:kern w:val="0"/>
                <w:sz w:val="21"/>
                <w:szCs w:val="21"/>
                <w:lang w:eastAsia="zh-CN" w:bidi="ar"/>
              </w:rPr>
            </w:pPr>
            <w:r>
              <w:rPr>
                <w:rFonts w:hint="default" w:ascii="Times New Roman" w:hAnsi="Times New Roman" w:eastAsia="宋体" w:cs="Times New Roman"/>
                <w:color w:val="auto"/>
                <w:spacing w:val="0"/>
                <w:w w:val="100"/>
                <w:kern w:val="0"/>
                <w:sz w:val="21"/>
                <w:szCs w:val="21"/>
                <w:lang w:bidi="ar"/>
              </w:rPr>
              <w:t>丰水期</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平水期□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枯水期☑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冰封期□</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春季□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夏季□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秋季□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冬季□</w:t>
            </w:r>
          </w:p>
        </w:tc>
      </w:tr>
      <w:tr w14:paraId="6CE70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6CF11DB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04AB9D72">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评价结论</w:t>
            </w:r>
          </w:p>
        </w:tc>
        <w:tc>
          <w:tcPr>
            <w:tcW w:w="3489" w:type="pct"/>
            <w:gridSpan w:val="8"/>
            <w:noWrap w:val="0"/>
            <w:vAlign w:val="center"/>
          </w:tcPr>
          <w:p w14:paraId="494D5B8F">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水环境功能区或水功能区、近岸海域环境功能区水质达标状况□：达标□</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不达标□</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水环境控制单元或断面水质达标状况☑：达标☑</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不达标□</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水环境保护目标质量状况</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：达标□</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不达标□</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对照断面、控制断面等代表性断面的水质状况□：达标□</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不达标□</w:t>
            </w:r>
          </w:p>
          <w:p w14:paraId="321BC140">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底泥污染评价□</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水资源与开发利用程度及其水文情势评价□</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水环境质量回顾评价□</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流域（区域）水资源（包括水能资源）与开发利用总体状况、生态流量管理要求与现状满足程度、建设项目占用水域空间的水流状况与河湖演变状况□</w:t>
            </w:r>
          </w:p>
        </w:tc>
        <w:tc>
          <w:tcPr>
            <w:tcW w:w="520" w:type="pct"/>
            <w:noWrap w:val="0"/>
            <w:vAlign w:val="center"/>
          </w:tcPr>
          <w:p w14:paraId="6B36974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达标区☑</w:t>
            </w:r>
          </w:p>
          <w:p w14:paraId="1D1EEA6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不达标区□</w:t>
            </w:r>
          </w:p>
        </w:tc>
      </w:tr>
      <w:tr w14:paraId="5C261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restart"/>
            <w:noWrap/>
            <w:vAlign w:val="center"/>
          </w:tcPr>
          <w:p w14:paraId="1BD28EA2">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影响预测</w:t>
            </w:r>
          </w:p>
        </w:tc>
        <w:tc>
          <w:tcPr>
            <w:tcW w:w="616" w:type="pct"/>
            <w:noWrap w:val="0"/>
            <w:vAlign w:val="center"/>
          </w:tcPr>
          <w:p w14:paraId="64698C1D">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预测范围</w:t>
            </w:r>
          </w:p>
        </w:tc>
        <w:tc>
          <w:tcPr>
            <w:tcW w:w="4010" w:type="pct"/>
            <w:gridSpan w:val="9"/>
            <w:noWrap/>
            <w:vAlign w:val="center"/>
          </w:tcPr>
          <w:p w14:paraId="395F67A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河流：长度（</w:t>
            </w:r>
            <w:r>
              <w:rPr>
                <w:rFonts w:hint="eastAsia" w:ascii="Times New Roman" w:hAnsi="Times New Roman" w:eastAsia="宋体" w:cs="Times New Roman"/>
                <w:color w:val="auto"/>
                <w:spacing w:val="0"/>
                <w:w w:val="100"/>
                <w:kern w:val="0"/>
                <w:sz w:val="21"/>
                <w:szCs w:val="21"/>
                <w:lang w:val="en-US" w:eastAsia="zh-CN" w:bidi="ar"/>
              </w:rPr>
              <w:t>1.5</w:t>
            </w:r>
            <w:r>
              <w:rPr>
                <w:rFonts w:hint="default" w:ascii="Times New Roman" w:hAnsi="Times New Roman" w:eastAsia="宋体" w:cs="Times New Roman"/>
                <w:color w:val="auto"/>
                <w:spacing w:val="0"/>
                <w:w w:val="100"/>
                <w:kern w:val="0"/>
                <w:sz w:val="21"/>
                <w:szCs w:val="21"/>
                <w:lang w:bidi="ar"/>
              </w:rPr>
              <w:t>）km</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湖库、河口及近岸海域：面积（  ）km</w:t>
            </w:r>
            <w:r>
              <w:rPr>
                <w:rFonts w:hint="default" w:ascii="Times New Roman" w:hAnsi="Times New Roman" w:eastAsia="宋体" w:cs="Times New Roman"/>
                <w:color w:val="auto"/>
                <w:spacing w:val="0"/>
                <w:w w:val="100"/>
                <w:kern w:val="0"/>
                <w:sz w:val="21"/>
                <w:szCs w:val="21"/>
                <w:vertAlign w:val="superscript"/>
                <w:lang w:bidi="ar"/>
              </w:rPr>
              <w:t>2</w:t>
            </w:r>
          </w:p>
        </w:tc>
      </w:tr>
      <w:tr w14:paraId="6A4F8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43F4D691">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4BFDDF7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预测因子</w:t>
            </w:r>
          </w:p>
        </w:tc>
        <w:tc>
          <w:tcPr>
            <w:tcW w:w="4010" w:type="pct"/>
            <w:gridSpan w:val="9"/>
            <w:noWrap/>
            <w:vAlign w:val="center"/>
          </w:tcPr>
          <w:p w14:paraId="018DCE04">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（COD、氨氮）</w:t>
            </w:r>
          </w:p>
        </w:tc>
      </w:tr>
      <w:tr w14:paraId="4BE07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547AA1D1">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5FF6FC33">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预测时期</w:t>
            </w:r>
          </w:p>
        </w:tc>
        <w:tc>
          <w:tcPr>
            <w:tcW w:w="4010" w:type="pct"/>
            <w:gridSpan w:val="9"/>
            <w:noWrap w:val="0"/>
            <w:vAlign w:val="center"/>
          </w:tcPr>
          <w:p w14:paraId="7AD4675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丰水期□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平水期□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枯水期☑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冰封期□</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春季□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夏季□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秋季□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冬季□</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设计水文条件□</w:t>
            </w:r>
          </w:p>
        </w:tc>
      </w:tr>
      <w:tr w14:paraId="49533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7386BE7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1A7E2F11">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预测情景</w:t>
            </w:r>
          </w:p>
        </w:tc>
        <w:tc>
          <w:tcPr>
            <w:tcW w:w="4010" w:type="pct"/>
            <w:gridSpan w:val="9"/>
            <w:noWrap w:val="0"/>
            <w:vAlign w:val="center"/>
          </w:tcPr>
          <w:p w14:paraId="429DE0A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建设期□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生产运行期☑</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服务期满后□</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正常工况☑</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非正常工况☑</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污染控制和减缓措施方案□</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区（流）域环境质量改善目标要求情景□</w:t>
            </w:r>
          </w:p>
        </w:tc>
      </w:tr>
      <w:tr w14:paraId="1E83A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63C596AE">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215B94B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预测方法</w:t>
            </w:r>
          </w:p>
        </w:tc>
        <w:tc>
          <w:tcPr>
            <w:tcW w:w="4010" w:type="pct"/>
            <w:gridSpan w:val="9"/>
            <w:noWrap/>
            <w:vAlign w:val="center"/>
          </w:tcPr>
          <w:p w14:paraId="1350260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数值解□：解析解□</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其他□导则推荐模式☑：其他□</w:t>
            </w:r>
          </w:p>
        </w:tc>
      </w:tr>
      <w:tr w14:paraId="377A5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restart"/>
            <w:noWrap/>
            <w:vAlign w:val="center"/>
          </w:tcPr>
          <w:p w14:paraId="6C46A50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影响评价</w:t>
            </w:r>
          </w:p>
        </w:tc>
        <w:tc>
          <w:tcPr>
            <w:tcW w:w="616" w:type="pct"/>
            <w:noWrap w:val="0"/>
            <w:vAlign w:val="center"/>
          </w:tcPr>
          <w:p w14:paraId="6D2226C1">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水污染控制和水环境影响减缓措施有效性评价</w:t>
            </w:r>
          </w:p>
        </w:tc>
        <w:tc>
          <w:tcPr>
            <w:tcW w:w="4010" w:type="pct"/>
            <w:gridSpan w:val="9"/>
            <w:noWrap/>
            <w:vAlign w:val="center"/>
          </w:tcPr>
          <w:p w14:paraId="1C9E98E1">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区（流）域水环境质量改善目标□</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替代削减源□</w:t>
            </w:r>
          </w:p>
        </w:tc>
      </w:tr>
      <w:tr w14:paraId="7CEEA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016D765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020595AF">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水环境影响评价</w:t>
            </w:r>
          </w:p>
        </w:tc>
        <w:tc>
          <w:tcPr>
            <w:tcW w:w="4010" w:type="pct"/>
            <w:gridSpan w:val="9"/>
            <w:noWrap w:val="0"/>
            <w:vAlign w:val="center"/>
          </w:tcPr>
          <w:p w14:paraId="1742C70D">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排放口混合区外满足水环境管理要求□</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水环境功能区或水功能区、近岸海域环境功能区水质达标□</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满足水环境保护目标水域水环境质量要求</w:t>
            </w: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水环境控制单元或断面水质达标☑</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满足重点水污染物排放总量控制指标要求，重点行业建设项目</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主要污染物排放满足等量或减量替代要求□</w:t>
            </w:r>
          </w:p>
          <w:p w14:paraId="499D0F54">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满足区（流）域水环境质量改善目标要求□</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水文要素影响型建设项目同时应包括水文情势变化评价、主要水文特征值影响评价、生态流量符合性评价□</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对于新设或调整入河（湖库、近岸海域）排放口的建设项目，应包括排放口设置的环境合理性评价□</w:t>
            </w:r>
            <w:r>
              <w:rPr>
                <w:rFonts w:hint="default" w:ascii="Times New Roman" w:hAnsi="Times New Roman" w:eastAsia="宋体" w:cs="Times New Roman"/>
                <w:color w:val="auto"/>
                <w:spacing w:val="0"/>
                <w:w w:val="100"/>
                <w:kern w:val="0"/>
                <w:sz w:val="21"/>
                <w:szCs w:val="21"/>
                <w:lang w:bidi="ar"/>
              </w:rPr>
              <w:br w:type="textWrapping"/>
            </w:r>
            <w:r>
              <w:rPr>
                <w:rFonts w:hint="default" w:ascii="Times New Roman" w:hAnsi="Times New Roman" w:eastAsia="宋体" w:cs="Times New Roman"/>
                <w:color w:val="auto"/>
                <w:spacing w:val="0"/>
                <w:w w:val="100"/>
                <w:kern w:val="0"/>
                <w:sz w:val="21"/>
                <w:szCs w:val="21"/>
                <w:lang w:bidi="ar"/>
              </w:rPr>
              <w:t>满足生态保护红线、水环境质量底线、资源利用上线和环境准入清单管理要求☑</w:t>
            </w:r>
          </w:p>
        </w:tc>
      </w:tr>
      <w:tr w14:paraId="08667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70CD372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restart"/>
            <w:noWrap w:val="0"/>
            <w:vAlign w:val="center"/>
          </w:tcPr>
          <w:p w14:paraId="4C2808D3">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污染源排放量核算</w:t>
            </w:r>
          </w:p>
        </w:tc>
        <w:tc>
          <w:tcPr>
            <w:tcW w:w="1346" w:type="pct"/>
            <w:gridSpan w:val="2"/>
            <w:noWrap/>
            <w:vAlign w:val="center"/>
          </w:tcPr>
          <w:p w14:paraId="58B88EA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污染物名称</w:t>
            </w:r>
          </w:p>
        </w:tc>
        <w:tc>
          <w:tcPr>
            <w:tcW w:w="1727" w:type="pct"/>
            <w:gridSpan w:val="4"/>
            <w:noWrap w:val="0"/>
            <w:vAlign w:val="center"/>
          </w:tcPr>
          <w:p w14:paraId="4F39B1C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排放量/（</w:t>
            </w:r>
            <w:r>
              <w:rPr>
                <w:rFonts w:hint="default" w:ascii="Times New Roman" w:hAnsi="Times New Roman" w:eastAsia="宋体" w:cs="Times New Roman"/>
                <w:color w:val="auto"/>
                <w:spacing w:val="0"/>
                <w:w w:val="100"/>
                <w:kern w:val="0"/>
                <w:sz w:val="21"/>
                <w:szCs w:val="21"/>
                <w:lang w:val="en-US" w:eastAsia="zh-CN" w:bidi="ar"/>
              </w:rPr>
              <w:t>t</w:t>
            </w:r>
            <w:r>
              <w:rPr>
                <w:rFonts w:hint="default" w:ascii="Times New Roman" w:hAnsi="Times New Roman" w:eastAsia="宋体" w:cs="Times New Roman"/>
                <w:color w:val="auto"/>
                <w:spacing w:val="0"/>
                <w:w w:val="100"/>
                <w:kern w:val="0"/>
                <w:sz w:val="21"/>
                <w:szCs w:val="21"/>
                <w:lang w:bidi="ar"/>
              </w:rPr>
              <w:t>/a）</w:t>
            </w:r>
          </w:p>
        </w:tc>
        <w:tc>
          <w:tcPr>
            <w:tcW w:w="937" w:type="pct"/>
            <w:gridSpan w:val="3"/>
            <w:noWrap w:val="0"/>
            <w:vAlign w:val="center"/>
          </w:tcPr>
          <w:p w14:paraId="790E373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排放浓度/（mg/L）</w:t>
            </w:r>
          </w:p>
        </w:tc>
      </w:tr>
      <w:tr w14:paraId="0BBC0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1D9A4F83">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39AA41B2">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1346" w:type="pct"/>
            <w:gridSpan w:val="2"/>
            <w:noWrap/>
            <w:vAlign w:val="center"/>
          </w:tcPr>
          <w:p w14:paraId="3AF77E74">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sz w:val="21"/>
                <w:szCs w:val="21"/>
              </w:rPr>
              <w:t>COD</w:t>
            </w:r>
          </w:p>
        </w:tc>
        <w:tc>
          <w:tcPr>
            <w:tcW w:w="1727" w:type="pct"/>
            <w:gridSpan w:val="4"/>
            <w:noWrap w:val="0"/>
            <w:vAlign w:val="center"/>
          </w:tcPr>
          <w:p w14:paraId="16303C6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FF0000"/>
                <w:spacing w:val="0"/>
                <w:w w:val="100"/>
                <w:kern w:val="0"/>
                <w:sz w:val="21"/>
                <w:szCs w:val="21"/>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17.52</w:t>
            </w:r>
          </w:p>
        </w:tc>
        <w:tc>
          <w:tcPr>
            <w:tcW w:w="937" w:type="pct"/>
            <w:gridSpan w:val="3"/>
            <w:noWrap w:val="0"/>
            <w:vAlign w:val="center"/>
          </w:tcPr>
          <w:p w14:paraId="4D4D7730">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val="en-US" w:eastAsia="zh-CN" w:bidi="ar"/>
              </w:rPr>
              <w:t>30</w:t>
            </w:r>
          </w:p>
        </w:tc>
      </w:tr>
      <w:tr w14:paraId="29CC2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5C414F6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31E36513">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1346" w:type="pct"/>
            <w:gridSpan w:val="2"/>
            <w:noWrap/>
            <w:vAlign w:val="center"/>
          </w:tcPr>
          <w:p w14:paraId="4E870458">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sz w:val="21"/>
                <w:szCs w:val="21"/>
              </w:rPr>
              <w:t>NH</w:t>
            </w:r>
            <w:r>
              <w:rPr>
                <w:rFonts w:hint="default" w:ascii="Times New Roman" w:hAnsi="Times New Roman" w:eastAsia="宋体" w:cs="Times New Roman"/>
                <w:color w:val="auto"/>
                <w:spacing w:val="0"/>
                <w:w w:val="100"/>
                <w:sz w:val="21"/>
                <w:szCs w:val="21"/>
                <w:vertAlign w:val="subscript"/>
              </w:rPr>
              <w:t>3</w:t>
            </w:r>
            <w:r>
              <w:rPr>
                <w:rFonts w:hint="default" w:ascii="Times New Roman" w:hAnsi="Times New Roman" w:eastAsia="宋体" w:cs="Times New Roman"/>
                <w:color w:val="auto"/>
                <w:spacing w:val="0"/>
                <w:w w:val="100"/>
                <w:sz w:val="21"/>
                <w:szCs w:val="21"/>
              </w:rPr>
              <w:t>-N</w:t>
            </w:r>
          </w:p>
        </w:tc>
        <w:tc>
          <w:tcPr>
            <w:tcW w:w="1727" w:type="pct"/>
            <w:gridSpan w:val="4"/>
            <w:noWrap w:val="0"/>
            <w:vAlign w:val="center"/>
          </w:tcPr>
          <w:p w14:paraId="3DE565A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FF0000"/>
                <w:spacing w:val="0"/>
                <w:w w:val="100"/>
                <w:kern w:val="0"/>
                <w:sz w:val="21"/>
                <w:szCs w:val="21"/>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1.164</w:t>
            </w:r>
          </w:p>
        </w:tc>
        <w:tc>
          <w:tcPr>
            <w:tcW w:w="937" w:type="pct"/>
            <w:gridSpan w:val="3"/>
            <w:noWrap w:val="0"/>
            <w:vAlign w:val="center"/>
          </w:tcPr>
          <w:p w14:paraId="2FD87141">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val="en-US" w:eastAsia="zh-CN" w:bidi="ar"/>
              </w:rPr>
            </w:pPr>
            <w:r>
              <w:rPr>
                <w:rFonts w:hint="default" w:ascii="Times New Roman" w:hAnsi="Times New Roman" w:eastAsia="宋体" w:cs="Times New Roman"/>
                <w:color w:val="auto"/>
                <w:spacing w:val="0"/>
                <w:w w:val="100"/>
                <w:kern w:val="0"/>
                <w:sz w:val="21"/>
                <w:szCs w:val="21"/>
                <w:lang w:val="en-US" w:eastAsia="zh-CN" w:bidi="ar"/>
              </w:rPr>
              <w:t>1.5</w:t>
            </w:r>
            <w:r>
              <w:rPr>
                <w:rFonts w:hint="eastAsia" w:ascii="Times New Roman" w:hAnsi="Times New Roman" w:eastAsia="宋体" w:cs="Times New Roman"/>
                <w:color w:val="auto"/>
                <w:spacing w:val="0"/>
                <w:w w:val="100"/>
                <w:kern w:val="0"/>
                <w:sz w:val="21"/>
                <w:szCs w:val="21"/>
                <w:lang w:val="en-US" w:eastAsia="zh-CN" w:bidi="ar"/>
              </w:rPr>
              <w:t>(</w:t>
            </w:r>
            <w:r>
              <w:rPr>
                <w:rFonts w:hint="default" w:ascii="Times New Roman" w:hAnsi="Times New Roman" w:eastAsia="宋体" w:cs="Times New Roman"/>
                <w:color w:val="auto"/>
                <w:spacing w:val="0"/>
                <w:w w:val="100"/>
                <w:kern w:val="0"/>
                <w:sz w:val="21"/>
                <w:szCs w:val="21"/>
                <w:lang w:val="en-US" w:eastAsia="zh-CN" w:bidi="ar"/>
              </w:rPr>
              <w:t>3</w:t>
            </w:r>
            <w:r>
              <w:rPr>
                <w:rFonts w:hint="eastAsia" w:ascii="Times New Roman" w:hAnsi="Times New Roman" w:eastAsia="宋体" w:cs="Times New Roman"/>
                <w:color w:val="auto"/>
                <w:spacing w:val="0"/>
                <w:w w:val="100"/>
                <w:kern w:val="0"/>
                <w:sz w:val="21"/>
                <w:szCs w:val="21"/>
                <w:lang w:val="en-US" w:eastAsia="zh-CN" w:bidi="ar"/>
              </w:rPr>
              <w:t>)</w:t>
            </w:r>
          </w:p>
        </w:tc>
      </w:tr>
      <w:tr w14:paraId="65AE6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518F0DE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restart"/>
            <w:noWrap w:val="0"/>
            <w:vAlign w:val="center"/>
          </w:tcPr>
          <w:p w14:paraId="662A676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替代源排放情况</w:t>
            </w:r>
          </w:p>
        </w:tc>
        <w:tc>
          <w:tcPr>
            <w:tcW w:w="1346" w:type="pct"/>
            <w:gridSpan w:val="2"/>
            <w:noWrap/>
            <w:vAlign w:val="center"/>
          </w:tcPr>
          <w:p w14:paraId="4AD636B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污染源名称</w:t>
            </w:r>
          </w:p>
        </w:tc>
        <w:tc>
          <w:tcPr>
            <w:tcW w:w="731" w:type="pct"/>
            <w:gridSpan w:val="2"/>
            <w:noWrap w:val="0"/>
            <w:vAlign w:val="center"/>
          </w:tcPr>
          <w:p w14:paraId="6E29305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排污许可证编号</w:t>
            </w:r>
          </w:p>
        </w:tc>
        <w:tc>
          <w:tcPr>
            <w:tcW w:w="996" w:type="pct"/>
            <w:gridSpan w:val="2"/>
            <w:noWrap w:val="0"/>
            <w:vAlign w:val="center"/>
          </w:tcPr>
          <w:p w14:paraId="64885840">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污染物名称</w:t>
            </w:r>
          </w:p>
        </w:tc>
        <w:tc>
          <w:tcPr>
            <w:tcW w:w="390" w:type="pct"/>
            <w:noWrap w:val="0"/>
            <w:vAlign w:val="center"/>
          </w:tcPr>
          <w:p w14:paraId="31929AE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排放量/（t/a）</w:t>
            </w:r>
          </w:p>
        </w:tc>
        <w:tc>
          <w:tcPr>
            <w:tcW w:w="547" w:type="pct"/>
            <w:gridSpan w:val="2"/>
            <w:noWrap w:val="0"/>
            <w:vAlign w:val="center"/>
          </w:tcPr>
          <w:p w14:paraId="282D97B1">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排放浓度/（mg/L）</w:t>
            </w:r>
          </w:p>
        </w:tc>
      </w:tr>
      <w:tr w14:paraId="2F9A7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767F10A8">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0DEECB3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1346" w:type="pct"/>
            <w:gridSpan w:val="2"/>
            <w:noWrap/>
            <w:vAlign w:val="center"/>
          </w:tcPr>
          <w:p w14:paraId="24F1FA2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   ）</w:t>
            </w:r>
          </w:p>
        </w:tc>
        <w:tc>
          <w:tcPr>
            <w:tcW w:w="731" w:type="pct"/>
            <w:gridSpan w:val="2"/>
            <w:noWrap w:val="0"/>
            <w:vAlign w:val="center"/>
          </w:tcPr>
          <w:p w14:paraId="135E8A6F">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eastAsia="zh-CN" w:bidi="ar"/>
              </w:rPr>
            </w:pPr>
            <w:r>
              <w:rPr>
                <w:rFonts w:hint="default" w:ascii="Times New Roman" w:hAnsi="Times New Roman" w:eastAsia="宋体" w:cs="Times New Roman"/>
                <w:color w:val="auto"/>
                <w:spacing w:val="0"/>
                <w:w w:val="100"/>
                <w:kern w:val="0"/>
                <w:sz w:val="21"/>
                <w:szCs w:val="21"/>
                <w:lang w:bidi="ar"/>
              </w:rPr>
              <w:t>（   ）</w:t>
            </w:r>
          </w:p>
        </w:tc>
        <w:tc>
          <w:tcPr>
            <w:tcW w:w="996" w:type="pct"/>
            <w:gridSpan w:val="2"/>
            <w:noWrap w:val="0"/>
            <w:vAlign w:val="center"/>
          </w:tcPr>
          <w:p w14:paraId="3CC031CC">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   ）</w:t>
            </w:r>
          </w:p>
        </w:tc>
        <w:tc>
          <w:tcPr>
            <w:tcW w:w="390" w:type="pct"/>
            <w:noWrap w:val="0"/>
            <w:vAlign w:val="center"/>
          </w:tcPr>
          <w:p w14:paraId="6EEBB280">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   ）</w:t>
            </w:r>
          </w:p>
        </w:tc>
        <w:tc>
          <w:tcPr>
            <w:tcW w:w="547" w:type="pct"/>
            <w:gridSpan w:val="2"/>
            <w:noWrap w:val="0"/>
            <w:vAlign w:val="center"/>
          </w:tcPr>
          <w:p w14:paraId="22A2EA83">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   ）</w:t>
            </w:r>
          </w:p>
        </w:tc>
      </w:tr>
      <w:tr w14:paraId="4F509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13850874">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067C37D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生态流量确定</w:t>
            </w:r>
          </w:p>
        </w:tc>
        <w:tc>
          <w:tcPr>
            <w:tcW w:w="4010" w:type="pct"/>
            <w:gridSpan w:val="9"/>
            <w:noWrap/>
            <w:vAlign w:val="center"/>
          </w:tcPr>
          <w:p w14:paraId="21AA1420">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生态流量：一般水期（</w:t>
            </w:r>
            <w:r>
              <w:rPr>
                <w:rFonts w:hint="default" w:ascii="Times New Roman" w:hAnsi="Times New Roman" w:eastAsia="宋体" w:cs="Times New Roman"/>
                <w:color w:val="auto"/>
                <w:spacing w:val="0"/>
                <w:w w:val="100"/>
                <w:kern w:val="0"/>
                <w:sz w:val="21"/>
                <w:szCs w:val="21"/>
                <w:lang w:val="en-US" w:eastAsia="zh-CN" w:bidi="ar"/>
              </w:rPr>
              <w:t xml:space="preserve">  </w:t>
            </w:r>
            <w:r>
              <w:rPr>
                <w:rFonts w:hint="default" w:ascii="Times New Roman" w:hAnsi="Times New Roman" w:eastAsia="宋体" w:cs="Times New Roman"/>
                <w:color w:val="auto"/>
                <w:spacing w:val="0"/>
                <w:w w:val="100"/>
                <w:kern w:val="0"/>
                <w:sz w:val="21"/>
                <w:szCs w:val="21"/>
                <w:lang w:bidi="ar"/>
              </w:rPr>
              <w:t>）m</w:t>
            </w:r>
            <w:r>
              <w:rPr>
                <w:rFonts w:hint="default" w:ascii="Times New Roman" w:hAnsi="Times New Roman" w:eastAsia="宋体" w:cs="Times New Roman"/>
                <w:color w:val="auto"/>
                <w:spacing w:val="0"/>
                <w:w w:val="100"/>
                <w:kern w:val="0"/>
                <w:sz w:val="21"/>
                <w:szCs w:val="21"/>
                <w:vertAlign w:val="superscript"/>
                <w:lang w:bidi="ar"/>
              </w:rPr>
              <w:t>3</w:t>
            </w:r>
            <w:r>
              <w:rPr>
                <w:rFonts w:hint="default" w:ascii="Times New Roman" w:hAnsi="Times New Roman" w:eastAsia="宋体" w:cs="Times New Roman"/>
                <w:color w:val="auto"/>
                <w:spacing w:val="0"/>
                <w:w w:val="100"/>
                <w:kern w:val="0"/>
                <w:sz w:val="21"/>
                <w:szCs w:val="21"/>
                <w:lang w:bidi="ar"/>
              </w:rPr>
              <w:t>/s</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鱼类繁殖期（   ）m</w:t>
            </w:r>
            <w:r>
              <w:rPr>
                <w:rFonts w:hint="default" w:ascii="Times New Roman" w:hAnsi="Times New Roman" w:eastAsia="宋体" w:cs="Times New Roman"/>
                <w:color w:val="auto"/>
                <w:spacing w:val="0"/>
                <w:w w:val="100"/>
                <w:kern w:val="0"/>
                <w:sz w:val="21"/>
                <w:szCs w:val="21"/>
                <w:vertAlign w:val="superscript"/>
                <w:lang w:bidi="ar"/>
              </w:rPr>
              <w:t>3</w:t>
            </w:r>
            <w:r>
              <w:rPr>
                <w:rFonts w:hint="default" w:ascii="Times New Roman" w:hAnsi="Times New Roman" w:eastAsia="宋体" w:cs="Times New Roman"/>
                <w:color w:val="auto"/>
                <w:spacing w:val="0"/>
                <w:w w:val="100"/>
                <w:kern w:val="0"/>
                <w:sz w:val="21"/>
                <w:szCs w:val="21"/>
                <w:lang w:bidi="ar"/>
              </w:rPr>
              <w:t>/s</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   ）m</w:t>
            </w:r>
            <w:r>
              <w:rPr>
                <w:rFonts w:hint="default" w:ascii="Times New Roman" w:hAnsi="Times New Roman" w:eastAsia="宋体" w:cs="Times New Roman"/>
                <w:color w:val="auto"/>
                <w:spacing w:val="0"/>
                <w:w w:val="100"/>
                <w:kern w:val="0"/>
                <w:sz w:val="21"/>
                <w:szCs w:val="21"/>
                <w:vertAlign w:val="superscript"/>
                <w:lang w:bidi="ar"/>
              </w:rPr>
              <w:t>3</w:t>
            </w:r>
            <w:r>
              <w:rPr>
                <w:rFonts w:hint="default" w:ascii="Times New Roman" w:hAnsi="Times New Roman" w:eastAsia="宋体" w:cs="Times New Roman"/>
                <w:color w:val="auto"/>
                <w:spacing w:val="0"/>
                <w:w w:val="100"/>
                <w:kern w:val="0"/>
                <w:sz w:val="21"/>
                <w:szCs w:val="21"/>
                <w:lang w:bidi="ar"/>
              </w:rPr>
              <w:t>/s</w:t>
            </w:r>
          </w:p>
          <w:p w14:paraId="6A1395E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生态水位：一般水期（   ）m</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鱼类繁殖期（   ）m</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   ）m</w:t>
            </w:r>
          </w:p>
        </w:tc>
      </w:tr>
      <w:tr w14:paraId="11874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restart"/>
            <w:noWrap/>
            <w:vAlign w:val="center"/>
          </w:tcPr>
          <w:p w14:paraId="7CEDABE4">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防治措施</w:t>
            </w:r>
          </w:p>
        </w:tc>
        <w:tc>
          <w:tcPr>
            <w:tcW w:w="616" w:type="pct"/>
            <w:noWrap w:val="0"/>
            <w:vAlign w:val="center"/>
          </w:tcPr>
          <w:p w14:paraId="7C22D023">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环保措施</w:t>
            </w:r>
          </w:p>
        </w:tc>
        <w:tc>
          <w:tcPr>
            <w:tcW w:w="4010" w:type="pct"/>
            <w:gridSpan w:val="9"/>
            <w:noWrap/>
            <w:vAlign w:val="center"/>
          </w:tcPr>
          <w:p w14:paraId="15065F40">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污水处理设施☑</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水文减缓设施□</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生态流量保障设施□</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区域削减□</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依托其他</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工程措施□</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其他□</w:t>
            </w:r>
          </w:p>
        </w:tc>
      </w:tr>
      <w:tr w14:paraId="3EBF4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03296E3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restart"/>
            <w:noWrap w:val="0"/>
            <w:vAlign w:val="center"/>
          </w:tcPr>
          <w:p w14:paraId="152B9536">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监测计划</w:t>
            </w:r>
          </w:p>
        </w:tc>
        <w:tc>
          <w:tcPr>
            <w:tcW w:w="772" w:type="pct"/>
            <w:noWrap/>
            <w:vAlign w:val="center"/>
          </w:tcPr>
          <w:p w14:paraId="3636E8C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1632" w:type="pct"/>
            <w:gridSpan w:val="4"/>
            <w:noWrap w:val="0"/>
            <w:vAlign w:val="center"/>
          </w:tcPr>
          <w:p w14:paraId="7E7B089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环境质量</w:t>
            </w:r>
          </w:p>
        </w:tc>
        <w:tc>
          <w:tcPr>
            <w:tcW w:w="1606" w:type="pct"/>
            <w:gridSpan w:val="4"/>
            <w:noWrap w:val="0"/>
            <w:vAlign w:val="center"/>
          </w:tcPr>
          <w:p w14:paraId="4499E97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污染源</w:t>
            </w:r>
          </w:p>
        </w:tc>
      </w:tr>
      <w:tr w14:paraId="31257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4F9A96B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7C3CB8F7">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772" w:type="pct"/>
            <w:noWrap/>
            <w:vAlign w:val="center"/>
          </w:tcPr>
          <w:p w14:paraId="556548C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监测方式</w:t>
            </w:r>
          </w:p>
        </w:tc>
        <w:tc>
          <w:tcPr>
            <w:tcW w:w="1632" w:type="pct"/>
            <w:gridSpan w:val="4"/>
            <w:noWrap w:val="0"/>
            <w:vAlign w:val="center"/>
          </w:tcPr>
          <w:p w14:paraId="1FDAA1DC">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手动□</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自动□</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无监测□</w:t>
            </w:r>
          </w:p>
        </w:tc>
        <w:tc>
          <w:tcPr>
            <w:tcW w:w="1606" w:type="pct"/>
            <w:gridSpan w:val="4"/>
            <w:noWrap w:val="0"/>
            <w:vAlign w:val="center"/>
          </w:tcPr>
          <w:p w14:paraId="4B5BC48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手动☑</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自动</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无监测□</w:t>
            </w:r>
          </w:p>
        </w:tc>
      </w:tr>
      <w:tr w14:paraId="2630D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333F6FA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327325A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772" w:type="pct"/>
            <w:noWrap/>
            <w:vAlign w:val="center"/>
          </w:tcPr>
          <w:p w14:paraId="0F2CA87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监测点位</w:t>
            </w:r>
          </w:p>
        </w:tc>
        <w:tc>
          <w:tcPr>
            <w:tcW w:w="1632" w:type="pct"/>
            <w:gridSpan w:val="4"/>
            <w:noWrap w:val="0"/>
            <w:vAlign w:val="center"/>
          </w:tcPr>
          <w:p w14:paraId="6EF0E92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  ）</w:t>
            </w:r>
          </w:p>
        </w:tc>
        <w:tc>
          <w:tcPr>
            <w:tcW w:w="1606" w:type="pct"/>
            <w:gridSpan w:val="4"/>
            <w:noWrap w:val="0"/>
            <w:vAlign w:val="center"/>
          </w:tcPr>
          <w:p w14:paraId="34DF413C">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eastAsia"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 xml:space="preserve"> 1 </w:t>
            </w:r>
            <w:r>
              <w:rPr>
                <w:rFonts w:hint="eastAsia" w:ascii="Times New Roman" w:hAnsi="Times New Roman" w:eastAsia="宋体" w:cs="Times New Roman"/>
                <w:color w:val="auto"/>
                <w:spacing w:val="0"/>
                <w:w w:val="100"/>
                <w:kern w:val="0"/>
                <w:sz w:val="21"/>
                <w:szCs w:val="21"/>
                <w:lang w:eastAsia="zh-CN" w:bidi="ar"/>
              </w:rPr>
              <w:t>)</w:t>
            </w:r>
          </w:p>
        </w:tc>
      </w:tr>
      <w:tr w14:paraId="45D89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4012B75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vMerge w:val="continue"/>
            <w:noWrap w:val="0"/>
            <w:vAlign w:val="center"/>
          </w:tcPr>
          <w:p w14:paraId="5C34B99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772" w:type="pct"/>
            <w:noWrap/>
            <w:vAlign w:val="center"/>
          </w:tcPr>
          <w:p w14:paraId="1FC57CCA">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监测因子</w:t>
            </w:r>
          </w:p>
        </w:tc>
        <w:tc>
          <w:tcPr>
            <w:tcW w:w="1632" w:type="pct"/>
            <w:gridSpan w:val="4"/>
            <w:noWrap w:val="0"/>
            <w:vAlign w:val="center"/>
          </w:tcPr>
          <w:p w14:paraId="0B5B0C3E">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  ）</w:t>
            </w:r>
          </w:p>
        </w:tc>
        <w:tc>
          <w:tcPr>
            <w:tcW w:w="1606" w:type="pct"/>
            <w:gridSpan w:val="4"/>
            <w:noWrap w:val="0"/>
            <w:vAlign w:val="top"/>
          </w:tcPr>
          <w:p w14:paraId="2D067B1C">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w:t>
            </w:r>
            <w:r>
              <w:rPr>
                <w:rFonts w:hint="default" w:ascii="Times New Roman" w:hAnsi="Times New Roman" w:eastAsia="宋体" w:cs="Times New Roman"/>
                <w:b w:val="0"/>
                <w:bCs w:val="0"/>
                <w:color w:val="auto"/>
                <w:spacing w:val="0"/>
                <w:w w:val="100"/>
                <w:sz w:val="21"/>
                <w:szCs w:val="21"/>
                <w:lang w:val="en-US" w:eastAsia="zh-CN"/>
              </w:rPr>
              <w:t>pH、COD、NH</w:t>
            </w:r>
            <w:r>
              <w:rPr>
                <w:rFonts w:hint="default" w:ascii="Times New Roman" w:hAnsi="Times New Roman" w:eastAsia="宋体" w:cs="Times New Roman"/>
                <w:b w:val="0"/>
                <w:bCs w:val="0"/>
                <w:color w:val="auto"/>
                <w:spacing w:val="0"/>
                <w:w w:val="100"/>
                <w:sz w:val="21"/>
                <w:szCs w:val="21"/>
                <w:vertAlign w:val="subscript"/>
                <w:lang w:val="en-US" w:eastAsia="zh-CN"/>
              </w:rPr>
              <w:t>3</w:t>
            </w:r>
            <w:r>
              <w:rPr>
                <w:rFonts w:hint="default" w:ascii="Times New Roman" w:hAnsi="Times New Roman" w:eastAsia="宋体" w:cs="Times New Roman"/>
                <w:b w:val="0"/>
                <w:bCs w:val="0"/>
                <w:color w:val="auto"/>
                <w:spacing w:val="0"/>
                <w:w w:val="100"/>
                <w:sz w:val="21"/>
                <w:szCs w:val="21"/>
                <w:lang w:val="en-US" w:eastAsia="zh-CN"/>
              </w:rPr>
              <w:t>-N、TP、TN、色度、动植物油、石油类、阴离子表面活性剂、粪大肠菌群、BOD</w:t>
            </w:r>
            <w:r>
              <w:rPr>
                <w:rFonts w:hint="default" w:ascii="Times New Roman" w:hAnsi="Times New Roman" w:eastAsia="宋体" w:cs="Times New Roman"/>
                <w:b w:val="0"/>
                <w:bCs w:val="0"/>
                <w:color w:val="auto"/>
                <w:spacing w:val="0"/>
                <w:w w:val="100"/>
                <w:sz w:val="21"/>
                <w:szCs w:val="21"/>
                <w:vertAlign w:val="subscript"/>
                <w:lang w:val="en-US" w:eastAsia="zh-CN"/>
              </w:rPr>
              <w:t>5</w:t>
            </w:r>
            <w:r>
              <w:rPr>
                <w:rFonts w:hint="default" w:ascii="Times New Roman" w:hAnsi="Times New Roman" w:eastAsia="宋体" w:cs="Times New Roman"/>
                <w:b w:val="0"/>
                <w:bCs w:val="0"/>
                <w:color w:val="auto"/>
                <w:spacing w:val="0"/>
                <w:w w:val="100"/>
                <w:sz w:val="21"/>
                <w:szCs w:val="21"/>
                <w:lang w:val="en-US" w:eastAsia="zh-CN"/>
              </w:rPr>
              <w:t>、SS、总镉、总铬、总汞、总铅、总砷、六价铬</w:t>
            </w:r>
            <w:r>
              <w:rPr>
                <w:rFonts w:hint="default" w:ascii="Times New Roman" w:hAnsi="Times New Roman" w:eastAsia="宋体" w:cs="Times New Roman"/>
                <w:color w:val="auto"/>
                <w:spacing w:val="0"/>
                <w:w w:val="100"/>
                <w:kern w:val="0"/>
                <w:sz w:val="21"/>
                <w:szCs w:val="21"/>
                <w:lang w:bidi="ar"/>
              </w:rPr>
              <w:t>）</w:t>
            </w:r>
          </w:p>
        </w:tc>
      </w:tr>
      <w:tr w14:paraId="14127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vAlign w:val="center"/>
          </w:tcPr>
          <w:p w14:paraId="745E367D">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p>
        </w:tc>
        <w:tc>
          <w:tcPr>
            <w:tcW w:w="616" w:type="pct"/>
            <w:noWrap w:val="0"/>
            <w:vAlign w:val="center"/>
          </w:tcPr>
          <w:p w14:paraId="1516097F">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污染物排放清单</w:t>
            </w:r>
          </w:p>
        </w:tc>
        <w:tc>
          <w:tcPr>
            <w:tcW w:w="4010" w:type="pct"/>
            <w:gridSpan w:val="9"/>
            <w:noWrap/>
            <w:vAlign w:val="center"/>
          </w:tcPr>
          <w:p w14:paraId="0AB23CEB">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w:t>
            </w:r>
          </w:p>
        </w:tc>
      </w:tr>
      <w:tr w14:paraId="08A37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9" w:type="pct"/>
            <w:gridSpan w:val="2"/>
            <w:noWrap/>
            <w:vAlign w:val="center"/>
          </w:tcPr>
          <w:p w14:paraId="11B02B95">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评价结论</w:t>
            </w:r>
          </w:p>
        </w:tc>
        <w:tc>
          <w:tcPr>
            <w:tcW w:w="4010" w:type="pct"/>
            <w:gridSpan w:val="9"/>
            <w:noWrap/>
            <w:vAlign w:val="center"/>
          </w:tcPr>
          <w:p w14:paraId="14C35DDE">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可以接受☑</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不可以接受□</w:t>
            </w:r>
          </w:p>
        </w:tc>
      </w:tr>
      <w:tr w14:paraId="3A754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1"/>
            <w:noWrap/>
            <w:vAlign w:val="center"/>
          </w:tcPr>
          <w:p w14:paraId="5D32F649">
            <w:pPr>
              <w:keepNext w:val="0"/>
              <w:keepLines w:val="0"/>
              <w:widowControl/>
              <w:suppressLineNumbers w:val="0"/>
              <w:spacing w:before="0" w:beforeAutospacing="0" w:after="0" w:afterAutospacing="0" w:line="0" w:lineRule="atLeast"/>
              <w:ind w:left="0" w:right="0"/>
              <w:jc w:val="center"/>
              <w:textAlignment w:val="center"/>
              <w:rPr>
                <w:rFonts w:hint="default" w:ascii="Times New Roman" w:hAnsi="Times New Roman" w:eastAsia="宋体" w:cs="Times New Roman"/>
                <w:color w:val="auto"/>
                <w:spacing w:val="0"/>
                <w:w w:val="100"/>
                <w:kern w:val="0"/>
                <w:sz w:val="21"/>
                <w:szCs w:val="21"/>
                <w:lang w:bidi="ar"/>
              </w:rPr>
            </w:pPr>
            <w:r>
              <w:rPr>
                <w:rFonts w:hint="default" w:ascii="Times New Roman" w:hAnsi="Times New Roman" w:eastAsia="宋体" w:cs="Times New Roman"/>
                <w:color w:val="auto"/>
                <w:spacing w:val="0"/>
                <w:w w:val="100"/>
                <w:kern w:val="0"/>
                <w:sz w:val="21"/>
                <w:szCs w:val="21"/>
                <w:lang w:bidi="ar"/>
              </w:rPr>
              <w:t>注：</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为勾选项，可√</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   ）</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为内容填写项</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备注</w:t>
            </w:r>
            <w:r>
              <w:rPr>
                <w:rFonts w:hint="default" w:ascii="Times New Roman" w:hAnsi="Times New Roman" w:eastAsia="宋体" w:cs="Times New Roman"/>
                <w:color w:val="auto"/>
                <w:spacing w:val="0"/>
                <w:w w:val="100"/>
                <w:kern w:val="0"/>
                <w:sz w:val="21"/>
                <w:szCs w:val="21"/>
                <w:lang w:eastAsia="zh-CN" w:bidi="ar"/>
              </w:rPr>
              <w:t>”</w:t>
            </w:r>
            <w:r>
              <w:rPr>
                <w:rFonts w:hint="default" w:ascii="Times New Roman" w:hAnsi="Times New Roman" w:eastAsia="宋体" w:cs="Times New Roman"/>
                <w:color w:val="auto"/>
                <w:spacing w:val="0"/>
                <w:w w:val="100"/>
                <w:kern w:val="0"/>
                <w:sz w:val="21"/>
                <w:szCs w:val="21"/>
                <w:lang w:bidi="ar"/>
              </w:rPr>
              <w:t>为其他补充内容。</w:t>
            </w:r>
          </w:p>
        </w:tc>
      </w:tr>
    </w:tbl>
    <w:p w14:paraId="2F6641EF">
      <w:pPr>
        <w:rPr>
          <w:rFonts w:hint="default" w:ascii="Times New Roman" w:hAnsi="Times New Roman" w:cs="Times New Roman"/>
          <w:color w:val="auto"/>
          <w:spacing w:val="0"/>
          <w:w w:val="100"/>
          <w:lang w:val="en-US" w:eastAsia="zh-CN"/>
        </w:rPr>
        <w:sectPr>
          <w:pgSz w:w="11906" w:h="16838"/>
          <w:pgMar w:top="1440" w:right="1800" w:bottom="1440" w:left="1800" w:header="851" w:footer="992" w:gutter="0"/>
          <w:pgNumType w:fmt="decimal"/>
          <w:cols w:space="720" w:num="1"/>
          <w:docGrid w:type="lines" w:linePitch="312" w:charSpace="0"/>
        </w:sectPr>
      </w:pPr>
    </w:p>
    <w:p w14:paraId="2CD0067C">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32"/>
          <w:szCs w:val="32"/>
          <w:lang w:val="en-US" w:eastAsia="zh-CN" w:bidi="ar-SA"/>
        </w:rPr>
      </w:pPr>
      <w:bookmarkStart w:id="51" w:name="_Toc5127"/>
      <w:r>
        <w:rPr>
          <w:rFonts w:hint="default" w:ascii="Times New Roman" w:hAnsi="Times New Roman" w:eastAsia="宋体" w:cs="Times New Roman"/>
          <w:b/>
          <w:color w:val="auto"/>
          <w:spacing w:val="0"/>
          <w:w w:val="100"/>
          <w:kern w:val="2"/>
          <w:sz w:val="32"/>
          <w:szCs w:val="32"/>
          <w:lang w:val="en-US" w:eastAsia="zh-CN" w:bidi="ar-SA"/>
        </w:rPr>
        <w:t>第 5章、污染防治措施分析</w:t>
      </w:r>
      <w:bookmarkEnd w:id="51"/>
    </w:p>
    <w:p w14:paraId="56F3B279">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8"/>
          <w:szCs w:val="28"/>
          <w:lang w:val="en-US" w:eastAsia="zh-CN" w:bidi="ar-SA"/>
        </w:rPr>
      </w:pPr>
      <w:bookmarkStart w:id="52" w:name="_Toc16483"/>
      <w:r>
        <w:rPr>
          <w:rFonts w:hint="default" w:ascii="Times New Roman" w:hAnsi="Times New Roman" w:eastAsia="宋体" w:cs="Times New Roman"/>
          <w:b/>
          <w:color w:val="auto"/>
          <w:spacing w:val="0"/>
          <w:w w:val="100"/>
          <w:kern w:val="2"/>
          <w:sz w:val="28"/>
          <w:szCs w:val="28"/>
          <w:lang w:val="en-US" w:eastAsia="zh-CN" w:bidi="ar-SA"/>
        </w:rPr>
        <w:t>5.1 废水污染防治措施</w:t>
      </w:r>
      <w:bookmarkEnd w:id="52"/>
    </w:p>
    <w:p w14:paraId="7A3339D6">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pacing w:val="0"/>
          <w:w w:val="100"/>
          <w:sz w:val="24"/>
          <w:szCs w:val="24"/>
          <w:lang w:eastAsia="zh-CN"/>
        </w:rPr>
      </w:pPr>
      <w:bookmarkStart w:id="53" w:name="_Toc27130"/>
      <w:r>
        <w:rPr>
          <w:rFonts w:hint="default" w:ascii="Times New Roman" w:hAnsi="Times New Roman" w:eastAsia="宋体" w:cs="Times New Roman"/>
          <w:b w:val="0"/>
          <w:bCs w:val="0"/>
          <w:color w:val="auto"/>
          <w:spacing w:val="0"/>
          <w:w w:val="100"/>
          <w:sz w:val="24"/>
          <w:szCs w:val="24"/>
          <w:lang w:val="en-US" w:eastAsia="zh-CN"/>
        </w:rPr>
        <w:t>1、</w:t>
      </w:r>
      <w:r>
        <w:rPr>
          <w:rFonts w:hint="default" w:ascii="Times New Roman" w:hAnsi="Times New Roman" w:eastAsia="宋体" w:cs="Times New Roman"/>
          <w:color w:val="auto"/>
          <w:spacing w:val="0"/>
          <w:w w:val="100"/>
          <w:sz w:val="24"/>
          <w:szCs w:val="24"/>
          <w:lang w:eastAsia="zh-CN"/>
        </w:rPr>
        <w:t>处理</w:t>
      </w:r>
      <w:r>
        <w:rPr>
          <w:rFonts w:hint="default" w:ascii="Times New Roman" w:hAnsi="Times New Roman" w:eastAsia="宋体" w:cs="Times New Roman"/>
          <w:b w:val="0"/>
          <w:bCs w:val="0"/>
          <w:color w:val="auto"/>
          <w:spacing w:val="0"/>
          <w:w w:val="100"/>
          <w:sz w:val="24"/>
          <w:szCs w:val="24"/>
          <w:lang w:eastAsia="zh-CN"/>
        </w:rPr>
        <w:t>工艺</w:t>
      </w:r>
      <w:bookmarkEnd w:id="53"/>
    </w:p>
    <w:p w14:paraId="351E93EF">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bookmarkStart w:id="54" w:name="_Toc17764"/>
      <w:r>
        <w:rPr>
          <w:rFonts w:hint="default" w:ascii="Times New Roman" w:hAnsi="Times New Roman" w:eastAsia="宋体" w:cs="Times New Roman"/>
          <w:b w:val="0"/>
          <w:bCs w:val="0"/>
          <w:color w:val="auto"/>
          <w:spacing w:val="0"/>
          <w:w w:val="100"/>
          <w:sz w:val="24"/>
          <w:szCs w:val="24"/>
          <w:lang w:val="en-US" w:eastAsia="zh-CN"/>
        </w:rPr>
        <w:t>污水处理工艺：</w:t>
      </w:r>
      <w:r>
        <w:rPr>
          <w:rFonts w:hint="eastAsia" w:ascii="Times New Roman" w:hAnsi="Times New Roman" w:eastAsia="宋体" w:cs="Times New Roman"/>
          <w:b w:val="0"/>
          <w:bCs w:val="0"/>
          <w:color w:val="auto"/>
          <w:spacing w:val="0"/>
          <w:w w:val="100"/>
          <w:sz w:val="24"/>
          <w:szCs w:val="24"/>
          <w:lang w:val="en-US" w:eastAsia="zh-CN"/>
        </w:rPr>
        <w:t>工业废水及生活</w:t>
      </w:r>
      <w:r>
        <w:rPr>
          <w:rFonts w:hint="default" w:ascii="Times New Roman" w:hAnsi="Times New Roman" w:eastAsia="宋体" w:cs="Times New Roman"/>
          <w:b w:val="0"/>
          <w:bCs/>
          <w:color w:val="auto"/>
          <w:spacing w:val="0"/>
          <w:w w:val="100"/>
          <w:sz w:val="24"/>
          <w:szCs w:val="24"/>
        </w:rPr>
        <w:t>污水→格栅→提升泵→沉砂池→</w:t>
      </w:r>
      <w:r>
        <w:rPr>
          <w:rFonts w:hint="default" w:ascii="Times New Roman" w:hAnsi="Times New Roman" w:eastAsia="宋体" w:cs="Times New Roman"/>
          <w:b w:val="0"/>
          <w:bCs/>
          <w:color w:val="auto"/>
          <w:spacing w:val="0"/>
          <w:w w:val="100"/>
          <w:sz w:val="24"/>
          <w:szCs w:val="24"/>
          <w:lang w:eastAsia="zh-CN"/>
        </w:rPr>
        <w:t>调节池</w:t>
      </w:r>
      <w:r>
        <w:rPr>
          <w:rFonts w:hint="default" w:ascii="Times New Roman" w:hAnsi="Times New Roman" w:eastAsia="宋体" w:cs="Times New Roman"/>
          <w:b w:val="0"/>
          <w:bCs/>
          <w:color w:val="auto"/>
          <w:spacing w:val="0"/>
          <w:w w:val="100"/>
          <w:sz w:val="24"/>
          <w:szCs w:val="24"/>
        </w:rPr>
        <w:t>→A</w:t>
      </w:r>
      <w:r>
        <w:rPr>
          <w:rFonts w:hint="default" w:ascii="Times New Roman" w:hAnsi="Times New Roman" w:eastAsia="宋体" w:cs="Times New Roman"/>
          <w:b w:val="0"/>
          <w:bCs/>
          <w:color w:val="auto"/>
          <w:spacing w:val="0"/>
          <w:w w:val="100"/>
          <w:sz w:val="24"/>
          <w:szCs w:val="24"/>
          <w:vertAlign w:val="superscript"/>
        </w:rPr>
        <w:t>2</w:t>
      </w:r>
      <w:r>
        <w:rPr>
          <w:rFonts w:hint="default" w:ascii="Times New Roman" w:hAnsi="Times New Roman" w:eastAsia="宋体" w:cs="Times New Roman"/>
          <w:b w:val="0"/>
          <w:bCs/>
          <w:color w:val="auto"/>
          <w:spacing w:val="0"/>
          <w:w w:val="100"/>
          <w:sz w:val="24"/>
          <w:szCs w:val="24"/>
        </w:rPr>
        <w:t>/O生化池→</w:t>
      </w:r>
      <w:r>
        <w:rPr>
          <w:rFonts w:hint="eastAsia" w:ascii="Times New Roman" w:hAnsi="Times New Roman" w:eastAsia="宋体" w:cs="Times New Roman"/>
          <w:b w:val="0"/>
          <w:bCs/>
          <w:color w:val="auto"/>
          <w:spacing w:val="0"/>
          <w:w w:val="100"/>
          <w:sz w:val="24"/>
          <w:szCs w:val="24"/>
          <w:lang w:val="en-US" w:eastAsia="zh-CN"/>
        </w:rPr>
        <w:t>MBR膜处理池</w:t>
      </w:r>
      <w:r>
        <w:rPr>
          <w:rFonts w:hint="default" w:ascii="Times New Roman" w:hAnsi="Times New Roman" w:eastAsia="宋体" w:cs="Times New Roman"/>
          <w:b w:val="0"/>
          <w:bCs/>
          <w:color w:val="auto"/>
          <w:spacing w:val="0"/>
          <w:w w:val="100"/>
          <w:sz w:val="24"/>
          <w:szCs w:val="24"/>
        </w:rPr>
        <w:t>→消毒池→巴氏计量槽→外排水达标排放</w:t>
      </w:r>
      <w:r>
        <w:rPr>
          <w:rFonts w:hint="default" w:ascii="Times New Roman" w:hAnsi="Times New Roman" w:eastAsia="宋体" w:cs="Times New Roman"/>
          <w:b w:val="0"/>
          <w:bCs/>
          <w:color w:val="auto"/>
          <w:spacing w:val="0"/>
          <w:w w:val="100"/>
          <w:sz w:val="24"/>
          <w:szCs w:val="24"/>
          <w:lang w:val="en-US" w:eastAsia="zh-CN"/>
        </w:rPr>
        <w:t>。</w:t>
      </w:r>
    </w:p>
    <w:p w14:paraId="31CA2A63">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污泥处理工艺：</w:t>
      </w:r>
      <w:r>
        <w:rPr>
          <w:rFonts w:hint="eastAsia" w:ascii="Times New Roman" w:hAnsi="Times New Roman" w:eastAsia="宋体" w:cs="Times New Roman"/>
          <w:b w:val="0"/>
          <w:bCs w:val="0"/>
          <w:color w:val="auto"/>
          <w:spacing w:val="0"/>
          <w:w w:val="100"/>
          <w:sz w:val="24"/>
          <w:szCs w:val="24"/>
          <w:lang w:val="en-US" w:eastAsia="zh-CN"/>
        </w:rPr>
        <w:t>污泥消化池+污泥浓缩池+叠螺脱水机</w:t>
      </w:r>
      <w:r>
        <w:rPr>
          <w:rFonts w:hint="default" w:ascii="Times New Roman" w:hAnsi="Times New Roman" w:eastAsia="宋体" w:cs="Times New Roman"/>
          <w:b w:val="0"/>
          <w:bCs w:val="0"/>
          <w:color w:val="auto"/>
          <w:spacing w:val="0"/>
          <w:w w:val="100"/>
          <w:sz w:val="24"/>
          <w:szCs w:val="24"/>
          <w:lang w:val="en-US" w:eastAsia="zh-CN"/>
        </w:rPr>
        <w:t>（含水率≤60%）外运处理。</w:t>
      </w:r>
    </w:p>
    <w:bookmarkEnd w:id="54"/>
    <w:p w14:paraId="0BC9D483">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pacing w:val="0"/>
          <w:w w:val="100"/>
          <w:sz w:val="24"/>
          <w:szCs w:val="24"/>
          <w:lang w:eastAsia="zh-CN"/>
        </w:rPr>
      </w:pPr>
      <w:bookmarkStart w:id="55" w:name="_Toc15883"/>
      <w:r>
        <w:rPr>
          <w:rFonts w:hint="default" w:ascii="Times New Roman" w:hAnsi="Times New Roman" w:eastAsia="宋体" w:cs="Times New Roman"/>
          <w:b w:val="0"/>
          <w:bCs w:val="0"/>
          <w:color w:val="auto"/>
          <w:spacing w:val="0"/>
          <w:w w:val="100"/>
          <w:sz w:val="24"/>
          <w:szCs w:val="24"/>
          <w:lang w:val="en-US" w:eastAsia="zh-CN"/>
        </w:rPr>
        <w:t>2、</w:t>
      </w:r>
      <w:r>
        <w:rPr>
          <w:rFonts w:hint="default" w:ascii="Times New Roman" w:hAnsi="Times New Roman" w:eastAsia="宋体" w:cs="Times New Roman"/>
          <w:b w:val="0"/>
          <w:bCs w:val="0"/>
          <w:color w:val="auto"/>
          <w:spacing w:val="0"/>
          <w:w w:val="100"/>
          <w:sz w:val="24"/>
          <w:szCs w:val="24"/>
          <w:lang w:eastAsia="zh-CN"/>
        </w:rPr>
        <w:t>废水污染防治措施可行性分析</w:t>
      </w:r>
      <w:bookmarkEnd w:id="55"/>
    </w:p>
    <w:p w14:paraId="37D901A7">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eastAsia" w:ascii="Times New Roman" w:hAnsi="Times New Roman" w:eastAsia="宋体" w:cs="Times New Roman"/>
          <w:color w:val="auto"/>
          <w:spacing w:val="0"/>
          <w:w w:val="100"/>
          <w:sz w:val="24"/>
          <w:szCs w:val="24"/>
          <w:lang w:eastAsia="zh-CN"/>
        </w:rPr>
        <w:t>（</w:t>
      </w:r>
      <w:r>
        <w:rPr>
          <w:rFonts w:hint="eastAsia" w:ascii="Times New Roman" w:hAnsi="Times New Roman" w:eastAsia="宋体" w:cs="Times New Roman"/>
          <w:color w:val="auto"/>
          <w:spacing w:val="0"/>
          <w:w w:val="100"/>
          <w:sz w:val="24"/>
          <w:szCs w:val="24"/>
          <w:lang w:val="en-US" w:eastAsia="zh-CN"/>
        </w:rPr>
        <w:t>1</w:t>
      </w:r>
      <w:r>
        <w:rPr>
          <w:rFonts w:hint="eastAsia" w:ascii="Times New Roman" w:hAnsi="Times New Roman" w:eastAsia="宋体" w:cs="Times New Roman"/>
          <w:color w:val="auto"/>
          <w:spacing w:val="0"/>
          <w:w w:val="100"/>
          <w:sz w:val="24"/>
          <w:szCs w:val="24"/>
          <w:lang w:eastAsia="zh-CN"/>
        </w:rPr>
        <w:t>）</w:t>
      </w:r>
      <w:r>
        <w:rPr>
          <w:rFonts w:hint="default" w:ascii="Times New Roman" w:hAnsi="Times New Roman" w:eastAsia="宋体" w:cs="Times New Roman"/>
          <w:color w:val="auto"/>
          <w:spacing w:val="0"/>
          <w:w w:val="100"/>
          <w:sz w:val="24"/>
          <w:szCs w:val="24"/>
          <w:lang w:eastAsia="zh-CN"/>
        </w:rPr>
        <w:t>A</w:t>
      </w:r>
      <w:r>
        <w:rPr>
          <w:rFonts w:hint="default" w:ascii="Times New Roman" w:hAnsi="Times New Roman" w:eastAsia="宋体" w:cs="Times New Roman"/>
          <w:color w:val="auto"/>
          <w:spacing w:val="0"/>
          <w:w w:val="100"/>
          <w:sz w:val="24"/>
          <w:szCs w:val="24"/>
          <w:vertAlign w:val="superscript"/>
          <w:lang w:eastAsia="zh-CN"/>
        </w:rPr>
        <w:t>2</w:t>
      </w:r>
      <w:r>
        <w:rPr>
          <w:rFonts w:hint="default" w:ascii="Times New Roman" w:hAnsi="Times New Roman" w:eastAsia="宋体" w:cs="Times New Roman"/>
          <w:color w:val="auto"/>
          <w:spacing w:val="0"/>
          <w:w w:val="100"/>
          <w:sz w:val="24"/>
          <w:szCs w:val="24"/>
          <w:lang w:eastAsia="zh-CN"/>
        </w:rPr>
        <w:t>/O工艺</w:t>
      </w:r>
    </w:p>
    <w:p w14:paraId="40604480">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A</w:t>
      </w:r>
      <w:r>
        <w:rPr>
          <w:rFonts w:hint="default" w:ascii="Times New Roman" w:hAnsi="Times New Roman" w:eastAsia="宋体" w:cs="Times New Roman"/>
          <w:color w:val="auto"/>
          <w:spacing w:val="0"/>
          <w:w w:val="100"/>
          <w:sz w:val="24"/>
          <w:szCs w:val="24"/>
          <w:vertAlign w:val="superscript"/>
          <w:lang w:eastAsia="zh-CN"/>
        </w:rPr>
        <w:t>2</w:t>
      </w:r>
      <w:r>
        <w:rPr>
          <w:rFonts w:hint="default" w:ascii="Times New Roman" w:hAnsi="Times New Roman" w:eastAsia="宋体" w:cs="Times New Roman"/>
          <w:color w:val="auto"/>
          <w:spacing w:val="0"/>
          <w:w w:val="100"/>
          <w:sz w:val="24"/>
          <w:szCs w:val="24"/>
          <w:lang w:eastAsia="zh-CN"/>
        </w:rPr>
        <w:t>/O工艺是将预缺氧、厌氧、好氧、消氧等功能单元组合在一起的生化处理技术，旨在强化生物除磷和脱氮和充分利用原水中的碳源相结合而成，加强了生物除磷及脱氮效果，从而确保处理后出水中氮化合物稳定达标。</w:t>
      </w:r>
    </w:p>
    <w:p w14:paraId="6EBB247E">
      <w:pPr>
        <w:widowControl w:val="0"/>
        <w:spacing w:after="120" w:line="240" w:lineRule="auto"/>
        <w:ind w:left="0" w:leftChars="0" w:firstLine="0" w:firstLineChars="0"/>
        <w:jc w:val="center"/>
        <w:rPr>
          <w:rFonts w:hint="default" w:ascii="Times New Roman" w:hAnsi="Times New Roman" w:eastAsia="宋体" w:cs="Times New Roman"/>
          <w:color w:val="auto"/>
          <w:spacing w:val="0"/>
          <w:w w:val="100"/>
          <w:kern w:val="2"/>
          <w:sz w:val="24"/>
          <w:szCs w:val="24"/>
          <w:lang w:val="en-US" w:eastAsia="zh-CN" w:bidi="ar-SA"/>
        </w:rPr>
      </w:pPr>
      <w:r>
        <w:rPr>
          <w:position w:val="-42"/>
        </w:rPr>
        <w:drawing>
          <wp:inline distT="0" distB="0" distL="0" distR="0">
            <wp:extent cx="3864610" cy="142494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2"/>
                    <a:srcRect t="-4616"/>
                    <a:stretch>
                      <a:fillRect/>
                    </a:stretch>
                  </pic:blipFill>
                  <pic:spPr>
                    <a:xfrm>
                      <a:off x="0" y="0"/>
                      <a:ext cx="3864863" cy="1424940"/>
                    </a:xfrm>
                    <a:prstGeom prst="rect">
                      <a:avLst/>
                    </a:prstGeom>
                  </pic:spPr>
                </pic:pic>
              </a:graphicData>
            </a:graphic>
          </wp:inline>
        </w:drawing>
      </w:r>
    </w:p>
    <w:p w14:paraId="32F6D28A">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auto"/>
          <w:spacing w:val="0"/>
          <w:w w:val="100"/>
          <w:sz w:val="21"/>
          <w:szCs w:val="21"/>
          <w:lang w:eastAsia="zh-CN"/>
        </w:rPr>
      </w:pPr>
      <w:bookmarkStart w:id="56" w:name="_Toc17851"/>
      <w:r>
        <w:rPr>
          <w:rFonts w:hint="default" w:ascii="Times New Roman" w:hAnsi="Times New Roman" w:eastAsia="宋体" w:cs="Times New Roman"/>
          <w:b/>
          <w:bCs/>
          <w:color w:val="auto"/>
          <w:spacing w:val="0"/>
          <w:w w:val="100"/>
          <w:sz w:val="21"/>
          <w:szCs w:val="21"/>
          <w:lang w:eastAsia="zh-CN"/>
        </w:rPr>
        <w:t>图</w:t>
      </w:r>
      <w:r>
        <w:rPr>
          <w:rFonts w:hint="default" w:ascii="Times New Roman" w:hAnsi="Times New Roman" w:eastAsia="宋体" w:cs="Times New Roman"/>
          <w:b/>
          <w:bCs/>
          <w:color w:val="auto"/>
          <w:spacing w:val="0"/>
          <w:w w:val="100"/>
          <w:sz w:val="21"/>
          <w:szCs w:val="21"/>
          <w:lang w:val="en-US" w:eastAsia="zh-CN"/>
        </w:rPr>
        <w:t>5-1</w:t>
      </w:r>
      <w:r>
        <w:rPr>
          <w:rFonts w:hint="eastAsia" w:ascii="Times New Roman" w:hAnsi="Times New Roman" w:eastAsia="宋体" w:cs="Times New Roman"/>
          <w:b/>
          <w:bCs/>
          <w:color w:val="auto"/>
          <w:spacing w:val="0"/>
          <w:w w:val="100"/>
          <w:sz w:val="21"/>
          <w:szCs w:val="21"/>
          <w:lang w:val="en-US" w:eastAsia="zh-CN"/>
        </w:rPr>
        <w:t xml:space="preserve"> </w:t>
      </w:r>
      <w:r>
        <w:rPr>
          <w:rFonts w:hint="default" w:ascii="Times New Roman" w:hAnsi="Times New Roman" w:eastAsia="宋体" w:cs="Times New Roman"/>
          <w:b/>
          <w:bCs/>
          <w:color w:val="auto"/>
          <w:spacing w:val="0"/>
          <w:w w:val="100"/>
          <w:sz w:val="21"/>
          <w:szCs w:val="21"/>
          <w:lang w:val="en-US" w:eastAsia="zh-CN"/>
        </w:rPr>
        <w:t xml:space="preserve">  </w:t>
      </w:r>
      <w:r>
        <w:rPr>
          <w:rFonts w:hint="default" w:ascii="Times New Roman" w:hAnsi="Times New Roman" w:eastAsia="宋体" w:cs="Times New Roman"/>
          <w:color w:val="auto"/>
          <w:spacing w:val="0"/>
          <w:w w:val="100"/>
          <w:sz w:val="24"/>
          <w:szCs w:val="24"/>
          <w:lang w:eastAsia="zh-CN"/>
        </w:rPr>
        <w:t>A</w:t>
      </w:r>
      <w:r>
        <w:rPr>
          <w:rFonts w:hint="default" w:ascii="Times New Roman" w:hAnsi="Times New Roman" w:eastAsia="宋体" w:cs="Times New Roman"/>
          <w:color w:val="auto"/>
          <w:spacing w:val="0"/>
          <w:w w:val="100"/>
          <w:sz w:val="24"/>
          <w:szCs w:val="24"/>
          <w:vertAlign w:val="superscript"/>
          <w:lang w:eastAsia="zh-CN"/>
        </w:rPr>
        <w:t>2</w:t>
      </w:r>
      <w:r>
        <w:rPr>
          <w:rFonts w:hint="default" w:ascii="Times New Roman" w:hAnsi="Times New Roman" w:eastAsia="宋体" w:cs="Times New Roman"/>
          <w:color w:val="auto"/>
          <w:spacing w:val="0"/>
          <w:w w:val="100"/>
          <w:sz w:val="24"/>
          <w:szCs w:val="24"/>
          <w:lang w:eastAsia="zh-CN"/>
        </w:rPr>
        <w:t>/O</w:t>
      </w:r>
      <w:r>
        <w:rPr>
          <w:rFonts w:hint="default" w:ascii="Times New Roman" w:hAnsi="Times New Roman" w:eastAsia="宋体" w:cs="Times New Roman"/>
          <w:b/>
          <w:bCs/>
          <w:color w:val="auto"/>
          <w:spacing w:val="0"/>
          <w:w w:val="100"/>
          <w:sz w:val="21"/>
          <w:szCs w:val="21"/>
          <w:lang w:eastAsia="zh-CN"/>
        </w:rPr>
        <w:t>工艺流程简图</w:t>
      </w:r>
    </w:p>
    <w:bookmarkEnd w:id="56"/>
    <w:p w14:paraId="0B73ADFD">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bookmarkStart w:id="57" w:name="_Toc28614"/>
      <w:r>
        <w:rPr>
          <w:rFonts w:hint="default" w:ascii="Times New Roman" w:hAnsi="Times New Roman" w:eastAsia="宋体" w:cs="Times New Roman"/>
          <w:color w:val="auto"/>
          <w:kern w:val="0"/>
          <w:sz w:val="24"/>
          <w:szCs w:val="24"/>
          <w:lang w:val="en-US" w:eastAsia="zh-CN" w:bidi="ar"/>
        </w:rPr>
        <w:t>预缺氧区主要功能是去除回流污泥中的硝态氮及溶解氧，原水先进入预缺氧区，旨在消除硝态氮对厌氧释磷的不利影响，预缺氧区水力停留时间为0.5～1.5h，原水进水比例为10</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30%，DO小于0.2mg/L。</w:t>
      </w:r>
    </w:p>
    <w:p w14:paraId="2A0BE18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厌氧区主要功能是厌氧释磷，保障生物除磷效果。预缺氧区出水进入厌氧区，厌氧区的进水采用淹没出流方式，避免跌水复氧，降低碳源损耗，厌氧区设计水力停留时间为1～1.5h。</w:t>
      </w:r>
    </w:p>
    <w:p w14:paraId="22E0075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缺氧区主要功能为反硝化脱氮，出水进入前缺氧区，水力停留时间4.5h，内回流比为300%～500%。前缺氧区出水进入前好氧区，其功能为生物合成、有机物去除、硝化反应和好氧释磷</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sz w:val="24"/>
          <w:szCs w:val="24"/>
          <w:lang w:eastAsia="zh-CN"/>
        </w:rPr>
        <w:t>在缺氧池中，反硝化菌利用污水的有机物做C源，将回流混合液中带入大量NO</w:t>
      </w:r>
      <w:r>
        <w:rPr>
          <w:rFonts w:hint="default" w:ascii="Times New Roman" w:hAnsi="Times New Roman" w:eastAsia="宋体" w:cs="Times New Roman"/>
          <w:color w:val="auto"/>
          <w:sz w:val="24"/>
          <w:szCs w:val="24"/>
          <w:vertAlign w:val="subscript"/>
          <w:lang w:eastAsia="zh-CN"/>
        </w:rPr>
        <w:t>3</w:t>
      </w:r>
      <w:r>
        <w:rPr>
          <w:rFonts w:hint="default" w:ascii="Times New Roman" w:hAnsi="Times New Roman" w:eastAsia="宋体" w:cs="Times New Roman"/>
          <w:color w:val="auto"/>
          <w:sz w:val="24"/>
          <w:szCs w:val="24"/>
          <w:lang w:eastAsia="zh-CN"/>
        </w:rPr>
        <w:t>-N和NO</w:t>
      </w:r>
      <w:r>
        <w:rPr>
          <w:rFonts w:hint="default" w:ascii="Times New Roman" w:hAnsi="Times New Roman" w:eastAsia="宋体" w:cs="Times New Roman"/>
          <w:color w:val="auto"/>
          <w:sz w:val="24"/>
          <w:szCs w:val="24"/>
          <w:vertAlign w:val="subscript"/>
          <w:lang w:eastAsia="zh-CN"/>
        </w:rPr>
        <w:t>2</w:t>
      </w:r>
      <w:r>
        <w:rPr>
          <w:rFonts w:hint="default" w:ascii="Times New Roman" w:hAnsi="Times New Roman" w:eastAsia="宋体" w:cs="Times New Roman"/>
          <w:color w:val="auto"/>
          <w:sz w:val="24"/>
          <w:szCs w:val="24"/>
          <w:lang w:eastAsia="zh-CN"/>
        </w:rPr>
        <w:t>-N还原为N</w:t>
      </w:r>
      <w:r>
        <w:rPr>
          <w:rFonts w:hint="default" w:ascii="Times New Roman" w:hAnsi="Times New Roman" w:eastAsia="宋体" w:cs="Times New Roman"/>
          <w:color w:val="auto"/>
          <w:sz w:val="24"/>
          <w:szCs w:val="24"/>
          <w:vertAlign w:val="subscript"/>
          <w:lang w:eastAsia="zh-CN"/>
        </w:rPr>
        <w:t>2</w:t>
      </w:r>
      <w:r>
        <w:rPr>
          <w:rFonts w:hint="default" w:ascii="Times New Roman" w:hAnsi="Times New Roman" w:eastAsia="宋体" w:cs="Times New Roman"/>
          <w:color w:val="auto"/>
          <w:sz w:val="24"/>
          <w:szCs w:val="24"/>
          <w:lang w:eastAsia="zh-CN"/>
        </w:rPr>
        <w:t>释放到空气，因BOD</w:t>
      </w:r>
      <w:r>
        <w:rPr>
          <w:rFonts w:hint="default" w:ascii="Times New Roman" w:hAnsi="Times New Roman" w:eastAsia="宋体" w:cs="Times New Roman"/>
          <w:color w:val="auto"/>
          <w:sz w:val="24"/>
          <w:szCs w:val="24"/>
          <w:vertAlign w:val="subscript"/>
          <w:lang w:val="en-US" w:eastAsia="zh-CN"/>
        </w:rPr>
        <w:t>5</w:t>
      </w:r>
      <w:r>
        <w:rPr>
          <w:rFonts w:hint="default" w:ascii="Times New Roman" w:hAnsi="Times New Roman" w:eastAsia="宋体" w:cs="Times New Roman"/>
          <w:color w:val="auto"/>
          <w:sz w:val="24"/>
          <w:szCs w:val="24"/>
          <w:lang w:eastAsia="zh-CN"/>
        </w:rPr>
        <w:t>浓度继续下降，NO</w:t>
      </w:r>
      <w:r>
        <w:rPr>
          <w:rFonts w:hint="default" w:ascii="Times New Roman" w:hAnsi="Times New Roman" w:eastAsia="宋体" w:cs="Times New Roman"/>
          <w:color w:val="auto"/>
          <w:sz w:val="24"/>
          <w:szCs w:val="24"/>
          <w:vertAlign w:val="subscript"/>
          <w:lang w:eastAsia="zh-CN"/>
        </w:rPr>
        <w:t>3</w:t>
      </w:r>
      <w:r>
        <w:rPr>
          <w:rFonts w:hint="default" w:ascii="Times New Roman" w:hAnsi="Times New Roman" w:eastAsia="宋体" w:cs="Times New Roman"/>
          <w:color w:val="auto"/>
          <w:sz w:val="24"/>
          <w:szCs w:val="24"/>
          <w:lang w:eastAsia="zh-CN"/>
        </w:rPr>
        <w:t>-N浓度大幅度下降，而磷的变化很小。</w:t>
      </w:r>
      <w:r>
        <w:rPr>
          <w:rFonts w:hint="default" w:ascii="Times New Roman" w:hAnsi="Times New Roman" w:eastAsia="宋体" w:cs="Times New Roman"/>
          <w:color w:val="auto"/>
          <w:kern w:val="0"/>
          <w:sz w:val="24"/>
          <w:szCs w:val="24"/>
          <w:lang w:val="en-US" w:eastAsia="zh-CN" w:bidi="ar"/>
        </w:rPr>
        <w:t>前好氧区设计水力停留时间为生物段的50%以上，DO控制在2mg/L以上</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sz w:val="24"/>
          <w:szCs w:val="24"/>
          <w:lang w:eastAsia="zh-CN"/>
        </w:rPr>
        <w:t>在好氧池中，有机物被微生物生化氧化而继续下降，有机N被氨化继而被硝化，使NH</w:t>
      </w:r>
      <w:r>
        <w:rPr>
          <w:rFonts w:hint="default" w:ascii="Times New Roman" w:hAnsi="Times New Roman" w:eastAsia="宋体" w:cs="Times New Roman"/>
          <w:color w:val="auto"/>
          <w:sz w:val="24"/>
          <w:szCs w:val="24"/>
          <w:vertAlign w:val="subscript"/>
          <w:lang w:eastAsia="zh-CN"/>
        </w:rPr>
        <w:t>3</w:t>
      </w:r>
      <w:r>
        <w:rPr>
          <w:rFonts w:hint="default" w:ascii="Times New Roman" w:hAnsi="Times New Roman" w:eastAsia="宋体" w:cs="Times New Roman"/>
          <w:color w:val="auto"/>
          <w:sz w:val="24"/>
          <w:szCs w:val="24"/>
          <w:lang w:eastAsia="zh-CN"/>
        </w:rPr>
        <w:t>-N浓度显著下降，但随着硝化过程使NO</w:t>
      </w:r>
      <w:r>
        <w:rPr>
          <w:rFonts w:hint="default" w:ascii="Times New Roman" w:hAnsi="Times New Roman" w:eastAsia="宋体" w:cs="Times New Roman"/>
          <w:color w:val="auto"/>
          <w:sz w:val="24"/>
          <w:szCs w:val="24"/>
          <w:vertAlign w:val="subscript"/>
          <w:lang w:eastAsia="zh-CN"/>
        </w:rPr>
        <w:t>3</w:t>
      </w:r>
      <w:r>
        <w:rPr>
          <w:rFonts w:hint="default" w:ascii="Times New Roman" w:hAnsi="Times New Roman" w:eastAsia="宋体" w:cs="Times New Roman"/>
          <w:color w:val="auto"/>
          <w:sz w:val="24"/>
          <w:szCs w:val="24"/>
          <w:lang w:eastAsia="zh-CN"/>
        </w:rPr>
        <w:t>-N浓度增加，而P随着聚磷菌的过量摄取。也以较快的速度下降。</w:t>
      </w:r>
      <w:r>
        <w:rPr>
          <w:rFonts w:hint="default" w:ascii="Times New Roman" w:hAnsi="Times New Roman" w:eastAsia="宋体" w:cs="Times New Roman"/>
          <w:color w:val="auto"/>
          <w:kern w:val="0"/>
          <w:sz w:val="24"/>
          <w:szCs w:val="24"/>
          <w:lang w:val="en-US" w:eastAsia="zh-CN" w:bidi="ar"/>
        </w:rPr>
        <w:t>出水进入消氧区，主要功能是降低内回流混合液中DO浓度，减少回流混合液中DO对缺氧反硝化效果影响，消氧区设计水力停留时间1.0h，末端（内回流点前）DO控制在1mg/L以下。</w:t>
      </w:r>
    </w:p>
    <w:p w14:paraId="7158A3E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消氧区出水进入后缺氧区，根据原水水质可投加外加碳源，强化反硝化脱氮，停留时间1.5h。后缺氧区出水进入后好氧区，主要功能是恢复好氧微生物活性，进一步去除残余氨氮和有机物，避免二沉池浮泥，后好氧区设计水力停留时间0.5h，DO控制在2mg/L左右。</w:t>
      </w:r>
    </w:p>
    <w:p w14:paraId="42C13A4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MBR工艺</w:t>
      </w:r>
    </w:p>
    <w:p w14:paraId="7FB406B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MBR工艺把含高浓度MLSS的活性污泥处理和超滤膜系统相结合。总体上，该工艺利用中空纤维膜（微/超滤膜）替代了传统活性污泥法的二沉池和三级深度处理中的砂滤，在传统的废水生物处理技术中，泥水分离通常是在二沉池中靠重力作用完成的，其分离效率依赖于活性污泥的沉降性能，而污泥的沉降性能取决于曝气池的运行情况，改善污泥沉降性能必须严格控制曝气池的操作条件。由于二沉池固液分离的要求，曝气池的污泥浓度一般在2.5～4.5g/L左右，从而限制了生化反应速率。MBR将分离过程中的膜分离技术与传统废水生物处理技术有机结合，大大提高了固液分离效率，并且由于曝气池中活性污泥浓度的增大（约6</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15g/L）和污泥中特效菌（特别是优势菌群）的出现，提高了生化反应速率，同时，还可以通过降低F/M比以减少剩余污泥量。</w:t>
      </w:r>
    </w:p>
    <w:p w14:paraId="3E703BB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相对于传统的深度处理工艺来讲，它用膜分离取代了沉淀池的固液分离，可去除悬浮颗粒获得高质量的处理水质，与脱氮除磷工艺相结合，达到深度处理的目的，出水效果优于一级A，既节省了占地，又达到了高质量回用的目标。</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44"/>
        <w:gridCol w:w="4178"/>
      </w:tblGrid>
      <w:tr w14:paraId="3EA48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668D599">
            <w:pPr>
              <w:keepNext w:val="0"/>
              <w:keepLines w:val="0"/>
              <w:suppressLineNumbers w:val="0"/>
              <w:spacing w:before="0" w:beforeAutospacing="0" w:after="0" w:afterAutospacing="0" w:line="4382" w:lineRule="exact"/>
              <w:ind w:left="0" w:right="0"/>
              <w:rPr>
                <w:rFonts w:hint="default"/>
                <w:vertAlign w:val="baseline"/>
              </w:rPr>
            </w:pPr>
            <w:r>
              <w:rPr>
                <w:rFonts w:hint="default"/>
                <w:position w:val="-87"/>
              </w:rPr>
              <w:drawing>
                <wp:inline distT="0" distB="0" distL="0" distR="0">
                  <wp:extent cx="2616200" cy="2782570"/>
                  <wp:effectExtent l="0" t="0" r="5080" b="635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33"/>
                          <a:stretch>
                            <a:fillRect/>
                          </a:stretch>
                        </pic:blipFill>
                        <pic:spPr>
                          <a:xfrm>
                            <a:off x="0" y="0"/>
                            <a:ext cx="2616707" cy="2782823"/>
                          </a:xfrm>
                          <a:prstGeom prst="rect">
                            <a:avLst/>
                          </a:prstGeom>
                        </pic:spPr>
                      </pic:pic>
                    </a:graphicData>
                  </a:graphic>
                </wp:inline>
              </w:drawing>
            </w:r>
          </w:p>
        </w:tc>
        <w:tc>
          <w:tcPr>
            <w:tcW w:w="4261" w:type="dxa"/>
          </w:tcPr>
          <w:p w14:paraId="32AE8E50">
            <w:pPr>
              <w:keepNext w:val="0"/>
              <w:keepLines w:val="0"/>
              <w:suppressLineNumbers w:val="0"/>
              <w:spacing w:before="0" w:beforeAutospacing="0" w:after="0" w:afterAutospacing="0" w:line="4382" w:lineRule="exact"/>
              <w:ind w:left="0" w:right="0"/>
              <w:rPr>
                <w:rFonts w:hint="default"/>
                <w:vertAlign w:val="baseline"/>
              </w:rPr>
            </w:pPr>
            <w:r>
              <w:rPr>
                <w:rFonts w:hint="default"/>
                <w:position w:val="-87"/>
              </w:rPr>
              <w:drawing>
                <wp:inline distT="0" distB="0" distL="0" distR="0">
                  <wp:extent cx="2406015" cy="2781935"/>
                  <wp:effectExtent l="0" t="0" r="1905" b="6985"/>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34"/>
                          <a:stretch>
                            <a:fillRect/>
                          </a:stretch>
                        </pic:blipFill>
                        <pic:spPr>
                          <a:xfrm>
                            <a:off x="0" y="0"/>
                            <a:ext cx="2406395" cy="2781948"/>
                          </a:xfrm>
                          <a:prstGeom prst="rect">
                            <a:avLst/>
                          </a:prstGeom>
                        </pic:spPr>
                      </pic:pic>
                    </a:graphicData>
                  </a:graphic>
                </wp:inline>
              </w:drawing>
            </w:r>
          </w:p>
        </w:tc>
      </w:tr>
    </w:tbl>
    <w:p w14:paraId="1B7980C7">
      <w:pPr>
        <w:spacing w:before="36" w:line="222" w:lineRule="auto"/>
        <w:ind w:left="3611"/>
        <w:rPr>
          <w:rFonts w:ascii="黑体" w:hAnsi="黑体" w:eastAsia="黑体" w:cs="黑体"/>
          <w:sz w:val="24"/>
          <w:szCs w:val="24"/>
        </w:rPr>
      </w:pPr>
      <w:r>
        <w:rPr>
          <w:rFonts w:hint="default" w:ascii="Times New Roman" w:hAnsi="Times New Roman" w:eastAsia="宋体" w:cs="Times New Roman"/>
          <w:b/>
          <w:bCs/>
          <w:color w:val="auto"/>
          <w:spacing w:val="0"/>
          <w:w w:val="100"/>
          <w:sz w:val="21"/>
          <w:szCs w:val="21"/>
          <w:lang w:eastAsia="zh-CN"/>
        </w:rPr>
        <w:t>图</w:t>
      </w:r>
      <w:r>
        <w:rPr>
          <w:rFonts w:hint="default" w:ascii="Times New Roman" w:hAnsi="Times New Roman" w:eastAsia="宋体" w:cs="Times New Roman"/>
          <w:b/>
          <w:bCs/>
          <w:color w:val="auto"/>
          <w:spacing w:val="0"/>
          <w:w w:val="100"/>
          <w:sz w:val="21"/>
          <w:szCs w:val="21"/>
          <w:lang w:val="en-US" w:eastAsia="zh-CN"/>
        </w:rPr>
        <w:t>5-1</w:t>
      </w:r>
      <w:r>
        <w:rPr>
          <w:rFonts w:hint="eastAsia" w:ascii="Times New Roman" w:hAnsi="Times New Roman" w:eastAsia="宋体" w:cs="Times New Roman"/>
          <w:b/>
          <w:bCs/>
          <w:color w:val="auto"/>
          <w:spacing w:val="0"/>
          <w:w w:val="100"/>
          <w:sz w:val="21"/>
          <w:szCs w:val="21"/>
          <w:lang w:val="en-US" w:eastAsia="zh-CN"/>
        </w:rPr>
        <w:t xml:space="preserve"> </w:t>
      </w:r>
      <w:r>
        <w:rPr>
          <w:rFonts w:hint="default" w:ascii="Times New Roman" w:hAnsi="Times New Roman" w:eastAsia="宋体" w:cs="Times New Roman"/>
          <w:b/>
          <w:bCs/>
          <w:color w:val="auto"/>
          <w:spacing w:val="0"/>
          <w:w w:val="100"/>
          <w:sz w:val="21"/>
          <w:szCs w:val="21"/>
          <w:lang w:val="en-US" w:eastAsia="zh-CN"/>
        </w:rPr>
        <w:t xml:space="preserve">  </w:t>
      </w:r>
      <w:r>
        <w:rPr>
          <w:rFonts w:hint="eastAsia" w:ascii="黑体" w:hAnsi="黑体" w:eastAsia="黑体" w:cs="黑体"/>
          <w:b/>
          <w:bCs/>
          <w:spacing w:val="-9"/>
          <w:sz w:val="24"/>
          <w:szCs w:val="24"/>
          <w:lang w:val="en-US" w:eastAsia="zh-CN"/>
        </w:rPr>
        <w:t xml:space="preserve"> </w:t>
      </w:r>
      <w:r>
        <w:rPr>
          <w:rFonts w:hint="default" w:ascii="Times New Roman" w:hAnsi="Times New Roman" w:eastAsia="宋体" w:cs="Times New Roman"/>
          <w:b/>
          <w:bCs/>
          <w:color w:val="auto"/>
          <w:spacing w:val="0"/>
          <w:w w:val="100"/>
          <w:sz w:val="21"/>
          <w:szCs w:val="21"/>
          <w:lang w:val="en-US" w:eastAsia="zh-CN"/>
        </w:rPr>
        <w:t>MBR膜组件</w:t>
      </w:r>
    </w:p>
    <w:p w14:paraId="3FB61241">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default" w:ascii="Times New Roman" w:hAnsi="Times New Roman" w:eastAsia="宋体" w:cs="Times New Roman"/>
          <w:color w:val="auto"/>
          <w:spacing w:val="0"/>
          <w:w w:val="100"/>
          <w:sz w:val="24"/>
          <w:szCs w:val="24"/>
          <w:lang w:eastAsia="zh-CN"/>
        </w:rPr>
        <w:t>根据上文的工程分析，废水经过A</w:t>
      </w:r>
      <w:r>
        <w:rPr>
          <w:rFonts w:hint="default" w:ascii="Times New Roman" w:hAnsi="Times New Roman" w:eastAsia="宋体" w:cs="Times New Roman"/>
          <w:color w:val="auto"/>
          <w:spacing w:val="0"/>
          <w:w w:val="100"/>
          <w:sz w:val="24"/>
          <w:szCs w:val="24"/>
          <w:vertAlign w:val="superscript"/>
          <w:lang w:eastAsia="zh-CN"/>
        </w:rPr>
        <w:t>2</w:t>
      </w:r>
      <w:r>
        <w:rPr>
          <w:rFonts w:hint="default" w:ascii="Times New Roman" w:hAnsi="Times New Roman" w:eastAsia="宋体" w:cs="Times New Roman"/>
          <w:color w:val="auto"/>
          <w:spacing w:val="0"/>
          <w:w w:val="100"/>
          <w:sz w:val="24"/>
          <w:szCs w:val="24"/>
          <w:lang w:eastAsia="zh-CN"/>
        </w:rPr>
        <w:t>/O处理后</w:t>
      </w:r>
      <w:r>
        <w:rPr>
          <w:rFonts w:hint="eastAsia" w:ascii="Times New Roman" w:hAnsi="Times New Roman" w:eastAsia="宋体" w:cs="Times New Roman"/>
          <w:color w:val="auto"/>
          <w:spacing w:val="0"/>
          <w:w w:val="100"/>
          <w:sz w:val="24"/>
          <w:szCs w:val="24"/>
          <w:lang w:val="en-US" w:eastAsia="zh-CN"/>
        </w:rPr>
        <w:t>再经MBR处理</w:t>
      </w:r>
      <w:r>
        <w:rPr>
          <w:rFonts w:hint="default" w:ascii="Times New Roman" w:hAnsi="Times New Roman" w:eastAsia="宋体" w:cs="Times New Roman"/>
          <w:color w:val="auto"/>
          <w:spacing w:val="0"/>
          <w:w w:val="100"/>
          <w:sz w:val="24"/>
          <w:szCs w:val="24"/>
          <w:lang w:eastAsia="zh-CN"/>
        </w:rPr>
        <w:t>，污水处理厂设计的出水水质能达到《陕西省黄河流域污水综合排放标准》（DB6/224--2018）表1中A标准，因此，采用A</w:t>
      </w:r>
      <w:r>
        <w:rPr>
          <w:rFonts w:hint="default" w:ascii="Times New Roman" w:hAnsi="Times New Roman" w:eastAsia="宋体" w:cs="Times New Roman"/>
          <w:color w:val="auto"/>
          <w:spacing w:val="0"/>
          <w:w w:val="100"/>
          <w:sz w:val="24"/>
          <w:szCs w:val="24"/>
          <w:vertAlign w:val="superscript"/>
          <w:lang w:eastAsia="zh-CN"/>
        </w:rPr>
        <w:t>2</w:t>
      </w:r>
      <w:r>
        <w:rPr>
          <w:rFonts w:hint="default" w:ascii="Times New Roman" w:hAnsi="Times New Roman" w:eastAsia="宋体" w:cs="Times New Roman"/>
          <w:color w:val="auto"/>
          <w:spacing w:val="0"/>
          <w:w w:val="100"/>
          <w:sz w:val="24"/>
          <w:szCs w:val="24"/>
          <w:lang w:eastAsia="zh-CN"/>
        </w:rPr>
        <w:t>/O</w:t>
      </w:r>
      <w:r>
        <w:rPr>
          <w:rFonts w:hint="eastAsia" w:ascii="Times New Roman" w:hAnsi="Times New Roman" w:eastAsia="宋体" w:cs="Times New Roman"/>
          <w:color w:val="auto"/>
          <w:spacing w:val="0"/>
          <w:w w:val="100"/>
          <w:sz w:val="24"/>
          <w:szCs w:val="24"/>
          <w:lang w:val="en-US" w:eastAsia="zh-CN"/>
        </w:rPr>
        <w:t>+MBR</w:t>
      </w:r>
      <w:r>
        <w:rPr>
          <w:rFonts w:hint="default" w:ascii="Times New Roman" w:hAnsi="Times New Roman" w:eastAsia="宋体" w:cs="Times New Roman"/>
          <w:color w:val="auto"/>
          <w:spacing w:val="0"/>
          <w:w w:val="100"/>
          <w:sz w:val="24"/>
          <w:szCs w:val="24"/>
          <w:lang w:eastAsia="zh-CN"/>
        </w:rPr>
        <w:t>处理工艺可行。</w:t>
      </w:r>
      <w:bookmarkEnd w:id="57"/>
    </w:p>
    <w:p w14:paraId="412D911C">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eastAsia="zh-CN"/>
        </w:rPr>
      </w:pPr>
      <w:bookmarkStart w:id="58" w:name="_Toc27869"/>
      <w:r>
        <w:rPr>
          <w:rFonts w:hint="default" w:ascii="Times New Roman" w:hAnsi="Times New Roman" w:eastAsia="宋体" w:cs="Times New Roman"/>
          <w:color w:val="auto"/>
          <w:spacing w:val="0"/>
          <w:w w:val="100"/>
          <w:sz w:val="24"/>
          <w:szCs w:val="24"/>
          <w:lang w:eastAsia="zh-CN"/>
        </w:rPr>
        <w:t>综上所述，可知本项目废水处理工艺合理可行。</w:t>
      </w:r>
      <w:bookmarkEnd w:id="58"/>
    </w:p>
    <w:p w14:paraId="07C2A9AC">
      <w:pPr>
        <w:widowControl w:val="0"/>
        <w:spacing w:before="120" w:beforeLines="50" w:after="120" w:afterLines="50" w:line="240" w:lineRule="auto"/>
        <w:ind w:firstLine="0" w:firstLineChars="0"/>
        <w:jc w:val="both"/>
        <w:outlineLvl w:val="0"/>
        <w:rPr>
          <w:rFonts w:hint="eastAsia" w:ascii="Times New Roman" w:hAnsi="Times New Roman" w:eastAsia="宋体" w:cs="Times New Roman"/>
          <w:b/>
          <w:color w:val="auto"/>
          <w:spacing w:val="0"/>
          <w:w w:val="100"/>
          <w:kern w:val="2"/>
          <w:sz w:val="28"/>
          <w:szCs w:val="28"/>
          <w:lang w:val="en-US" w:eastAsia="zh-CN" w:bidi="ar-SA"/>
        </w:rPr>
      </w:pPr>
      <w:r>
        <w:rPr>
          <w:rFonts w:hint="default" w:ascii="Times New Roman" w:hAnsi="Times New Roman" w:eastAsia="宋体" w:cs="Times New Roman"/>
          <w:b/>
          <w:color w:val="auto"/>
          <w:spacing w:val="0"/>
          <w:w w:val="100"/>
          <w:kern w:val="2"/>
          <w:sz w:val="28"/>
          <w:szCs w:val="28"/>
          <w:lang w:val="en-US" w:eastAsia="zh-CN" w:bidi="ar-SA"/>
        </w:rPr>
        <w:t>5.</w:t>
      </w:r>
      <w:r>
        <w:rPr>
          <w:rFonts w:hint="eastAsia" w:ascii="Times New Roman" w:hAnsi="Times New Roman" w:eastAsia="宋体" w:cs="Times New Roman"/>
          <w:b/>
          <w:color w:val="auto"/>
          <w:spacing w:val="0"/>
          <w:w w:val="100"/>
          <w:kern w:val="2"/>
          <w:sz w:val="28"/>
          <w:szCs w:val="28"/>
          <w:lang w:val="en-US" w:eastAsia="zh-CN" w:bidi="ar-SA"/>
        </w:rPr>
        <w:t>2</w:t>
      </w:r>
      <w:r>
        <w:rPr>
          <w:rFonts w:hint="default" w:ascii="Times New Roman" w:hAnsi="Times New Roman" w:eastAsia="宋体" w:cs="Times New Roman"/>
          <w:b/>
          <w:color w:val="auto"/>
          <w:spacing w:val="0"/>
          <w:w w:val="100"/>
          <w:kern w:val="2"/>
          <w:sz w:val="28"/>
          <w:szCs w:val="28"/>
          <w:lang w:val="en-US" w:eastAsia="zh-CN" w:bidi="ar-SA"/>
        </w:rPr>
        <w:t xml:space="preserve"> </w:t>
      </w:r>
      <w:r>
        <w:rPr>
          <w:rFonts w:hint="eastAsia" w:ascii="Times New Roman" w:hAnsi="Times New Roman" w:eastAsia="宋体" w:cs="Times New Roman"/>
          <w:b/>
          <w:color w:val="auto"/>
          <w:spacing w:val="0"/>
          <w:w w:val="100"/>
          <w:kern w:val="2"/>
          <w:sz w:val="28"/>
          <w:szCs w:val="28"/>
          <w:lang w:val="en-US" w:eastAsia="zh-CN" w:bidi="ar-SA"/>
        </w:rPr>
        <w:t>排污口规范化措施及排放方式环保论证</w:t>
      </w:r>
    </w:p>
    <w:p w14:paraId="6129A96E">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eastAsia" w:ascii="Times New Roman" w:hAnsi="Times New Roman" w:eastAsia="宋体" w:cs="Times New Roman"/>
          <w:color w:val="auto"/>
          <w:spacing w:val="0"/>
          <w:w w:val="100"/>
          <w:sz w:val="24"/>
          <w:szCs w:val="24"/>
          <w:lang w:val="en-US" w:eastAsia="zh-CN"/>
        </w:rPr>
        <w:t>（1）</w:t>
      </w:r>
      <w:r>
        <w:rPr>
          <w:rFonts w:hint="default" w:ascii="Times New Roman" w:hAnsi="Times New Roman" w:eastAsia="宋体" w:cs="Times New Roman"/>
          <w:color w:val="auto"/>
          <w:spacing w:val="0"/>
          <w:w w:val="100"/>
          <w:sz w:val="24"/>
          <w:szCs w:val="24"/>
          <w:lang w:val="en-US" w:eastAsia="zh-CN"/>
        </w:rPr>
        <w:t>排放水质可行性</w:t>
      </w:r>
    </w:p>
    <w:p w14:paraId="1DDAAE67">
      <w:pPr>
        <w:keepNext w:val="0"/>
        <w:keepLines w:val="0"/>
        <w:pageBreakBefore w:val="0"/>
        <w:widowControl w:val="0"/>
        <w:tabs>
          <w:tab w:val="left" w:pos="405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sz w:val="24"/>
          <w:szCs w:val="24"/>
          <w:lang w:eastAsia="zh-CN"/>
        </w:rPr>
      </w:pPr>
      <w:r>
        <w:rPr>
          <w:rFonts w:hint="eastAsia" w:ascii="Times New Roman" w:hAnsi="Times New Roman" w:eastAsia="宋体" w:cs="Times New Roman"/>
          <w:color w:val="auto"/>
          <w:spacing w:val="0"/>
          <w:w w:val="100"/>
          <w:sz w:val="24"/>
          <w:szCs w:val="24"/>
          <w:lang w:val="en-US" w:eastAsia="zh-CN"/>
        </w:rPr>
        <w:t>根据本工程污水处理工艺，污水处理出水水质将达到</w:t>
      </w:r>
      <w:r>
        <w:rPr>
          <w:rFonts w:hint="default" w:ascii="Times New Roman" w:hAnsi="Times New Roman" w:eastAsia="宋体" w:cs="Times New Roman"/>
          <w:b w:val="0"/>
          <w:bCs w:val="0"/>
          <w:color w:val="auto"/>
          <w:sz w:val="24"/>
          <w:szCs w:val="24"/>
          <w:lang w:eastAsia="zh-CN"/>
        </w:rPr>
        <w:t>《陕西省黄河流域污水综合排放标准》（DB61/224-2018）表</w:t>
      </w:r>
      <w:r>
        <w:rPr>
          <w:rFonts w:hint="default" w:ascii="Times New Roman" w:hAnsi="Times New Roman" w:eastAsia="宋体" w:cs="Times New Roman"/>
          <w:b w:val="0"/>
          <w:bCs w:val="0"/>
          <w:color w:val="auto"/>
          <w:sz w:val="24"/>
          <w:szCs w:val="24"/>
          <w:lang w:val="en-US" w:eastAsia="zh-CN"/>
        </w:rPr>
        <w:t>1中A</w:t>
      </w:r>
      <w:r>
        <w:rPr>
          <w:rFonts w:hint="default" w:ascii="Times New Roman" w:hAnsi="Times New Roman" w:eastAsia="宋体" w:cs="Times New Roman"/>
          <w:b w:val="0"/>
          <w:bCs w:val="0"/>
          <w:color w:val="auto"/>
          <w:sz w:val="24"/>
          <w:szCs w:val="24"/>
          <w:lang w:eastAsia="zh-CN"/>
        </w:rPr>
        <w:t>标准</w:t>
      </w:r>
      <w:r>
        <w:rPr>
          <w:rFonts w:hint="eastAsia" w:ascii="Times New Roman" w:hAnsi="Times New Roman" w:eastAsia="宋体" w:cs="Times New Roman"/>
          <w:b w:val="0"/>
          <w:bCs w:val="0"/>
          <w:color w:val="auto"/>
          <w:sz w:val="24"/>
          <w:szCs w:val="24"/>
          <w:lang w:eastAsia="zh-CN"/>
        </w:rPr>
        <w:t>，即</w:t>
      </w:r>
      <w:r>
        <w:rPr>
          <w:rFonts w:hint="eastAsia" w:ascii="Times New Roman" w:hAnsi="Times New Roman" w:eastAsia="宋体" w:cs="Times New Roman"/>
          <w:color w:val="auto"/>
          <w:spacing w:val="0"/>
          <w:w w:val="100"/>
          <w:sz w:val="24"/>
          <w:szCs w:val="24"/>
          <w:lang w:val="en-US" w:eastAsia="zh-CN"/>
        </w:rPr>
        <w:t>地表水准Ⅳ类标准，根据预测结果，正常工况下出水对千河水质影响较小，该排污口的设立可改善当地千河段的水质，符合千河水域及下游水质目标管理的要求。</w:t>
      </w:r>
    </w:p>
    <w:p w14:paraId="53F4C4E8">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eastAsia"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（2）入河排污口设置可行性</w:t>
      </w:r>
    </w:p>
    <w:p w14:paraId="61935D35">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eastAsia"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根据设计资料，尾水依托陇县千河南岸新城污水处理厂排放口排放，不新增排放口，本项目最大入河流量0.135</w:t>
      </w:r>
      <w:r>
        <w:rPr>
          <w:rFonts w:hint="default" w:ascii="Times New Roman" w:hAnsi="Times New Roman" w:eastAsia="宋体" w:cs="Times New Roman"/>
          <w:b w:val="0"/>
          <w:bCs w:val="0"/>
          <w:color w:val="auto"/>
          <w:spacing w:val="0"/>
          <w:w w:val="100"/>
          <w:sz w:val="24"/>
          <w:szCs w:val="24"/>
          <w:lang w:val="en-US" w:eastAsia="zh-CN"/>
        </w:rPr>
        <w:t>m</w:t>
      </w:r>
      <w:r>
        <w:rPr>
          <w:rFonts w:hint="eastAsia" w:ascii="Times New Roman" w:hAnsi="Times New Roman" w:eastAsia="宋体" w:cs="Times New Roman"/>
          <w:b w:val="0"/>
          <w:bCs w:val="0"/>
          <w:color w:val="auto"/>
          <w:spacing w:val="0"/>
          <w:w w:val="100"/>
          <w:sz w:val="24"/>
          <w:szCs w:val="24"/>
          <w:lang w:val="en-US" w:eastAsia="zh-CN"/>
        </w:rPr>
        <w:t>³</w:t>
      </w:r>
      <w:r>
        <w:rPr>
          <w:rFonts w:hint="default" w:ascii="Times New Roman" w:hAnsi="Times New Roman" w:eastAsia="宋体" w:cs="Times New Roman"/>
          <w:b w:val="0"/>
          <w:bCs w:val="0"/>
          <w:color w:val="auto"/>
          <w:spacing w:val="0"/>
          <w:w w:val="100"/>
          <w:sz w:val="24"/>
          <w:szCs w:val="24"/>
          <w:lang w:val="en-US" w:eastAsia="zh-CN"/>
        </w:rPr>
        <w:t>/s</w:t>
      </w:r>
      <w:r>
        <w:rPr>
          <w:rFonts w:hint="eastAsia" w:ascii="Times New Roman" w:hAnsi="Times New Roman" w:eastAsia="宋体" w:cs="Times New Roman"/>
          <w:b w:val="0"/>
          <w:bCs w:val="0"/>
          <w:color w:val="auto"/>
          <w:spacing w:val="0"/>
          <w:w w:val="100"/>
          <w:sz w:val="24"/>
          <w:szCs w:val="24"/>
          <w:lang w:val="en-US" w:eastAsia="zh-CN"/>
        </w:rPr>
        <w:t>，远小于千河河流流量，不会影响河流的行洪排涝。</w:t>
      </w:r>
    </w:p>
    <w:p w14:paraId="2A9E6157">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（3）排污口规范化要求</w:t>
      </w:r>
    </w:p>
    <w:p w14:paraId="55D979F4">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eastAsia"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根据国家环保总局《关于开展排放口规范化整治工作的通知》（环发〔1999</w:t>
      </w:r>
      <w:r>
        <w:rPr>
          <w:rFonts w:hint="eastAsia" w:ascii="宋体" w:hAnsi="宋体" w:eastAsia="宋体" w:cs="宋体"/>
          <w:b w:val="0"/>
          <w:bCs w:val="0"/>
          <w:color w:val="auto"/>
          <w:spacing w:val="0"/>
          <w:w w:val="100"/>
          <w:sz w:val="24"/>
          <w:szCs w:val="24"/>
          <w:lang w:val="en-US" w:eastAsia="zh-CN"/>
        </w:rPr>
        <w:t>〕</w:t>
      </w:r>
      <w:r>
        <w:rPr>
          <w:rFonts w:hint="eastAsia" w:ascii="Times New Roman" w:hAnsi="Times New Roman" w:eastAsia="宋体" w:cs="Times New Roman"/>
          <w:b w:val="0"/>
          <w:bCs w:val="0"/>
          <w:color w:val="auto"/>
          <w:spacing w:val="0"/>
          <w:w w:val="100"/>
          <w:sz w:val="24"/>
          <w:szCs w:val="24"/>
          <w:lang w:val="en-US" w:eastAsia="zh-CN"/>
        </w:rPr>
        <w:t>24号）对排污口规范化提出如下要求：</w:t>
      </w:r>
    </w:p>
    <w:p w14:paraId="1035E5B0">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eastAsia"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①新建项目排放口污水管应做到可视化，不得填埋。排放口必须具备采样和流量测定条件，按照《污染源监测技术规范》设置采样点，如本项目污水总排口、污水处理设施的进出水口，污水面在地下或距离地面超过1米的，应配套建设取样台阶或梯架，进行编号并设置标志。</w:t>
      </w:r>
    </w:p>
    <w:p w14:paraId="4F60A55C">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eastAsia"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②排放口可以为矩形、圆管形或梯形，使其水深不低于0.1米，流速不小于0.05米/秒，间歇式排放的除外。</w:t>
      </w:r>
    </w:p>
    <w:p w14:paraId="68EF88E0">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eastAsia"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③设置规范的、便于测量流量、流速的测流段。测流段直线长度应是其水面宽度6倍以上，最小1.5倍以上。</w:t>
      </w:r>
    </w:p>
    <w:p w14:paraId="7991513D">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eastAsia"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④列入重点整治的排污口必须安装流量计或在线检测装置。一般污水排污口可安装三角堰、矩形堰、测流槽等测流装置或其他装置。项目应在尾水排放计量渠安装pH、水温、COD、氨氮、总磷在线监测仪器。</w:t>
      </w:r>
    </w:p>
    <w:p w14:paraId="37F39D0B">
      <w:pPr>
        <w:pStyle w:val="3"/>
        <w:keepNext w:val="0"/>
        <w:keepLines w:val="0"/>
        <w:pageBreakBefore w:val="0"/>
        <w:widowControl w:val="0"/>
        <w:suppressLineNumbers w:val="0"/>
        <w:kinsoku/>
        <w:wordWrap/>
        <w:overflowPunct/>
        <w:topLinePunct w:val="0"/>
        <w:autoSpaceDE/>
        <w:autoSpaceDN/>
        <w:bidi w:val="0"/>
        <w:adjustRightInd w:val="0"/>
        <w:snapToGrid/>
        <w:spacing w:before="0" w:beforeLines="0" w:after="0" w:afterLines="0" w:line="360" w:lineRule="auto"/>
        <w:ind w:left="0" w:right="0" w:firstLine="480" w:firstLineChars="200"/>
        <w:jc w:val="both"/>
        <w:textAlignment w:val="auto"/>
        <w:rPr>
          <w:rFonts w:hint="eastAsia"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④排放口必须设置符合国家标准《环境保护图形标志》（GB15562.1-1995）（GB15562.2-1995）规定的排放口标志牌。标志牌设置应距污染物排放口（源）附近且醒目处，并能长久保留。可根据情况分别选择设置立式或平面固定式标志牌，在地面设置标志牌上缘距离地面2米。标志牌辅助标志上需要填写的栏目，应由环境保护部门统一组织填写，要求字迹工整，字的颜色与标志牌颜色总体协调。</w:t>
      </w:r>
    </w:p>
    <w:p w14:paraId="2DC6F045">
      <w:pPr>
        <w:spacing w:line="360" w:lineRule="auto"/>
        <w:ind w:firstLine="472" w:firstLineChars="200"/>
        <w:jc w:val="both"/>
        <w:rPr>
          <w:rFonts w:hint="eastAsia" w:eastAsia="宋体"/>
          <w:color w:val="auto"/>
          <w:lang w:val="en-US" w:eastAsia="zh-CN"/>
        </w:rPr>
      </w:pPr>
      <w:r>
        <w:rPr>
          <w:rFonts w:hint="eastAsia" w:ascii="宋体" w:hAnsi="宋体" w:eastAsia="宋体" w:cs="宋体"/>
          <w:color w:val="auto"/>
          <w:spacing w:val="-2"/>
          <w:sz w:val="24"/>
          <w:szCs w:val="24"/>
          <w:lang w:val="en-US" w:eastAsia="zh-CN"/>
        </w:rPr>
        <w:t>本次依托</w:t>
      </w:r>
      <w:r>
        <w:rPr>
          <w:rFonts w:hint="eastAsia" w:ascii="Times New Roman" w:hAnsi="Times New Roman" w:eastAsia="宋体" w:cs="Times New Roman"/>
          <w:color w:val="auto"/>
          <w:spacing w:val="0"/>
          <w:w w:val="100"/>
          <w:sz w:val="24"/>
          <w:szCs w:val="22"/>
          <w:lang w:val="en-US" w:eastAsia="zh-CN"/>
        </w:rPr>
        <w:t>尾水依托</w:t>
      </w:r>
      <w:r>
        <w:rPr>
          <w:rFonts w:hint="eastAsia" w:ascii="Times New Roman" w:hAnsi="Times New Roman" w:eastAsia="宋体" w:cs="Times New Roman"/>
          <w:color w:val="auto"/>
          <w:spacing w:val="0"/>
          <w:w w:val="100"/>
          <w:sz w:val="24"/>
          <w:szCs w:val="24"/>
          <w:lang w:val="en-US" w:eastAsia="zh-CN"/>
        </w:rPr>
        <w:t>陇县千河南岸新城污水处理厂排放口排放，在</w:t>
      </w:r>
      <w:r>
        <w:rPr>
          <w:rFonts w:hint="eastAsia" w:ascii="宋体" w:hAnsi="宋体" w:eastAsia="宋体" w:cs="宋体"/>
          <w:color w:val="auto"/>
          <w:spacing w:val="-2"/>
          <w:sz w:val="24"/>
          <w:szCs w:val="24"/>
          <w:lang w:eastAsia="zh-CN"/>
        </w:rPr>
        <w:t>采取规范化排污口</w:t>
      </w:r>
      <w:r>
        <w:rPr>
          <w:rFonts w:hint="eastAsia" w:ascii="宋体" w:hAnsi="宋体" w:eastAsia="宋体" w:cs="宋体"/>
          <w:color w:val="auto"/>
          <w:spacing w:val="-2"/>
          <w:sz w:val="24"/>
          <w:szCs w:val="24"/>
          <w:lang w:val="en-US" w:eastAsia="zh-CN"/>
        </w:rPr>
        <w:t>设置的条件下</w:t>
      </w:r>
      <w:r>
        <w:rPr>
          <w:rFonts w:hint="eastAsia" w:ascii="宋体" w:hAnsi="宋体" w:eastAsia="宋体" w:cs="宋体"/>
          <w:color w:val="auto"/>
          <w:spacing w:val="-2"/>
          <w:sz w:val="24"/>
          <w:szCs w:val="24"/>
          <w:lang w:eastAsia="zh-CN"/>
        </w:rPr>
        <w:t>，陇县经济技术开发区水污染综合治理及再生水资源节约利用项目</w:t>
      </w:r>
      <w:r>
        <w:rPr>
          <w:rFonts w:ascii="宋体" w:hAnsi="宋体" w:eastAsia="宋体" w:cs="宋体"/>
          <w:color w:val="auto"/>
          <w:spacing w:val="-2"/>
          <w:sz w:val="24"/>
          <w:szCs w:val="24"/>
        </w:rPr>
        <w:t>入河排污</w:t>
      </w:r>
      <w:r>
        <w:rPr>
          <w:rFonts w:hint="eastAsia" w:ascii="宋体" w:hAnsi="宋体" w:eastAsia="宋体" w:cs="宋体"/>
          <w:color w:val="auto"/>
          <w:spacing w:val="-2"/>
          <w:sz w:val="24"/>
          <w:szCs w:val="24"/>
          <w:lang w:eastAsia="zh-CN"/>
        </w:rPr>
        <w:t>口设置</w:t>
      </w:r>
      <w:r>
        <w:rPr>
          <w:rFonts w:ascii="宋体" w:hAnsi="宋体" w:eastAsia="宋体" w:cs="宋体"/>
          <w:color w:val="auto"/>
          <w:spacing w:val="-2"/>
          <w:sz w:val="24"/>
          <w:szCs w:val="24"/>
        </w:rPr>
        <w:t>是合理的，可行的</w:t>
      </w:r>
      <w:r>
        <w:rPr>
          <w:rFonts w:hint="eastAsia" w:ascii="宋体" w:hAnsi="宋体" w:eastAsia="宋体" w:cs="宋体"/>
          <w:color w:val="auto"/>
          <w:spacing w:val="-2"/>
          <w:sz w:val="24"/>
          <w:szCs w:val="24"/>
          <w:lang w:eastAsia="zh-CN"/>
        </w:rPr>
        <w:t>。</w:t>
      </w:r>
    </w:p>
    <w:p w14:paraId="2897745D">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8"/>
          <w:szCs w:val="28"/>
          <w:lang w:val="en-US" w:eastAsia="zh-CN" w:bidi="ar-SA"/>
        </w:rPr>
      </w:pPr>
      <w:r>
        <w:rPr>
          <w:rFonts w:hint="eastAsia" w:ascii="Times New Roman" w:hAnsi="Times New Roman" w:eastAsia="宋体" w:cs="Times New Roman"/>
          <w:b/>
          <w:color w:val="auto"/>
          <w:spacing w:val="0"/>
          <w:w w:val="100"/>
          <w:kern w:val="2"/>
          <w:sz w:val="28"/>
          <w:szCs w:val="28"/>
          <w:lang w:val="en-US" w:eastAsia="zh-CN" w:bidi="ar-SA"/>
        </w:rPr>
        <w:t>5.3 监测计划</w:t>
      </w:r>
    </w:p>
    <w:p w14:paraId="1788478B">
      <w:pPr>
        <w:spacing w:line="360" w:lineRule="auto"/>
        <w:ind w:firstLine="480" w:firstLineChars="200"/>
        <w:jc w:val="both"/>
        <w:rPr>
          <w:rFonts w:hint="default" w:ascii="Times New Roman" w:hAnsi="Times New Roman" w:cs="Times New Roman"/>
          <w:b/>
          <w:bCs/>
          <w:color w:val="auto"/>
          <w:sz w:val="21"/>
          <w:szCs w:val="21"/>
        </w:rPr>
      </w:pPr>
      <w:r>
        <w:rPr>
          <w:rFonts w:hint="default" w:ascii="Times New Roman" w:hAnsi="Times New Roman" w:eastAsia="宋体" w:cs="Times New Roman"/>
          <w:snapToGrid w:val="0"/>
          <w:color w:val="auto"/>
          <w:kern w:val="0"/>
          <w:sz w:val="24"/>
        </w:rPr>
        <w:t>根据本项目运营期的环境污染特点与</w:t>
      </w:r>
      <w:r>
        <w:rPr>
          <w:rFonts w:hint="default" w:ascii="Times New Roman" w:hAnsi="Times New Roman" w:eastAsia="宋体" w:cs="Times New Roman"/>
          <w:snapToGrid w:val="0"/>
          <w:color w:val="auto"/>
          <w:kern w:val="0"/>
          <w:sz w:val="24"/>
          <w:lang w:eastAsia="zh-CN"/>
        </w:rPr>
        <w:t>《排污单位自行监测技术指南</w:t>
      </w:r>
      <w:r>
        <w:rPr>
          <w:rFonts w:hint="default" w:ascii="Times New Roman" w:hAnsi="Times New Roman" w:eastAsia="宋体" w:cs="Times New Roman"/>
          <w:snapToGrid w:val="0"/>
          <w:color w:val="auto"/>
          <w:kern w:val="0"/>
          <w:sz w:val="24"/>
          <w:lang w:val="en-US" w:eastAsia="zh-CN"/>
        </w:rPr>
        <w:t xml:space="preserve"> 水处理</w:t>
      </w:r>
      <w:r>
        <w:rPr>
          <w:rFonts w:hint="default" w:ascii="Times New Roman" w:hAnsi="Times New Roman" w:eastAsia="宋体" w:cs="Times New Roman"/>
          <w:snapToGrid w:val="0"/>
          <w:color w:val="auto"/>
          <w:kern w:val="0"/>
          <w:sz w:val="24"/>
          <w:lang w:eastAsia="zh-CN"/>
        </w:rPr>
        <w:t>》（</w:t>
      </w:r>
      <w:r>
        <w:rPr>
          <w:rFonts w:hint="default" w:ascii="Times New Roman" w:hAnsi="Times New Roman" w:eastAsia="宋体" w:cs="Times New Roman"/>
          <w:snapToGrid w:val="0"/>
          <w:color w:val="auto"/>
          <w:kern w:val="0"/>
          <w:sz w:val="24"/>
          <w:lang w:val="en-US" w:eastAsia="zh-CN"/>
        </w:rPr>
        <w:t>HJ1083-2020</w:t>
      </w:r>
      <w:r>
        <w:rPr>
          <w:rFonts w:hint="default" w:ascii="Times New Roman" w:hAnsi="Times New Roman" w:eastAsia="宋体" w:cs="Times New Roman"/>
          <w:snapToGrid w:val="0"/>
          <w:color w:val="auto"/>
          <w:kern w:val="0"/>
          <w:sz w:val="24"/>
          <w:lang w:eastAsia="zh-CN"/>
        </w:rPr>
        <w:t>）《排污许可证申请与核发技术规范</w:t>
      </w:r>
      <w:r>
        <w:rPr>
          <w:rFonts w:hint="default" w:ascii="Times New Roman" w:hAnsi="Times New Roman" w:eastAsia="宋体" w:cs="Times New Roman"/>
          <w:snapToGrid w:val="0"/>
          <w:color w:val="auto"/>
          <w:kern w:val="0"/>
          <w:sz w:val="24"/>
          <w:lang w:val="en-US" w:eastAsia="zh-CN"/>
        </w:rPr>
        <w:t>-水处理（试行）</w:t>
      </w:r>
      <w:r>
        <w:rPr>
          <w:rFonts w:hint="default" w:ascii="Times New Roman" w:hAnsi="Times New Roman" w:eastAsia="宋体" w:cs="Times New Roman"/>
          <w:snapToGrid w:val="0"/>
          <w:color w:val="auto"/>
          <w:kern w:val="0"/>
          <w:sz w:val="24"/>
          <w:lang w:eastAsia="zh-CN"/>
        </w:rPr>
        <w:t>》（</w:t>
      </w:r>
      <w:r>
        <w:rPr>
          <w:rFonts w:hint="default" w:ascii="Times New Roman" w:hAnsi="Times New Roman" w:eastAsia="宋体" w:cs="Times New Roman"/>
          <w:snapToGrid w:val="0"/>
          <w:color w:val="auto"/>
          <w:kern w:val="0"/>
          <w:sz w:val="24"/>
          <w:lang w:val="en-US" w:eastAsia="zh-CN"/>
        </w:rPr>
        <w:t>HJ978-2018</w:t>
      </w:r>
      <w:r>
        <w:rPr>
          <w:rFonts w:hint="default" w:ascii="Times New Roman" w:hAnsi="Times New Roman" w:eastAsia="宋体" w:cs="Times New Roman"/>
          <w:snapToGrid w:val="0"/>
          <w:color w:val="auto"/>
          <w:kern w:val="0"/>
          <w:sz w:val="24"/>
          <w:lang w:eastAsia="zh-CN"/>
        </w:rPr>
        <w:t>）</w:t>
      </w:r>
      <w:r>
        <w:rPr>
          <w:rFonts w:hint="default" w:ascii="Times New Roman" w:hAnsi="Times New Roman" w:eastAsia="宋体" w:cs="Times New Roman"/>
          <w:snapToGrid w:val="0"/>
          <w:color w:val="auto"/>
          <w:kern w:val="0"/>
          <w:sz w:val="24"/>
        </w:rPr>
        <w:t>，本项目制定了污染源监测计划表，</w:t>
      </w:r>
      <w:r>
        <w:rPr>
          <w:rFonts w:hint="default" w:ascii="Times New Roman" w:hAnsi="Times New Roman" w:eastAsia="宋体" w:cs="Times New Roman"/>
          <w:color w:val="auto"/>
          <w:kern w:val="0"/>
          <w:sz w:val="24"/>
        </w:rPr>
        <w:t>见</w:t>
      </w:r>
      <w:r>
        <w:rPr>
          <w:rFonts w:hint="default" w:ascii="Times New Roman" w:hAnsi="Times New Roman" w:eastAsia="宋体" w:cs="Times New Roman"/>
          <w:color w:val="auto"/>
          <w:kern w:val="0"/>
          <w:sz w:val="24"/>
          <w:lang w:eastAsia="zh-CN"/>
        </w:rPr>
        <w:t>下</w:t>
      </w:r>
      <w:r>
        <w:rPr>
          <w:rFonts w:hint="default" w:ascii="Times New Roman" w:hAnsi="Times New Roman" w:eastAsia="宋体" w:cs="Times New Roman"/>
          <w:color w:val="auto"/>
          <w:kern w:val="0"/>
          <w:sz w:val="24"/>
        </w:rPr>
        <w:t>表。</w:t>
      </w:r>
    </w:p>
    <w:p w14:paraId="1668E926">
      <w:pPr>
        <w:adjustRightInd w:val="0"/>
        <w:spacing w:line="36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7-1</w:t>
      </w:r>
      <w:r>
        <w:rPr>
          <w:rFonts w:hint="eastAsia" w:ascii="Times New Roman" w:hAnsi="Times New Roman" w:cs="Times New Roman"/>
          <w:b/>
          <w:bCs/>
          <w:color w:val="auto"/>
          <w:sz w:val="21"/>
          <w:szCs w:val="21"/>
          <w:lang w:val="en-US" w:eastAsia="zh-CN"/>
        </w:rPr>
        <w:t>8</w:t>
      </w:r>
      <w:r>
        <w:rPr>
          <w:rFonts w:hint="default" w:ascii="Times New Roman" w:hAnsi="Times New Roman"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 xml:space="preserve"> 水</w:t>
      </w:r>
      <w:r>
        <w:rPr>
          <w:rFonts w:hint="default" w:ascii="Times New Roman" w:hAnsi="Times New Roman" w:cs="Times New Roman"/>
          <w:b/>
          <w:bCs/>
          <w:color w:val="auto"/>
          <w:sz w:val="21"/>
          <w:szCs w:val="21"/>
        </w:rPr>
        <w:t>环境监测计划一览表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0"/>
        <w:gridCol w:w="2734"/>
        <w:gridCol w:w="2001"/>
        <w:gridCol w:w="1372"/>
        <w:gridCol w:w="1232"/>
      </w:tblGrid>
      <w:tr w14:paraId="3B672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93" w:type="pct"/>
            <w:noWrap w:val="0"/>
            <w:vAlign w:val="center"/>
          </w:tcPr>
          <w:p w14:paraId="56BE04E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类别</w:t>
            </w:r>
          </w:p>
        </w:tc>
        <w:tc>
          <w:tcPr>
            <w:tcW w:w="1605" w:type="pct"/>
            <w:noWrap w:val="0"/>
            <w:vAlign w:val="center"/>
          </w:tcPr>
          <w:p w14:paraId="69CB671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监测项目</w:t>
            </w:r>
          </w:p>
        </w:tc>
        <w:tc>
          <w:tcPr>
            <w:tcW w:w="1174" w:type="pct"/>
            <w:noWrap w:val="0"/>
            <w:vAlign w:val="center"/>
          </w:tcPr>
          <w:p w14:paraId="31792C9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执行标准</w:t>
            </w:r>
          </w:p>
        </w:tc>
        <w:tc>
          <w:tcPr>
            <w:tcW w:w="805" w:type="pct"/>
            <w:noWrap w:val="0"/>
            <w:vAlign w:val="center"/>
          </w:tcPr>
          <w:p w14:paraId="5E6FA41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监测频次</w:t>
            </w:r>
          </w:p>
        </w:tc>
        <w:tc>
          <w:tcPr>
            <w:tcW w:w="721" w:type="pct"/>
            <w:noWrap w:val="0"/>
            <w:vAlign w:val="center"/>
          </w:tcPr>
          <w:p w14:paraId="270751E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监测点位</w:t>
            </w:r>
          </w:p>
        </w:tc>
      </w:tr>
      <w:tr w14:paraId="2F9E2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93" w:type="pct"/>
            <w:vMerge w:val="restart"/>
            <w:noWrap w:val="0"/>
            <w:vAlign w:val="center"/>
          </w:tcPr>
          <w:p w14:paraId="5886362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废水</w:t>
            </w:r>
          </w:p>
        </w:tc>
        <w:tc>
          <w:tcPr>
            <w:tcW w:w="1605" w:type="pct"/>
            <w:noWrap w:val="0"/>
            <w:vAlign w:val="center"/>
          </w:tcPr>
          <w:p w14:paraId="14BCFC8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流量、</w:t>
            </w:r>
            <w:r>
              <w:rPr>
                <w:rFonts w:hint="default" w:ascii="Times New Roman" w:hAnsi="Times New Roman" w:cs="Times New Roman"/>
                <w:b w:val="0"/>
                <w:bCs w:val="0"/>
                <w:color w:val="auto"/>
                <w:sz w:val="21"/>
                <w:szCs w:val="21"/>
                <w:lang w:val="en-US" w:eastAsia="zh-CN"/>
              </w:rPr>
              <w:t>COD、NH</w:t>
            </w:r>
            <w:r>
              <w:rPr>
                <w:rFonts w:hint="default" w:ascii="Times New Roman" w:hAnsi="Times New Roman" w:cs="Times New Roman"/>
                <w:b w:val="0"/>
                <w:bCs w:val="0"/>
                <w:color w:val="auto"/>
                <w:sz w:val="21"/>
                <w:szCs w:val="21"/>
                <w:vertAlign w:val="subscript"/>
                <w:lang w:val="en-US" w:eastAsia="zh-CN"/>
              </w:rPr>
              <w:t>3</w:t>
            </w:r>
            <w:r>
              <w:rPr>
                <w:rFonts w:hint="default" w:ascii="Times New Roman" w:hAnsi="Times New Roman" w:cs="Times New Roman"/>
                <w:b w:val="0"/>
                <w:bCs w:val="0"/>
                <w:color w:val="auto"/>
                <w:sz w:val="21"/>
                <w:szCs w:val="21"/>
                <w:lang w:val="en-US" w:eastAsia="zh-CN"/>
              </w:rPr>
              <w:t>-N</w:t>
            </w:r>
          </w:p>
        </w:tc>
        <w:tc>
          <w:tcPr>
            <w:tcW w:w="1174" w:type="pct"/>
            <w:noWrap w:val="0"/>
            <w:vAlign w:val="center"/>
          </w:tcPr>
          <w:p w14:paraId="5E1ABB0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w:t>
            </w:r>
          </w:p>
        </w:tc>
        <w:tc>
          <w:tcPr>
            <w:tcW w:w="805" w:type="pct"/>
            <w:noWrap w:val="0"/>
            <w:vAlign w:val="center"/>
          </w:tcPr>
          <w:p w14:paraId="003D08B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eastAsia="宋体" w:cs="Times New Roman"/>
                <w:b w:val="0"/>
                <w:bCs w:val="0"/>
                <w:color w:val="auto"/>
                <w:sz w:val="21"/>
                <w:szCs w:val="21"/>
                <w:lang w:eastAsia="zh-CN"/>
              </w:rPr>
              <w:t>自动监测</w:t>
            </w:r>
          </w:p>
        </w:tc>
        <w:tc>
          <w:tcPr>
            <w:tcW w:w="721" w:type="pct"/>
            <w:vMerge w:val="restart"/>
            <w:noWrap w:val="0"/>
            <w:vAlign w:val="center"/>
          </w:tcPr>
          <w:p w14:paraId="706542B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eastAsia="zh-CN"/>
              </w:rPr>
              <w:t>进水总管</w:t>
            </w:r>
          </w:p>
        </w:tc>
      </w:tr>
      <w:tr w14:paraId="3ED52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93" w:type="pct"/>
            <w:vMerge w:val="continue"/>
            <w:noWrap w:val="0"/>
            <w:vAlign w:val="center"/>
          </w:tcPr>
          <w:p w14:paraId="3F3CF0D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p>
        </w:tc>
        <w:tc>
          <w:tcPr>
            <w:tcW w:w="1605" w:type="pct"/>
            <w:noWrap w:val="0"/>
            <w:vAlign w:val="center"/>
          </w:tcPr>
          <w:p w14:paraId="0FC563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TP、TN</w:t>
            </w:r>
          </w:p>
        </w:tc>
        <w:tc>
          <w:tcPr>
            <w:tcW w:w="1174" w:type="pct"/>
            <w:noWrap w:val="0"/>
            <w:vAlign w:val="center"/>
          </w:tcPr>
          <w:p w14:paraId="51EF034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w:t>
            </w:r>
          </w:p>
        </w:tc>
        <w:tc>
          <w:tcPr>
            <w:tcW w:w="805" w:type="pct"/>
            <w:noWrap w:val="0"/>
            <w:vAlign w:val="center"/>
          </w:tcPr>
          <w:p w14:paraId="099E02B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日</w:t>
            </w:r>
          </w:p>
        </w:tc>
        <w:tc>
          <w:tcPr>
            <w:tcW w:w="721" w:type="pct"/>
            <w:vMerge w:val="continue"/>
            <w:noWrap w:val="0"/>
            <w:vAlign w:val="center"/>
          </w:tcPr>
          <w:p w14:paraId="30DC12E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val="en-US" w:eastAsia="zh-CN"/>
              </w:rPr>
            </w:pPr>
          </w:p>
        </w:tc>
      </w:tr>
      <w:tr w14:paraId="1131B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3" w:hRule="atLeast"/>
          <w:jc w:val="center"/>
        </w:trPr>
        <w:tc>
          <w:tcPr>
            <w:tcW w:w="693" w:type="pct"/>
            <w:vMerge w:val="continue"/>
            <w:noWrap w:val="0"/>
            <w:vAlign w:val="center"/>
          </w:tcPr>
          <w:p w14:paraId="143D30B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p>
        </w:tc>
        <w:tc>
          <w:tcPr>
            <w:tcW w:w="1605" w:type="pct"/>
            <w:noWrap w:val="0"/>
            <w:vAlign w:val="center"/>
          </w:tcPr>
          <w:p w14:paraId="2083C5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流量、pH、</w:t>
            </w:r>
            <w:r>
              <w:rPr>
                <w:rFonts w:hint="eastAsia" w:ascii="Times New Roman" w:hAnsi="Times New Roman" w:cs="Times New Roman"/>
                <w:b w:val="0"/>
                <w:bCs w:val="0"/>
                <w:color w:val="auto"/>
                <w:sz w:val="21"/>
                <w:szCs w:val="21"/>
                <w:lang w:val="en-US" w:eastAsia="zh-CN"/>
              </w:rPr>
              <w:t>水温、</w:t>
            </w:r>
            <w:r>
              <w:rPr>
                <w:rFonts w:hint="default" w:ascii="Times New Roman" w:hAnsi="Times New Roman" w:cs="Times New Roman"/>
                <w:b w:val="0"/>
                <w:bCs w:val="0"/>
                <w:color w:val="auto"/>
                <w:sz w:val="21"/>
                <w:szCs w:val="21"/>
                <w:lang w:val="en-US" w:eastAsia="zh-CN"/>
              </w:rPr>
              <w:t>COD、NH</w:t>
            </w:r>
            <w:r>
              <w:rPr>
                <w:rFonts w:hint="default" w:ascii="Times New Roman" w:hAnsi="Times New Roman" w:cs="Times New Roman"/>
                <w:b w:val="0"/>
                <w:bCs w:val="0"/>
                <w:color w:val="auto"/>
                <w:sz w:val="21"/>
                <w:szCs w:val="21"/>
                <w:vertAlign w:val="subscript"/>
                <w:lang w:val="en-US" w:eastAsia="zh-CN"/>
              </w:rPr>
              <w:t>3</w:t>
            </w:r>
            <w:r>
              <w:rPr>
                <w:rFonts w:hint="default" w:ascii="Times New Roman" w:hAnsi="Times New Roman" w:cs="Times New Roman"/>
                <w:b w:val="0"/>
                <w:bCs w:val="0"/>
                <w:color w:val="auto"/>
                <w:sz w:val="21"/>
                <w:szCs w:val="21"/>
                <w:lang w:val="en-US" w:eastAsia="zh-CN"/>
              </w:rPr>
              <w:t>-N、TP、TN</w:t>
            </w:r>
          </w:p>
        </w:tc>
        <w:tc>
          <w:tcPr>
            <w:tcW w:w="1174" w:type="pct"/>
            <w:vMerge w:val="restart"/>
            <w:noWrap w:val="0"/>
            <w:vAlign w:val="center"/>
          </w:tcPr>
          <w:p w14:paraId="35756B2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default" w:ascii="Times New Roman" w:hAnsi="Times New Roman" w:eastAsia="宋体" w:cs="Times New Roman"/>
                <w:b w:val="0"/>
                <w:bCs w:val="0"/>
                <w:color w:val="auto"/>
                <w:sz w:val="21"/>
                <w:szCs w:val="21"/>
                <w:lang w:eastAsia="zh-CN"/>
              </w:rPr>
              <w:t>《陕西省黄河流域污水综合排放标准》（DB61/224-2018）表</w:t>
            </w:r>
            <w:r>
              <w:rPr>
                <w:rFonts w:hint="default" w:ascii="Times New Roman" w:hAnsi="Times New Roman" w:eastAsia="宋体" w:cs="Times New Roman"/>
                <w:b w:val="0"/>
                <w:bCs w:val="0"/>
                <w:color w:val="auto"/>
                <w:sz w:val="21"/>
                <w:szCs w:val="21"/>
                <w:lang w:val="en-US" w:eastAsia="zh-CN"/>
              </w:rPr>
              <w:t>1中A</w:t>
            </w:r>
            <w:r>
              <w:rPr>
                <w:rFonts w:hint="default" w:ascii="Times New Roman" w:hAnsi="Times New Roman" w:eastAsia="宋体" w:cs="Times New Roman"/>
                <w:b w:val="0"/>
                <w:bCs w:val="0"/>
                <w:color w:val="auto"/>
                <w:sz w:val="21"/>
                <w:szCs w:val="21"/>
                <w:lang w:eastAsia="zh-CN"/>
              </w:rPr>
              <w:t>标准</w:t>
            </w:r>
          </w:p>
        </w:tc>
        <w:tc>
          <w:tcPr>
            <w:tcW w:w="805" w:type="pct"/>
            <w:noWrap w:val="0"/>
            <w:vAlign w:val="center"/>
          </w:tcPr>
          <w:p w14:paraId="49A1660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自动监测</w:t>
            </w:r>
          </w:p>
        </w:tc>
        <w:tc>
          <w:tcPr>
            <w:tcW w:w="721" w:type="pct"/>
            <w:vMerge w:val="restart"/>
            <w:noWrap w:val="0"/>
            <w:vAlign w:val="center"/>
          </w:tcPr>
          <w:p w14:paraId="5875968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废水</w:t>
            </w:r>
          </w:p>
          <w:p w14:paraId="52B1AAC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总排放口</w:t>
            </w:r>
          </w:p>
        </w:tc>
      </w:tr>
      <w:tr w14:paraId="51639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1" w:hRule="atLeast"/>
          <w:jc w:val="center"/>
        </w:trPr>
        <w:tc>
          <w:tcPr>
            <w:tcW w:w="693" w:type="pct"/>
            <w:vMerge w:val="continue"/>
            <w:noWrap w:val="0"/>
            <w:vAlign w:val="center"/>
          </w:tcPr>
          <w:p w14:paraId="49D48EC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p>
        </w:tc>
        <w:tc>
          <w:tcPr>
            <w:tcW w:w="1605" w:type="pct"/>
            <w:noWrap w:val="0"/>
            <w:vAlign w:val="center"/>
          </w:tcPr>
          <w:p w14:paraId="74AA2C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SS</w:t>
            </w:r>
            <w:r>
              <w:rPr>
                <w:rFonts w:hint="eastAsia" w:ascii="Times New Roman" w:hAnsi="Times New Roman" w:cs="Times New Roman"/>
                <w:b w:val="0"/>
                <w:bCs w:val="0"/>
                <w:color w:val="auto"/>
                <w:sz w:val="21"/>
                <w:szCs w:val="21"/>
                <w:lang w:val="en-US" w:eastAsia="zh-CN"/>
              </w:rPr>
              <w:t>、</w:t>
            </w:r>
            <w:r>
              <w:rPr>
                <w:rFonts w:hint="default" w:ascii="Times New Roman" w:hAnsi="Times New Roman" w:cs="Times New Roman"/>
                <w:b w:val="0"/>
                <w:bCs w:val="0"/>
                <w:color w:val="auto"/>
                <w:sz w:val="21"/>
                <w:szCs w:val="21"/>
                <w:lang w:val="en-US" w:eastAsia="zh-CN"/>
              </w:rPr>
              <w:t>色度、BOD</w:t>
            </w:r>
            <w:r>
              <w:rPr>
                <w:rFonts w:hint="default" w:ascii="Times New Roman" w:hAnsi="Times New Roman" w:cs="Times New Roman"/>
                <w:b w:val="0"/>
                <w:bCs w:val="0"/>
                <w:color w:val="auto"/>
                <w:sz w:val="21"/>
                <w:szCs w:val="21"/>
                <w:vertAlign w:val="subscript"/>
                <w:lang w:val="en-US" w:eastAsia="zh-CN"/>
              </w:rPr>
              <w:t>5</w:t>
            </w:r>
            <w:r>
              <w:rPr>
                <w:rFonts w:hint="eastAsia" w:ascii="Times New Roman" w:hAnsi="Times New Roman" w:cs="Times New Roman"/>
                <w:b w:val="0"/>
                <w:bCs w:val="0"/>
                <w:color w:val="auto"/>
                <w:sz w:val="21"/>
                <w:szCs w:val="21"/>
                <w:vertAlign w:val="baseline"/>
                <w:lang w:val="en-US" w:eastAsia="zh-CN"/>
              </w:rPr>
              <w:t>、</w:t>
            </w:r>
            <w:r>
              <w:rPr>
                <w:rFonts w:hint="default" w:ascii="Times New Roman" w:hAnsi="Times New Roman" w:cs="Times New Roman"/>
                <w:b w:val="0"/>
                <w:bCs w:val="0"/>
                <w:color w:val="auto"/>
                <w:sz w:val="21"/>
                <w:szCs w:val="21"/>
                <w:lang w:val="en-US" w:eastAsia="zh-CN"/>
              </w:rPr>
              <w:t>动植物油、石油类、阴离子表面活性剂、粪大肠菌群</w:t>
            </w:r>
            <w:r>
              <w:rPr>
                <w:rFonts w:hint="eastAsia" w:ascii="Times New Roman" w:hAnsi="Times New Roman" w:cs="Times New Roman"/>
                <w:b w:val="0"/>
                <w:bCs w:val="0"/>
                <w:color w:val="auto"/>
                <w:sz w:val="21"/>
                <w:szCs w:val="21"/>
                <w:lang w:val="en-US" w:eastAsia="zh-CN"/>
              </w:rPr>
              <w:t>数</w:t>
            </w:r>
          </w:p>
        </w:tc>
        <w:tc>
          <w:tcPr>
            <w:tcW w:w="1174" w:type="pct"/>
            <w:vMerge w:val="continue"/>
            <w:noWrap w:val="0"/>
            <w:vAlign w:val="center"/>
          </w:tcPr>
          <w:p w14:paraId="1886055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lang w:eastAsia="zh-CN"/>
              </w:rPr>
            </w:pPr>
          </w:p>
        </w:tc>
        <w:tc>
          <w:tcPr>
            <w:tcW w:w="805" w:type="pct"/>
            <w:noWrap w:val="0"/>
            <w:vAlign w:val="center"/>
          </w:tcPr>
          <w:p w14:paraId="639A794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lang w:eastAsia="zh-CN"/>
              </w:rPr>
              <w:t>季度</w:t>
            </w:r>
          </w:p>
        </w:tc>
        <w:tc>
          <w:tcPr>
            <w:tcW w:w="721" w:type="pct"/>
            <w:vMerge w:val="continue"/>
            <w:noWrap w:val="0"/>
            <w:vAlign w:val="center"/>
          </w:tcPr>
          <w:p w14:paraId="0C6F333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val="en-US" w:eastAsia="zh-CN"/>
              </w:rPr>
            </w:pPr>
          </w:p>
        </w:tc>
      </w:tr>
      <w:tr w14:paraId="30CD4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693" w:type="pct"/>
            <w:vMerge w:val="continue"/>
            <w:noWrap w:val="0"/>
            <w:vAlign w:val="center"/>
          </w:tcPr>
          <w:p w14:paraId="763EFBA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p>
        </w:tc>
        <w:tc>
          <w:tcPr>
            <w:tcW w:w="1605" w:type="pct"/>
            <w:noWrap w:val="0"/>
            <w:vAlign w:val="center"/>
          </w:tcPr>
          <w:p w14:paraId="0E7788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总镉、总铬、总汞、总铅、总砷、六价铬</w:t>
            </w:r>
          </w:p>
        </w:tc>
        <w:tc>
          <w:tcPr>
            <w:tcW w:w="1174" w:type="pct"/>
            <w:vMerge w:val="continue"/>
            <w:noWrap w:val="0"/>
            <w:vAlign w:val="center"/>
          </w:tcPr>
          <w:p w14:paraId="53F963B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lang w:eastAsia="zh-CN"/>
              </w:rPr>
            </w:pPr>
          </w:p>
        </w:tc>
        <w:tc>
          <w:tcPr>
            <w:tcW w:w="805" w:type="pct"/>
            <w:noWrap w:val="0"/>
            <w:vAlign w:val="center"/>
          </w:tcPr>
          <w:p w14:paraId="47C007B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lang w:eastAsia="zh-CN"/>
              </w:rPr>
              <w:t>半年</w:t>
            </w:r>
          </w:p>
        </w:tc>
        <w:tc>
          <w:tcPr>
            <w:tcW w:w="721" w:type="pct"/>
            <w:vMerge w:val="continue"/>
            <w:noWrap w:val="0"/>
            <w:vAlign w:val="center"/>
          </w:tcPr>
          <w:p w14:paraId="7EA1360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val="en-US" w:eastAsia="zh-CN"/>
              </w:rPr>
            </w:pPr>
          </w:p>
        </w:tc>
      </w:tr>
      <w:tr w14:paraId="3CB50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693" w:type="pct"/>
            <w:vMerge w:val="continue"/>
            <w:noWrap w:val="0"/>
            <w:vAlign w:val="center"/>
          </w:tcPr>
          <w:p w14:paraId="73BB43D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p>
        </w:tc>
        <w:tc>
          <w:tcPr>
            <w:tcW w:w="1605" w:type="pct"/>
            <w:noWrap w:val="0"/>
            <w:vAlign w:val="center"/>
          </w:tcPr>
          <w:p w14:paraId="00CA29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烷基汞</w:t>
            </w:r>
          </w:p>
        </w:tc>
        <w:tc>
          <w:tcPr>
            <w:tcW w:w="1174" w:type="pct"/>
            <w:vMerge w:val="continue"/>
            <w:noWrap w:val="0"/>
            <w:vAlign w:val="center"/>
          </w:tcPr>
          <w:p w14:paraId="1A31BAA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lang w:eastAsia="zh-CN"/>
              </w:rPr>
            </w:pPr>
          </w:p>
        </w:tc>
        <w:tc>
          <w:tcPr>
            <w:tcW w:w="805" w:type="pct"/>
            <w:noWrap w:val="0"/>
            <w:vAlign w:val="center"/>
          </w:tcPr>
          <w:p w14:paraId="0EDE353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ascii="Times New Roman" w:hAnsi="Times New Roman" w:cs="Times New Roman"/>
                <w:b w:val="0"/>
                <w:bCs w:val="0"/>
                <w:color w:val="auto"/>
                <w:sz w:val="21"/>
                <w:szCs w:val="21"/>
                <w:lang w:eastAsia="zh-CN"/>
              </w:rPr>
            </w:pPr>
            <w:r>
              <w:rPr>
                <w:rFonts w:hint="eastAsia" w:ascii="Times New Roman" w:hAnsi="Times New Roman" w:cs="Times New Roman"/>
                <w:b w:val="0"/>
                <w:bCs w:val="0"/>
                <w:color w:val="auto"/>
                <w:sz w:val="21"/>
                <w:szCs w:val="21"/>
                <w:lang w:eastAsia="zh-CN"/>
              </w:rPr>
              <w:t>半年</w:t>
            </w:r>
          </w:p>
        </w:tc>
        <w:tc>
          <w:tcPr>
            <w:tcW w:w="721" w:type="pct"/>
            <w:noWrap w:val="0"/>
            <w:vAlign w:val="center"/>
          </w:tcPr>
          <w:p w14:paraId="06D5E10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val="en-US" w:eastAsia="zh-CN"/>
              </w:rPr>
            </w:pPr>
          </w:p>
        </w:tc>
      </w:tr>
      <w:tr w14:paraId="48FCB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14:paraId="724B727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雨水</w:t>
            </w:r>
          </w:p>
        </w:tc>
        <w:tc>
          <w:tcPr>
            <w:tcW w:w="1605" w:type="pct"/>
            <w:noWrap w:val="0"/>
            <w:vAlign w:val="center"/>
          </w:tcPr>
          <w:p w14:paraId="418FB6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pH、COD、NH</w:t>
            </w:r>
            <w:r>
              <w:rPr>
                <w:rFonts w:hint="default" w:ascii="Times New Roman" w:hAnsi="Times New Roman" w:cs="Times New Roman"/>
                <w:b w:val="0"/>
                <w:bCs w:val="0"/>
                <w:color w:val="auto"/>
                <w:sz w:val="21"/>
                <w:szCs w:val="21"/>
                <w:vertAlign w:val="subscript"/>
                <w:lang w:val="en-US" w:eastAsia="zh-CN"/>
              </w:rPr>
              <w:t>3</w:t>
            </w:r>
            <w:r>
              <w:rPr>
                <w:rFonts w:hint="default" w:ascii="Times New Roman" w:hAnsi="Times New Roman" w:cs="Times New Roman"/>
                <w:b w:val="0"/>
                <w:bCs w:val="0"/>
                <w:color w:val="auto"/>
                <w:sz w:val="21"/>
                <w:szCs w:val="21"/>
                <w:lang w:val="en-US" w:eastAsia="zh-CN"/>
              </w:rPr>
              <w:t>-N、SS</w:t>
            </w:r>
          </w:p>
        </w:tc>
        <w:tc>
          <w:tcPr>
            <w:tcW w:w="1174" w:type="pct"/>
            <w:noWrap w:val="0"/>
            <w:vAlign w:val="center"/>
          </w:tcPr>
          <w:p w14:paraId="58B912E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val="en-US" w:eastAsia="zh-CN"/>
              </w:rPr>
              <w:t>/</w:t>
            </w:r>
          </w:p>
        </w:tc>
        <w:tc>
          <w:tcPr>
            <w:tcW w:w="805" w:type="pct"/>
            <w:noWrap w:val="0"/>
            <w:vAlign w:val="center"/>
          </w:tcPr>
          <w:p w14:paraId="3F0B9A9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lang w:eastAsia="zh-CN"/>
              </w:rPr>
              <w:t>日</w:t>
            </w:r>
            <w:r>
              <w:rPr>
                <w:rFonts w:hint="eastAsia" w:ascii="Times New Roman" w:hAnsi="Times New Roman" w:cs="Times New Roman"/>
                <w:b w:val="0"/>
                <w:bCs w:val="0"/>
                <w:color w:val="auto"/>
                <w:sz w:val="21"/>
                <w:szCs w:val="21"/>
                <w:vertAlign w:val="superscript"/>
                <w:lang w:eastAsia="zh-CN"/>
              </w:rPr>
              <w:t>d</w:t>
            </w:r>
          </w:p>
        </w:tc>
        <w:tc>
          <w:tcPr>
            <w:tcW w:w="721" w:type="pct"/>
            <w:noWrap w:val="0"/>
            <w:vAlign w:val="center"/>
          </w:tcPr>
          <w:p w14:paraId="50E89A8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雨水排放口</w:t>
            </w:r>
          </w:p>
        </w:tc>
      </w:tr>
      <w:tr w14:paraId="23DC5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5000" w:type="pct"/>
            <w:gridSpan w:val="5"/>
            <w:noWrap w:val="0"/>
            <w:vAlign w:val="center"/>
          </w:tcPr>
          <w:p w14:paraId="4177715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both"/>
              <w:textAlignment w:val="auto"/>
              <w:outlineLvl w:val="9"/>
              <w:rPr>
                <w:rFonts w:hint="eastAsia" w:ascii="Times New Roman" w:hAnsi="Times New Roman" w:cs="Times New Roman" w:eastAsiaTheme="minorEastAsia"/>
                <w:b w:val="0"/>
                <w:bCs w:val="0"/>
                <w:color w:val="auto"/>
                <w:sz w:val="21"/>
                <w:szCs w:val="21"/>
                <w:vertAlign w:val="superscript"/>
                <w:lang w:eastAsia="zh-CN"/>
              </w:rPr>
            </w:pPr>
            <w:r>
              <w:rPr>
                <w:rFonts w:hint="default" w:ascii="Times New Roman" w:hAnsi="Times New Roman" w:cs="Times New Roman"/>
                <w:b w:val="0"/>
                <w:bCs w:val="0"/>
                <w:color w:val="auto"/>
                <w:sz w:val="21"/>
                <w:szCs w:val="21"/>
                <w:vertAlign w:val="superscript"/>
              </w:rPr>
              <w:t>d</w:t>
            </w:r>
            <w:r>
              <w:rPr>
                <w:rFonts w:hint="default" w:ascii="Times New Roman" w:hAnsi="Times New Roman" w:cs="Times New Roman"/>
                <w:b w:val="0"/>
                <w:bCs w:val="0"/>
                <w:color w:val="auto"/>
                <w:sz w:val="21"/>
                <w:szCs w:val="21"/>
              </w:rPr>
              <w:t>雨水排放口有流动水排放时按</w:t>
            </w:r>
            <w:r>
              <w:rPr>
                <w:rFonts w:hint="eastAsia" w:ascii="Times New Roman" w:hAnsi="Times New Roman" w:cs="Times New Roman"/>
                <w:b w:val="0"/>
                <w:bCs w:val="0"/>
                <w:color w:val="auto"/>
                <w:sz w:val="21"/>
                <w:szCs w:val="21"/>
                <w:lang w:eastAsia="zh-CN"/>
              </w:rPr>
              <w:t>日</w:t>
            </w:r>
            <w:r>
              <w:rPr>
                <w:rFonts w:hint="default" w:ascii="Times New Roman" w:hAnsi="Times New Roman" w:cs="Times New Roman"/>
                <w:b w:val="0"/>
                <w:bCs w:val="0"/>
                <w:color w:val="auto"/>
                <w:sz w:val="21"/>
                <w:szCs w:val="21"/>
              </w:rPr>
              <w:t>监测。若监测一年无异常情况，可放宽至每季度开展一次监测</w:t>
            </w:r>
            <w:r>
              <w:rPr>
                <w:rFonts w:hint="eastAsia" w:ascii="Times New Roman" w:hAnsi="Times New Roman" w:cs="Times New Roman"/>
                <w:b w:val="0"/>
                <w:bCs w:val="0"/>
                <w:color w:val="auto"/>
                <w:sz w:val="21"/>
                <w:szCs w:val="21"/>
                <w:lang w:eastAsia="zh-CN"/>
              </w:rPr>
              <w:t>。</w:t>
            </w:r>
          </w:p>
        </w:tc>
      </w:tr>
    </w:tbl>
    <w:p w14:paraId="03BECA79">
      <w:pPr>
        <w:rPr>
          <w:rFonts w:hint="default"/>
          <w:color w:val="auto"/>
          <w:lang w:val="en-US" w:eastAsia="zh-CN"/>
        </w:rPr>
        <w:sectPr>
          <w:pgSz w:w="11906" w:h="16838"/>
          <w:pgMar w:top="1440" w:right="1800" w:bottom="1440" w:left="1800" w:header="851" w:footer="992" w:gutter="0"/>
          <w:pgNumType w:fmt="decimal"/>
          <w:cols w:space="720" w:num="1"/>
          <w:docGrid w:type="lines" w:linePitch="312" w:charSpace="0"/>
        </w:sectPr>
      </w:pPr>
    </w:p>
    <w:p w14:paraId="5C01BB59">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32"/>
          <w:szCs w:val="32"/>
          <w:lang w:val="en-US" w:eastAsia="zh-CN" w:bidi="ar-SA"/>
        </w:rPr>
      </w:pPr>
      <w:bookmarkStart w:id="59" w:name="_Toc20085"/>
      <w:r>
        <w:rPr>
          <w:rFonts w:hint="default" w:ascii="Times New Roman" w:hAnsi="Times New Roman" w:eastAsia="宋体" w:cs="Times New Roman"/>
          <w:b/>
          <w:color w:val="auto"/>
          <w:spacing w:val="0"/>
          <w:w w:val="100"/>
          <w:kern w:val="2"/>
          <w:sz w:val="32"/>
          <w:szCs w:val="32"/>
          <w:lang w:val="en-US" w:eastAsia="zh-CN" w:bidi="ar-SA"/>
        </w:rPr>
        <w:t>第 6章、结论与建议</w:t>
      </w:r>
      <w:bookmarkEnd w:id="59"/>
    </w:p>
    <w:p w14:paraId="6332920E">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8"/>
          <w:szCs w:val="28"/>
          <w:lang w:val="en-US" w:eastAsia="zh-CN" w:bidi="ar-SA"/>
        </w:rPr>
      </w:pPr>
      <w:bookmarkStart w:id="60" w:name="_Toc7936"/>
      <w:r>
        <w:rPr>
          <w:rFonts w:hint="default" w:ascii="Times New Roman" w:hAnsi="Times New Roman" w:eastAsia="宋体" w:cs="Times New Roman"/>
          <w:b/>
          <w:color w:val="auto"/>
          <w:spacing w:val="0"/>
          <w:w w:val="100"/>
          <w:kern w:val="2"/>
          <w:sz w:val="28"/>
          <w:szCs w:val="28"/>
          <w:lang w:val="en-US" w:eastAsia="zh-CN" w:bidi="ar-SA"/>
        </w:rPr>
        <w:t>6.1评价结论</w:t>
      </w:r>
      <w:bookmarkEnd w:id="60"/>
    </w:p>
    <w:p w14:paraId="7036DFE9">
      <w:pPr>
        <w:keepNext w:val="0"/>
        <w:keepLines w:val="0"/>
        <w:pageBreakBefore w:val="0"/>
        <w:widowControl w:val="0"/>
        <w:tabs>
          <w:tab w:val="left" w:pos="1685"/>
        </w:tabs>
        <w:kinsoku/>
        <w:wordWrap/>
        <w:overflowPunct/>
        <w:topLinePunct w:val="0"/>
        <w:autoSpaceDE/>
        <w:autoSpaceDN/>
        <w:bidi w:val="0"/>
        <w:adjustRightInd/>
        <w:snapToGrid/>
        <w:spacing w:before="54" w:line="360" w:lineRule="auto"/>
        <w:ind w:right="11" w:firstLine="480" w:firstLineChars="200"/>
        <w:jc w:val="both"/>
        <w:textAlignment w:val="auto"/>
        <w:outlineLvl w:val="1"/>
        <w:rPr>
          <w:rFonts w:hint="default" w:ascii="Times New Roman" w:hAnsi="Times New Roman" w:eastAsia="宋体" w:cs="Times New Roman"/>
          <w:b w:val="0"/>
          <w:bCs w:val="0"/>
          <w:color w:val="auto"/>
          <w:spacing w:val="0"/>
          <w:w w:val="100"/>
          <w:kern w:val="2"/>
          <w:sz w:val="24"/>
          <w:szCs w:val="24"/>
          <w:lang w:val="en-US" w:eastAsia="zh-CN" w:bidi="zh-CN"/>
        </w:rPr>
      </w:pPr>
      <w:bookmarkStart w:id="61" w:name="_Toc3480"/>
      <w:r>
        <w:rPr>
          <w:rFonts w:hint="default" w:ascii="Times New Roman" w:hAnsi="Times New Roman" w:eastAsia="宋体" w:cs="Times New Roman"/>
          <w:b w:val="0"/>
          <w:bCs w:val="0"/>
          <w:color w:val="auto"/>
          <w:spacing w:val="0"/>
          <w:w w:val="100"/>
          <w:kern w:val="2"/>
          <w:sz w:val="24"/>
          <w:szCs w:val="24"/>
          <w:lang w:val="en-US" w:eastAsia="zh-CN" w:bidi="zh-CN"/>
        </w:rPr>
        <w:t>1、项目概况</w:t>
      </w:r>
      <w:bookmarkEnd w:id="61"/>
    </w:p>
    <w:p w14:paraId="041DF354">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bookmarkStart w:id="62" w:name="_Toc20583"/>
      <w:r>
        <w:rPr>
          <w:rFonts w:hint="eastAsia" w:ascii="Times New Roman" w:hAnsi="Times New Roman" w:eastAsia="宋体" w:cs="Times New Roman"/>
          <w:color w:val="auto"/>
          <w:spacing w:val="0"/>
          <w:w w:val="100"/>
          <w:sz w:val="24"/>
          <w:szCs w:val="24"/>
          <w:lang w:val="en-US" w:eastAsia="zh-CN"/>
        </w:rPr>
        <w:t>拟建设陇县经济技术开发区水污染综合治理及再生水资源节约利用项目</w:t>
      </w:r>
      <w:r>
        <w:rPr>
          <w:rFonts w:hint="default" w:ascii="Times New Roman" w:hAnsi="Times New Roman" w:eastAsia="宋体" w:cs="Times New Roman"/>
          <w:color w:val="auto"/>
          <w:spacing w:val="0"/>
          <w:w w:val="100"/>
          <w:sz w:val="24"/>
          <w:szCs w:val="24"/>
          <w:lang w:val="en-US" w:eastAsia="zh-CN"/>
        </w:rPr>
        <w:t>，</w:t>
      </w:r>
      <w:r>
        <w:rPr>
          <w:rFonts w:hint="eastAsia" w:ascii="Times New Roman" w:hAnsi="Times New Roman" w:eastAsia="宋体" w:cs="Times New Roman"/>
          <w:b w:val="0"/>
          <w:bCs w:val="0"/>
          <w:color w:val="auto"/>
          <w:spacing w:val="0"/>
          <w:w w:val="100"/>
          <w:sz w:val="24"/>
          <w:szCs w:val="24"/>
          <w:lang w:eastAsia="zh-CN"/>
        </w:rPr>
        <w:t>项目污水处理</w:t>
      </w:r>
      <w:r>
        <w:rPr>
          <w:rFonts w:hint="default" w:ascii="Times New Roman" w:hAnsi="Times New Roman" w:eastAsia="宋体" w:cs="Times New Roman"/>
          <w:b w:val="0"/>
          <w:bCs w:val="0"/>
          <w:color w:val="auto"/>
          <w:spacing w:val="0"/>
          <w:w w:val="100"/>
          <w:sz w:val="24"/>
          <w:szCs w:val="24"/>
          <w:lang w:eastAsia="zh-CN"/>
        </w:rPr>
        <w:t>规模</w:t>
      </w:r>
      <w:r>
        <w:rPr>
          <w:rFonts w:hint="eastAsia" w:ascii="Times New Roman" w:hAnsi="Times New Roman" w:eastAsia="宋体" w:cs="Times New Roman"/>
          <w:b w:val="0"/>
          <w:bCs w:val="0"/>
          <w:color w:val="auto"/>
          <w:spacing w:val="0"/>
          <w:w w:val="100"/>
          <w:sz w:val="24"/>
          <w:szCs w:val="24"/>
          <w:lang w:val="en-US" w:eastAsia="zh-CN"/>
        </w:rPr>
        <w:t>2000m</w:t>
      </w:r>
      <w:r>
        <w:rPr>
          <w:rFonts w:hint="default" w:ascii="Times New Roman" w:hAnsi="Times New Roman" w:eastAsia="宋体" w:cs="Times New Roman"/>
          <w:b w:val="0"/>
          <w:bCs w:val="0"/>
          <w:color w:val="auto"/>
          <w:spacing w:val="0"/>
          <w:w w:val="100"/>
          <w:sz w:val="24"/>
          <w:szCs w:val="24"/>
          <w:highlight w:val="none"/>
          <w:vertAlign w:val="superscript"/>
          <w:lang w:val="en-US" w:eastAsia="zh-CN"/>
        </w:rPr>
        <w:t>3</w:t>
      </w:r>
      <w:r>
        <w:rPr>
          <w:rFonts w:hint="default" w:ascii="Times New Roman" w:hAnsi="Times New Roman" w:eastAsia="宋体" w:cs="Times New Roman"/>
          <w:b w:val="0"/>
          <w:bCs w:val="0"/>
          <w:color w:val="auto"/>
          <w:spacing w:val="0"/>
          <w:w w:val="100"/>
          <w:sz w:val="24"/>
          <w:szCs w:val="24"/>
          <w:lang w:eastAsia="zh-CN"/>
        </w:rPr>
        <w:t>/d</w:t>
      </w:r>
      <w:r>
        <w:rPr>
          <w:rFonts w:hint="default" w:ascii="Times New Roman" w:hAnsi="Times New Roman" w:eastAsia="宋体" w:cs="Times New Roman"/>
          <w:b w:val="0"/>
          <w:bCs w:val="0"/>
          <w:color w:val="auto"/>
          <w:spacing w:val="0"/>
          <w:w w:val="100"/>
          <w:sz w:val="24"/>
          <w:szCs w:val="24"/>
          <w:lang w:val="en-US" w:eastAsia="zh-CN"/>
        </w:rPr>
        <w:t>，</w:t>
      </w:r>
      <w:r>
        <w:rPr>
          <w:rFonts w:hint="eastAsia" w:ascii="Times New Roman" w:hAnsi="Times New Roman" w:eastAsia="宋体" w:cs="Times New Roman"/>
          <w:b w:val="0"/>
          <w:bCs w:val="0"/>
          <w:color w:val="auto"/>
          <w:spacing w:val="0"/>
          <w:w w:val="100"/>
          <w:sz w:val="24"/>
          <w:szCs w:val="24"/>
          <w:lang w:val="en-US" w:eastAsia="zh-CN"/>
        </w:rPr>
        <w:t>回用水400m</w:t>
      </w:r>
      <w:r>
        <w:rPr>
          <w:rFonts w:hint="default" w:ascii="Times New Roman" w:hAnsi="Times New Roman" w:eastAsia="宋体" w:cs="Times New Roman"/>
          <w:b w:val="0"/>
          <w:bCs w:val="0"/>
          <w:color w:val="auto"/>
          <w:spacing w:val="0"/>
          <w:w w:val="100"/>
          <w:sz w:val="24"/>
          <w:szCs w:val="24"/>
          <w:highlight w:val="none"/>
          <w:vertAlign w:val="superscript"/>
          <w:lang w:val="en-US" w:eastAsia="zh-CN"/>
        </w:rPr>
        <w:t>3</w:t>
      </w:r>
      <w:r>
        <w:rPr>
          <w:rFonts w:hint="default" w:ascii="Times New Roman" w:hAnsi="Times New Roman" w:eastAsia="宋体" w:cs="Times New Roman"/>
          <w:b w:val="0"/>
          <w:bCs w:val="0"/>
          <w:color w:val="auto"/>
          <w:spacing w:val="0"/>
          <w:w w:val="100"/>
          <w:sz w:val="24"/>
          <w:szCs w:val="24"/>
          <w:lang w:eastAsia="zh-CN"/>
        </w:rPr>
        <w:t>/d</w:t>
      </w:r>
      <w:r>
        <w:rPr>
          <w:rFonts w:hint="default" w:ascii="Times New Roman" w:hAnsi="Times New Roman" w:eastAsia="宋体" w:cs="Times New Roman"/>
          <w:b w:val="0"/>
          <w:bCs w:val="0"/>
          <w:color w:val="auto"/>
          <w:spacing w:val="0"/>
          <w:w w:val="100"/>
          <w:sz w:val="24"/>
          <w:szCs w:val="24"/>
          <w:lang w:val="en-US" w:eastAsia="zh-CN"/>
        </w:rPr>
        <w:t>，</w:t>
      </w:r>
      <w:r>
        <w:rPr>
          <w:rFonts w:hint="eastAsia" w:ascii="Times New Roman" w:hAnsi="Times New Roman" w:eastAsia="宋体" w:cs="Times New Roman"/>
          <w:b w:val="0"/>
          <w:bCs w:val="0"/>
          <w:color w:val="auto"/>
          <w:spacing w:val="0"/>
          <w:w w:val="100"/>
          <w:sz w:val="24"/>
          <w:szCs w:val="24"/>
          <w:lang w:val="en-US" w:eastAsia="zh-CN"/>
        </w:rPr>
        <w:t>排水规模1600m</w:t>
      </w:r>
      <w:r>
        <w:rPr>
          <w:rFonts w:hint="default" w:ascii="Times New Roman" w:hAnsi="Times New Roman" w:eastAsia="宋体" w:cs="Times New Roman"/>
          <w:b w:val="0"/>
          <w:bCs w:val="0"/>
          <w:color w:val="auto"/>
          <w:spacing w:val="0"/>
          <w:w w:val="100"/>
          <w:sz w:val="24"/>
          <w:szCs w:val="24"/>
          <w:highlight w:val="none"/>
          <w:vertAlign w:val="superscript"/>
          <w:lang w:val="en-US" w:eastAsia="zh-CN"/>
        </w:rPr>
        <w:t>3</w:t>
      </w:r>
      <w:r>
        <w:rPr>
          <w:rFonts w:hint="default" w:ascii="Times New Roman" w:hAnsi="Times New Roman" w:eastAsia="宋体" w:cs="Times New Roman"/>
          <w:b w:val="0"/>
          <w:bCs w:val="0"/>
          <w:color w:val="auto"/>
          <w:spacing w:val="0"/>
          <w:w w:val="100"/>
          <w:sz w:val="24"/>
          <w:szCs w:val="24"/>
          <w:lang w:eastAsia="zh-CN"/>
        </w:rPr>
        <w:t>/d</w:t>
      </w:r>
      <w:r>
        <w:rPr>
          <w:rFonts w:hint="default" w:ascii="Times New Roman" w:hAnsi="Times New Roman" w:eastAsia="宋体" w:cs="Times New Roman"/>
          <w:b w:val="0"/>
          <w:bCs w:val="0"/>
          <w:color w:val="auto"/>
          <w:spacing w:val="0"/>
          <w:w w:val="100"/>
          <w:sz w:val="24"/>
          <w:szCs w:val="24"/>
          <w:lang w:val="en-US" w:eastAsia="zh-CN"/>
        </w:rPr>
        <w:t>，</w:t>
      </w:r>
      <w:r>
        <w:rPr>
          <w:rFonts w:hint="default" w:ascii="Times New Roman" w:hAnsi="Times New Roman" w:eastAsia="宋体" w:cs="Times New Roman"/>
          <w:color w:val="auto"/>
          <w:spacing w:val="0"/>
          <w:w w:val="100"/>
          <w:sz w:val="24"/>
          <w:szCs w:val="24"/>
          <w:lang w:val="en-US" w:eastAsia="zh-CN"/>
        </w:rPr>
        <w:t>出水水质可满足《陕西省黄河流域污水综合排放标准》（DB61/224-2018）中A标准。</w:t>
      </w:r>
    </w:p>
    <w:p w14:paraId="2F02637D">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pacing w:val="0"/>
          <w:w w:val="100"/>
          <w:sz w:val="24"/>
          <w:szCs w:val="24"/>
          <w:lang w:val="en-US" w:eastAsia="zh-CN"/>
        </w:rPr>
      </w:pPr>
      <w:r>
        <w:rPr>
          <w:rFonts w:hint="default" w:ascii="Times New Roman" w:hAnsi="Times New Roman" w:eastAsia="宋体" w:cs="Times New Roman"/>
          <w:b w:val="0"/>
          <w:bCs w:val="0"/>
          <w:color w:val="auto"/>
          <w:spacing w:val="0"/>
          <w:w w:val="100"/>
          <w:sz w:val="24"/>
          <w:szCs w:val="24"/>
          <w:lang w:val="en-US" w:eastAsia="zh-CN"/>
        </w:rPr>
        <w:t>本项目地表水环境影响评价等级最终核定为</w:t>
      </w:r>
      <w:r>
        <w:rPr>
          <w:rFonts w:hint="eastAsia" w:ascii="Times New Roman" w:hAnsi="Times New Roman" w:eastAsia="宋体" w:cs="Times New Roman"/>
          <w:b w:val="0"/>
          <w:bCs w:val="0"/>
          <w:color w:val="auto"/>
          <w:spacing w:val="0"/>
          <w:w w:val="100"/>
          <w:sz w:val="24"/>
          <w:szCs w:val="24"/>
          <w:lang w:val="en-US" w:eastAsia="zh-CN"/>
        </w:rPr>
        <w:t>二</w:t>
      </w:r>
      <w:r>
        <w:rPr>
          <w:rFonts w:hint="default" w:ascii="Times New Roman" w:hAnsi="Times New Roman" w:eastAsia="宋体" w:cs="Times New Roman"/>
          <w:b w:val="0"/>
          <w:bCs w:val="0"/>
          <w:color w:val="auto"/>
          <w:spacing w:val="0"/>
          <w:w w:val="100"/>
          <w:sz w:val="24"/>
          <w:szCs w:val="24"/>
          <w:lang w:val="en-US" w:eastAsia="zh-CN"/>
        </w:rPr>
        <w:t>级，为了深入详细</w:t>
      </w:r>
      <w:r>
        <w:rPr>
          <w:rFonts w:hint="eastAsia" w:ascii="Times New Roman" w:hAnsi="Times New Roman" w:eastAsia="宋体" w:cs="Times New Roman"/>
          <w:b w:val="0"/>
          <w:bCs w:val="0"/>
          <w:color w:val="auto"/>
          <w:spacing w:val="0"/>
          <w:w w:val="100"/>
          <w:sz w:val="24"/>
          <w:szCs w:val="24"/>
          <w:lang w:val="en-US" w:eastAsia="zh-CN"/>
        </w:rPr>
        <w:t>地</w:t>
      </w:r>
      <w:r>
        <w:rPr>
          <w:rFonts w:hint="default" w:ascii="Times New Roman" w:hAnsi="Times New Roman" w:eastAsia="宋体" w:cs="Times New Roman"/>
          <w:b w:val="0"/>
          <w:bCs w:val="0"/>
          <w:color w:val="auto"/>
          <w:spacing w:val="0"/>
          <w:w w:val="100"/>
          <w:sz w:val="24"/>
          <w:szCs w:val="24"/>
          <w:lang w:val="en-US" w:eastAsia="zh-CN"/>
        </w:rPr>
        <w:t>说明本项目实施后对</w:t>
      </w:r>
      <w:r>
        <w:rPr>
          <w:rFonts w:hint="eastAsia" w:ascii="Times New Roman" w:hAnsi="Times New Roman" w:eastAsia="宋体" w:cs="Times New Roman"/>
          <w:b w:val="0"/>
          <w:bCs w:val="0"/>
          <w:color w:val="auto"/>
          <w:spacing w:val="0"/>
          <w:w w:val="100"/>
          <w:sz w:val="24"/>
          <w:szCs w:val="24"/>
          <w:lang w:val="en-US" w:eastAsia="zh-CN"/>
        </w:rPr>
        <w:t>千河</w:t>
      </w:r>
      <w:r>
        <w:rPr>
          <w:rFonts w:hint="default" w:ascii="Times New Roman" w:hAnsi="Times New Roman" w:eastAsia="宋体" w:cs="Times New Roman"/>
          <w:b w:val="0"/>
          <w:bCs w:val="0"/>
          <w:color w:val="auto"/>
          <w:spacing w:val="0"/>
          <w:w w:val="100"/>
          <w:sz w:val="24"/>
          <w:szCs w:val="24"/>
          <w:lang w:val="en-US" w:eastAsia="zh-CN"/>
        </w:rPr>
        <w:t>的水环境影响，特进行地表水环境要素专项评价。</w:t>
      </w:r>
    </w:p>
    <w:p w14:paraId="52EAA400">
      <w:pPr>
        <w:keepNext w:val="0"/>
        <w:keepLines w:val="0"/>
        <w:pageBreakBefore w:val="0"/>
        <w:widowControl w:val="0"/>
        <w:tabs>
          <w:tab w:val="left" w:pos="1685"/>
        </w:tabs>
        <w:kinsoku/>
        <w:wordWrap/>
        <w:overflowPunct/>
        <w:topLinePunct w:val="0"/>
        <w:autoSpaceDE/>
        <w:autoSpaceDN/>
        <w:bidi w:val="0"/>
        <w:adjustRightInd/>
        <w:snapToGrid/>
        <w:spacing w:before="54" w:line="360" w:lineRule="auto"/>
        <w:ind w:right="11" w:firstLine="480" w:firstLineChars="200"/>
        <w:jc w:val="both"/>
        <w:textAlignment w:val="auto"/>
        <w:outlineLvl w:val="1"/>
        <w:rPr>
          <w:rFonts w:hint="default" w:ascii="Times New Roman" w:hAnsi="Times New Roman" w:eastAsia="宋体" w:cs="Times New Roman"/>
          <w:b w:val="0"/>
          <w:bCs w:val="0"/>
          <w:color w:val="auto"/>
          <w:spacing w:val="0"/>
          <w:w w:val="100"/>
          <w:kern w:val="2"/>
          <w:sz w:val="24"/>
          <w:szCs w:val="24"/>
          <w:lang w:val="en-US" w:eastAsia="zh-CN" w:bidi="zh-CN"/>
        </w:rPr>
      </w:pPr>
      <w:r>
        <w:rPr>
          <w:rFonts w:hint="eastAsia" w:ascii="Times New Roman" w:hAnsi="Times New Roman" w:eastAsia="宋体" w:cs="Times New Roman"/>
          <w:b w:val="0"/>
          <w:bCs w:val="0"/>
          <w:color w:val="auto"/>
          <w:spacing w:val="0"/>
          <w:w w:val="100"/>
          <w:kern w:val="2"/>
          <w:sz w:val="24"/>
          <w:szCs w:val="24"/>
          <w:lang w:val="en-US" w:eastAsia="zh-CN" w:bidi="zh-CN"/>
        </w:rPr>
        <w:t>2、</w:t>
      </w:r>
      <w:r>
        <w:rPr>
          <w:rFonts w:hint="default" w:ascii="Times New Roman" w:hAnsi="Times New Roman" w:eastAsia="宋体" w:cs="Times New Roman"/>
          <w:b w:val="0"/>
          <w:bCs w:val="0"/>
          <w:color w:val="auto"/>
          <w:spacing w:val="0"/>
          <w:w w:val="100"/>
          <w:kern w:val="2"/>
          <w:sz w:val="24"/>
          <w:szCs w:val="24"/>
          <w:lang w:val="en-US" w:eastAsia="zh-CN" w:bidi="zh-CN"/>
        </w:rPr>
        <w:t>地表水环境质量现状</w:t>
      </w:r>
    </w:p>
    <w:p w14:paraId="645FEC49">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b w:val="0"/>
          <w:bCs w:val="0"/>
          <w:color w:val="auto"/>
          <w:spacing w:val="0"/>
          <w:w w:val="100"/>
          <w:sz w:val="24"/>
          <w:szCs w:val="24"/>
          <w:lang w:val="en-US" w:eastAsia="zh-CN"/>
        </w:rPr>
        <w:t>项目总排口上游</w:t>
      </w:r>
      <w:r>
        <w:rPr>
          <w:rFonts w:hint="eastAsia" w:ascii="Times New Roman" w:hAnsi="Times New Roman" w:eastAsia="宋体" w:cs="Times New Roman"/>
          <w:b w:val="0"/>
          <w:bCs w:val="0"/>
          <w:color w:val="auto"/>
          <w:spacing w:val="0"/>
          <w:w w:val="100"/>
          <w:sz w:val="24"/>
          <w:szCs w:val="24"/>
          <w:lang w:val="en-US" w:eastAsia="zh-CN"/>
        </w:rPr>
        <w:t>30</w:t>
      </w:r>
      <w:r>
        <w:rPr>
          <w:rFonts w:hint="default" w:ascii="Times New Roman" w:hAnsi="Times New Roman" w:eastAsia="宋体" w:cs="Times New Roman"/>
          <w:b w:val="0"/>
          <w:bCs w:val="0"/>
          <w:color w:val="auto"/>
          <w:spacing w:val="0"/>
          <w:w w:val="100"/>
          <w:sz w:val="24"/>
          <w:szCs w:val="24"/>
          <w:lang w:val="en-US" w:eastAsia="zh-CN"/>
        </w:rPr>
        <w:t>00m及下游</w:t>
      </w:r>
      <w:r>
        <w:rPr>
          <w:rFonts w:hint="eastAsia" w:ascii="Times New Roman" w:hAnsi="Times New Roman" w:eastAsia="宋体" w:cs="Times New Roman"/>
          <w:b w:val="0"/>
          <w:bCs w:val="0"/>
          <w:color w:val="auto"/>
          <w:spacing w:val="0"/>
          <w:w w:val="100"/>
          <w:sz w:val="24"/>
          <w:szCs w:val="24"/>
          <w:lang w:val="en-US" w:eastAsia="zh-CN"/>
        </w:rPr>
        <w:t>30</w:t>
      </w:r>
      <w:r>
        <w:rPr>
          <w:rFonts w:hint="default" w:ascii="Times New Roman" w:hAnsi="Times New Roman" w:eastAsia="宋体" w:cs="Times New Roman"/>
          <w:color w:val="auto"/>
          <w:spacing w:val="0"/>
          <w:w w:val="100"/>
          <w:sz w:val="24"/>
          <w:szCs w:val="24"/>
          <w:lang w:val="en-US" w:eastAsia="zh-CN"/>
        </w:rPr>
        <w:t>00m处</w:t>
      </w:r>
      <w:r>
        <w:rPr>
          <w:rFonts w:hint="eastAsia" w:ascii="Times New Roman" w:hAnsi="Times New Roman" w:eastAsia="宋体" w:cs="Times New Roman"/>
          <w:color w:val="auto"/>
          <w:spacing w:val="0"/>
          <w:w w:val="100"/>
          <w:sz w:val="24"/>
          <w:szCs w:val="24"/>
          <w:lang w:val="en-US" w:eastAsia="zh-CN"/>
        </w:rPr>
        <w:t>千河</w:t>
      </w:r>
      <w:r>
        <w:rPr>
          <w:rFonts w:hint="default" w:ascii="Times New Roman" w:hAnsi="Times New Roman" w:eastAsia="宋体" w:cs="Times New Roman"/>
          <w:color w:val="auto"/>
          <w:spacing w:val="0"/>
          <w:w w:val="100"/>
          <w:sz w:val="24"/>
          <w:szCs w:val="24"/>
          <w:lang w:val="en-US" w:eastAsia="zh-CN"/>
        </w:rPr>
        <w:t>断面水质</w:t>
      </w:r>
      <w:r>
        <w:rPr>
          <w:rFonts w:hint="default" w:ascii="Times New Roman" w:hAnsi="Times New Roman" w:eastAsia="宋体" w:cs="Times New Roman"/>
          <w:color w:val="auto"/>
          <w:spacing w:val="0"/>
          <w:w w:val="100"/>
          <w:sz w:val="24"/>
          <w:szCs w:val="24"/>
        </w:rPr>
        <w:t>指标</w:t>
      </w:r>
      <w:r>
        <w:rPr>
          <w:rFonts w:hint="default" w:ascii="Times New Roman" w:hAnsi="Times New Roman" w:eastAsia="宋体" w:cs="Times New Roman"/>
          <w:color w:val="auto"/>
          <w:spacing w:val="0"/>
          <w:w w:val="100"/>
          <w:sz w:val="24"/>
          <w:szCs w:val="32"/>
        </w:rPr>
        <w:t>pH、SS、COD、BOD5、DO、氨氮、氟化物、硫化物、石油类、挥发酚、总砷、总镉、总汞、六价铬、总磷、阴离子表面活性剂</w:t>
      </w:r>
      <w:r>
        <w:rPr>
          <w:rFonts w:hint="default" w:ascii="Times New Roman" w:hAnsi="Times New Roman" w:eastAsia="宋体" w:cs="Times New Roman"/>
          <w:color w:val="auto"/>
          <w:spacing w:val="0"/>
          <w:w w:val="100"/>
          <w:sz w:val="24"/>
          <w:szCs w:val="32"/>
          <w:lang w:eastAsia="zh-CN"/>
        </w:rPr>
        <w:t>均</w:t>
      </w:r>
      <w:r>
        <w:rPr>
          <w:rFonts w:hint="default" w:ascii="Times New Roman" w:hAnsi="Times New Roman" w:eastAsia="宋体" w:cs="Times New Roman"/>
          <w:color w:val="auto"/>
          <w:spacing w:val="0"/>
          <w:w w:val="100"/>
          <w:sz w:val="24"/>
          <w:szCs w:val="24"/>
        </w:rPr>
        <w:t>能达到所在区域《地表水环境质量标准》（GB3838-2002）Ⅲ类标准要求。</w:t>
      </w:r>
    </w:p>
    <w:p w14:paraId="211EDE3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eastAsia" w:ascii="Times New Roman" w:hAnsi="Times New Roman" w:eastAsia="宋体" w:cs="Times New Roman"/>
          <w:b w:val="0"/>
          <w:bCs w:val="0"/>
          <w:color w:val="auto"/>
          <w:spacing w:val="0"/>
          <w:w w:val="100"/>
          <w:sz w:val="24"/>
          <w:szCs w:val="24"/>
          <w:lang w:val="en-US" w:eastAsia="zh-CN"/>
        </w:rPr>
      </w:pPr>
      <w:r>
        <w:rPr>
          <w:rFonts w:hint="eastAsia" w:ascii="Times New Roman" w:hAnsi="Times New Roman" w:eastAsia="宋体" w:cs="Times New Roman"/>
          <w:b w:val="0"/>
          <w:bCs w:val="0"/>
          <w:color w:val="auto"/>
          <w:spacing w:val="0"/>
          <w:w w:val="100"/>
          <w:sz w:val="24"/>
          <w:szCs w:val="24"/>
          <w:lang w:val="en-US" w:eastAsia="zh-CN"/>
        </w:rPr>
        <w:t>3、</w:t>
      </w:r>
      <w:r>
        <w:rPr>
          <w:rFonts w:hint="default" w:ascii="Times New Roman" w:hAnsi="Times New Roman" w:eastAsia="宋体" w:cs="Times New Roman"/>
          <w:snapToGrid w:val="0"/>
          <w:color w:val="auto"/>
          <w:spacing w:val="0"/>
          <w:w w:val="100"/>
          <w:kern w:val="0"/>
          <w:sz w:val="24"/>
          <w:szCs w:val="24"/>
          <w:lang w:eastAsia="zh-CN"/>
        </w:rPr>
        <w:t>地表</w:t>
      </w:r>
      <w:r>
        <w:rPr>
          <w:rFonts w:hint="default" w:ascii="Times New Roman" w:hAnsi="Times New Roman" w:eastAsia="宋体" w:cs="Times New Roman"/>
          <w:snapToGrid w:val="0"/>
          <w:color w:val="auto"/>
          <w:spacing w:val="0"/>
          <w:w w:val="100"/>
          <w:kern w:val="0"/>
          <w:sz w:val="24"/>
          <w:szCs w:val="24"/>
        </w:rPr>
        <w:t>水环境影响分析</w:t>
      </w:r>
      <w:r>
        <w:rPr>
          <w:rFonts w:hint="default" w:ascii="Times New Roman" w:hAnsi="Times New Roman" w:eastAsia="宋体" w:cs="Times New Roman"/>
          <w:snapToGrid w:val="0"/>
          <w:color w:val="auto"/>
          <w:spacing w:val="0"/>
          <w:w w:val="100"/>
          <w:kern w:val="0"/>
          <w:sz w:val="24"/>
          <w:szCs w:val="24"/>
          <w:lang w:eastAsia="zh-CN"/>
        </w:rPr>
        <w:t>结论</w:t>
      </w:r>
    </w:p>
    <w:p w14:paraId="5386CD43">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color w:val="auto"/>
          <w:spacing w:val="0"/>
          <w:w w:val="100"/>
          <w:sz w:val="24"/>
          <w:szCs w:val="24"/>
        </w:rPr>
        <w:t>项目污水处理厂正常工况下排污口处</w:t>
      </w:r>
      <w:r>
        <w:rPr>
          <w:rFonts w:hint="default" w:ascii="Times New Roman" w:hAnsi="Times New Roman" w:eastAsia="Times New Roman" w:cs="Times New Roman"/>
          <w:color w:val="auto"/>
          <w:spacing w:val="0"/>
          <w:w w:val="100"/>
          <w:sz w:val="24"/>
          <w:szCs w:val="24"/>
        </w:rPr>
        <w:t>COD</w:t>
      </w:r>
      <w:r>
        <w:rPr>
          <w:rFonts w:hint="default" w:ascii="Times New Roman" w:hAnsi="Times New Roman" w:eastAsia="宋体" w:cs="Times New Roman"/>
          <w:color w:val="auto"/>
          <w:spacing w:val="0"/>
          <w:w w:val="100"/>
          <w:sz w:val="24"/>
          <w:szCs w:val="24"/>
        </w:rPr>
        <w:t>和氨氮浓度均满足《陕西省黄河流域污水综合排放标准》（</w:t>
      </w:r>
      <w:r>
        <w:rPr>
          <w:rFonts w:hint="eastAsia" w:ascii="Times New Roman" w:hAnsi="Times New Roman" w:eastAsia="宋体" w:cs="Times New Roman"/>
          <w:color w:val="auto"/>
          <w:spacing w:val="0"/>
          <w:w w:val="100"/>
          <w:sz w:val="24"/>
          <w:szCs w:val="24"/>
          <w:lang w:eastAsia="zh-CN"/>
        </w:rPr>
        <w:t>DB61/224-2018</w:t>
      </w:r>
      <w:r>
        <w:rPr>
          <w:rFonts w:hint="default" w:ascii="Times New Roman" w:hAnsi="Times New Roman" w:eastAsia="宋体" w:cs="Times New Roman"/>
          <w:color w:val="auto"/>
          <w:spacing w:val="0"/>
          <w:w w:val="100"/>
          <w:sz w:val="24"/>
          <w:szCs w:val="24"/>
        </w:rPr>
        <w:t>）表</w:t>
      </w:r>
      <w:r>
        <w:rPr>
          <w:rFonts w:hint="default" w:ascii="Times New Roman" w:hAnsi="Times New Roman" w:eastAsia="Times New Roman" w:cs="Times New Roman"/>
          <w:color w:val="auto"/>
          <w:spacing w:val="0"/>
          <w:w w:val="100"/>
          <w:sz w:val="24"/>
          <w:szCs w:val="24"/>
        </w:rPr>
        <w:t>1</w:t>
      </w:r>
      <w:r>
        <w:rPr>
          <w:rFonts w:hint="default" w:ascii="Times New Roman" w:hAnsi="Times New Roman" w:eastAsia="宋体" w:cs="Times New Roman"/>
          <w:color w:val="auto"/>
          <w:spacing w:val="0"/>
          <w:w w:val="100"/>
          <w:sz w:val="24"/>
          <w:szCs w:val="24"/>
        </w:rPr>
        <w:t>中</w:t>
      </w:r>
      <w:r>
        <w:rPr>
          <w:rFonts w:hint="default" w:ascii="Times New Roman" w:hAnsi="Times New Roman" w:eastAsia="Times New Roman" w:cs="Times New Roman"/>
          <w:color w:val="auto"/>
          <w:spacing w:val="0"/>
          <w:w w:val="100"/>
          <w:sz w:val="24"/>
          <w:szCs w:val="24"/>
        </w:rPr>
        <w:t>A</w:t>
      </w:r>
      <w:r>
        <w:rPr>
          <w:rFonts w:hint="default" w:ascii="Times New Roman" w:hAnsi="Times New Roman" w:eastAsia="宋体" w:cs="Times New Roman"/>
          <w:color w:val="auto"/>
          <w:spacing w:val="0"/>
          <w:w w:val="100"/>
          <w:sz w:val="24"/>
          <w:szCs w:val="24"/>
        </w:rPr>
        <w:t>标准；排污口下游</w:t>
      </w:r>
      <w:r>
        <w:rPr>
          <w:rFonts w:hint="default" w:ascii="Times New Roman" w:hAnsi="Times New Roman" w:eastAsia="Times New Roman" w:cs="Times New Roman"/>
          <w:color w:val="auto"/>
          <w:spacing w:val="0"/>
          <w:w w:val="100"/>
          <w:sz w:val="24"/>
          <w:szCs w:val="24"/>
        </w:rPr>
        <w:t>1500m</w:t>
      </w:r>
      <w:r>
        <w:rPr>
          <w:rFonts w:hint="default" w:ascii="Times New Roman" w:hAnsi="Times New Roman" w:eastAsia="宋体" w:cs="Times New Roman"/>
          <w:color w:val="auto"/>
          <w:spacing w:val="0"/>
          <w:w w:val="100"/>
          <w:sz w:val="24"/>
          <w:szCs w:val="24"/>
        </w:rPr>
        <w:t>处的</w:t>
      </w:r>
      <w:r>
        <w:rPr>
          <w:rFonts w:hint="default" w:ascii="Times New Roman" w:hAnsi="Times New Roman" w:eastAsia="Times New Roman" w:cs="Times New Roman"/>
          <w:color w:val="auto"/>
          <w:spacing w:val="0"/>
          <w:w w:val="100"/>
          <w:sz w:val="24"/>
          <w:szCs w:val="24"/>
        </w:rPr>
        <w:t>COD</w:t>
      </w:r>
      <w:r>
        <w:rPr>
          <w:rFonts w:hint="default" w:ascii="Times New Roman" w:hAnsi="Times New Roman" w:eastAsia="宋体" w:cs="Times New Roman"/>
          <w:color w:val="auto"/>
          <w:spacing w:val="0"/>
          <w:w w:val="100"/>
          <w:sz w:val="24"/>
          <w:szCs w:val="24"/>
        </w:rPr>
        <w:t>浓度</w:t>
      </w:r>
      <w:r>
        <w:rPr>
          <w:rFonts w:hint="default" w:ascii="Times New Roman" w:hAnsi="Times New Roman" w:eastAsia="宋体" w:cs="Times New Roman"/>
          <w:color w:val="auto"/>
          <w:spacing w:val="0"/>
          <w:w w:val="100"/>
          <w:sz w:val="24"/>
          <w:szCs w:val="24"/>
          <w:lang w:eastAsia="zh-CN"/>
        </w:rPr>
        <w:t>和</w:t>
      </w:r>
      <w:r>
        <w:rPr>
          <w:rFonts w:hint="default" w:ascii="Times New Roman" w:hAnsi="Times New Roman" w:eastAsia="宋体" w:cs="Times New Roman"/>
          <w:color w:val="auto"/>
          <w:spacing w:val="0"/>
          <w:w w:val="100"/>
          <w:sz w:val="24"/>
          <w:szCs w:val="24"/>
        </w:rPr>
        <w:t>氨氮浓度满足《地表水环境质量标准》（</w:t>
      </w:r>
      <w:r>
        <w:rPr>
          <w:rFonts w:hint="default" w:ascii="Times New Roman" w:hAnsi="Times New Roman" w:eastAsia="Times New Roman" w:cs="Times New Roman"/>
          <w:color w:val="auto"/>
          <w:spacing w:val="0"/>
          <w:w w:val="100"/>
          <w:sz w:val="24"/>
          <w:szCs w:val="24"/>
        </w:rPr>
        <w:t>GB3838-2002</w:t>
      </w:r>
      <w:r>
        <w:rPr>
          <w:rFonts w:hint="default" w:ascii="Times New Roman" w:hAnsi="Times New Roman" w:eastAsia="宋体" w:cs="Times New Roman"/>
          <w:color w:val="auto"/>
          <w:spacing w:val="0"/>
          <w:w w:val="100"/>
          <w:sz w:val="24"/>
          <w:szCs w:val="24"/>
        </w:rPr>
        <w:t>）的</w:t>
      </w:r>
      <w:r>
        <w:rPr>
          <w:rFonts w:hint="eastAsia" w:ascii="Times New Roman" w:hAnsi="Times New Roman" w:eastAsia="宋体" w:cs="Times New Roman"/>
          <w:color w:val="auto"/>
          <w:spacing w:val="0"/>
          <w:w w:val="100"/>
          <w:sz w:val="24"/>
          <w:szCs w:val="24"/>
          <w:lang w:eastAsia="zh-CN"/>
        </w:rPr>
        <w:t>Ⅲ类</w:t>
      </w:r>
      <w:r>
        <w:rPr>
          <w:rFonts w:hint="default" w:ascii="Times New Roman" w:hAnsi="Times New Roman" w:eastAsia="宋体" w:cs="Times New Roman"/>
          <w:color w:val="auto"/>
          <w:spacing w:val="0"/>
          <w:w w:val="100"/>
          <w:sz w:val="24"/>
          <w:szCs w:val="24"/>
        </w:rPr>
        <w:t>标准</w:t>
      </w:r>
      <w:r>
        <w:rPr>
          <w:rFonts w:hint="eastAsia" w:ascii="Times New Roman" w:hAnsi="Times New Roman" w:eastAsia="宋体" w:cs="Times New Roman"/>
          <w:color w:val="auto"/>
          <w:spacing w:val="0"/>
          <w:w w:val="100"/>
          <w:sz w:val="24"/>
          <w:szCs w:val="24"/>
          <w:lang w:eastAsia="zh-CN"/>
        </w:rPr>
        <w:t>，</w:t>
      </w:r>
      <w:r>
        <w:rPr>
          <w:rFonts w:hint="eastAsia" w:ascii="Times New Roman" w:hAnsi="Times New Roman" w:eastAsia="宋体" w:cs="Times New Roman"/>
          <w:color w:val="auto"/>
          <w:spacing w:val="0"/>
          <w:w w:val="100"/>
          <w:sz w:val="24"/>
          <w:szCs w:val="24"/>
          <w:lang w:val="en-US" w:eastAsia="zh-CN"/>
        </w:rPr>
        <w:t>不会对千河国家级水产种质资源保护区产生影响</w:t>
      </w:r>
      <w:r>
        <w:rPr>
          <w:rFonts w:hint="default" w:ascii="Times New Roman" w:hAnsi="Times New Roman" w:eastAsia="宋体" w:cs="Times New Roman"/>
          <w:color w:val="auto"/>
          <w:spacing w:val="0"/>
          <w:w w:val="100"/>
          <w:sz w:val="24"/>
          <w:szCs w:val="24"/>
        </w:rPr>
        <w:t>。非正常工况下排污口处</w:t>
      </w:r>
      <w:r>
        <w:rPr>
          <w:rFonts w:hint="default" w:ascii="Times New Roman" w:hAnsi="Times New Roman" w:eastAsia="Times New Roman" w:cs="Times New Roman"/>
          <w:color w:val="auto"/>
          <w:spacing w:val="0"/>
          <w:w w:val="100"/>
          <w:sz w:val="24"/>
          <w:szCs w:val="24"/>
        </w:rPr>
        <w:t>COD</w:t>
      </w:r>
      <w:r>
        <w:rPr>
          <w:rFonts w:hint="default" w:ascii="Times New Roman" w:hAnsi="Times New Roman" w:eastAsia="宋体" w:cs="Times New Roman"/>
          <w:color w:val="auto"/>
          <w:spacing w:val="0"/>
          <w:w w:val="100"/>
          <w:sz w:val="24"/>
          <w:szCs w:val="24"/>
        </w:rPr>
        <w:t>浓度均</w:t>
      </w:r>
      <w:r>
        <w:rPr>
          <w:rFonts w:hint="eastAsia" w:ascii="Times New Roman" w:hAnsi="Times New Roman" w:eastAsia="宋体" w:cs="Times New Roman"/>
          <w:color w:val="auto"/>
          <w:spacing w:val="0"/>
          <w:w w:val="100"/>
          <w:sz w:val="24"/>
          <w:szCs w:val="24"/>
          <w:lang w:val="en-US" w:eastAsia="zh-CN"/>
        </w:rPr>
        <w:t>稍</w:t>
      </w:r>
      <w:r>
        <w:rPr>
          <w:rFonts w:hint="default" w:ascii="Times New Roman" w:hAnsi="Times New Roman" w:eastAsia="宋体" w:cs="Times New Roman"/>
          <w:color w:val="auto"/>
          <w:spacing w:val="0"/>
          <w:w w:val="100"/>
          <w:sz w:val="24"/>
          <w:szCs w:val="24"/>
        </w:rPr>
        <w:t>超过《地表水环境质量标准》的</w:t>
      </w:r>
      <w:r>
        <w:rPr>
          <w:rFonts w:hint="eastAsia" w:ascii="Times New Roman" w:hAnsi="Times New Roman" w:eastAsia="宋体" w:cs="Times New Roman"/>
          <w:color w:val="auto"/>
          <w:spacing w:val="0"/>
          <w:w w:val="100"/>
          <w:sz w:val="24"/>
          <w:szCs w:val="24"/>
          <w:lang w:eastAsia="zh-CN"/>
        </w:rPr>
        <w:t>Ⅲ类</w:t>
      </w:r>
      <w:r>
        <w:rPr>
          <w:rFonts w:hint="default" w:ascii="Times New Roman" w:hAnsi="Times New Roman" w:eastAsia="宋体" w:cs="Times New Roman"/>
          <w:color w:val="auto"/>
          <w:spacing w:val="0"/>
          <w:w w:val="100"/>
          <w:sz w:val="24"/>
          <w:szCs w:val="24"/>
        </w:rPr>
        <w:t>标准，</w:t>
      </w:r>
      <w:r>
        <w:rPr>
          <w:rFonts w:hint="eastAsia" w:ascii="Times New Roman" w:hAnsi="Times New Roman" w:eastAsia="宋体" w:cs="Times New Roman"/>
          <w:color w:val="auto"/>
          <w:spacing w:val="0"/>
          <w:w w:val="100"/>
          <w:sz w:val="24"/>
          <w:szCs w:val="24"/>
          <w:lang w:val="en-US" w:eastAsia="zh-CN"/>
        </w:rPr>
        <w:t>但在下游10m处即可降解达标，</w:t>
      </w:r>
      <w:r>
        <w:rPr>
          <w:rFonts w:hint="default" w:ascii="Times New Roman" w:hAnsi="Times New Roman" w:eastAsia="宋体" w:cs="Times New Roman"/>
          <w:color w:val="auto"/>
          <w:spacing w:val="0"/>
          <w:w w:val="100"/>
          <w:sz w:val="24"/>
          <w:szCs w:val="24"/>
        </w:rPr>
        <w:t>由此可见，一旦发生非正常排放，将会</w:t>
      </w:r>
      <w:r>
        <w:rPr>
          <w:rFonts w:hint="eastAsia" w:ascii="Times New Roman" w:hAnsi="Times New Roman" w:eastAsia="宋体" w:cs="Times New Roman"/>
          <w:color w:val="auto"/>
          <w:spacing w:val="0"/>
          <w:w w:val="100"/>
          <w:sz w:val="24"/>
          <w:szCs w:val="24"/>
          <w:lang w:val="en-US" w:eastAsia="zh-CN"/>
        </w:rPr>
        <w:t>对</w:t>
      </w:r>
      <w:r>
        <w:rPr>
          <w:rFonts w:hint="eastAsia" w:ascii="Times New Roman" w:hAnsi="Times New Roman" w:eastAsia="宋体" w:cs="Times New Roman"/>
          <w:color w:val="auto"/>
          <w:spacing w:val="0"/>
          <w:w w:val="100"/>
          <w:sz w:val="24"/>
          <w:szCs w:val="24"/>
          <w:lang w:eastAsia="zh-CN"/>
        </w:rPr>
        <w:t>千河水质</w:t>
      </w:r>
      <w:r>
        <w:rPr>
          <w:rFonts w:hint="eastAsia" w:ascii="Times New Roman" w:hAnsi="Times New Roman" w:eastAsia="宋体" w:cs="Times New Roman"/>
          <w:color w:val="auto"/>
          <w:spacing w:val="0"/>
          <w:w w:val="100"/>
          <w:sz w:val="24"/>
          <w:szCs w:val="24"/>
          <w:lang w:val="en-US" w:eastAsia="zh-CN"/>
        </w:rPr>
        <w:t>产生影响，但影响较小</w:t>
      </w:r>
      <w:r>
        <w:rPr>
          <w:rFonts w:hint="default" w:ascii="Times New Roman" w:hAnsi="Times New Roman" w:eastAsia="宋体" w:cs="Times New Roman"/>
          <w:color w:val="auto"/>
          <w:spacing w:val="0"/>
          <w:w w:val="100"/>
          <w:sz w:val="24"/>
          <w:szCs w:val="24"/>
        </w:rPr>
        <w:t>。因此，项目污水处理厂应采取有效的防范措施，防止污水处理厂非正常排放发生。</w:t>
      </w:r>
    </w:p>
    <w:p w14:paraId="2B568BB3">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w w:val="100"/>
          <w:sz w:val="24"/>
          <w:szCs w:val="24"/>
        </w:rPr>
      </w:pPr>
      <w:r>
        <w:rPr>
          <w:rFonts w:hint="default" w:ascii="Times New Roman" w:hAnsi="Times New Roman" w:eastAsia="宋体" w:cs="Times New Roman"/>
          <w:b w:val="0"/>
          <w:bCs w:val="0"/>
          <w:color w:val="auto"/>
          <w:spacing w:val="0"/>
          <w:w w:val="100"/>
          <w:sz w:val="24"/>
          <w:szCs w:val="32"/>
          <w:lang w:val="en-US" w:eastAsia="zh-CN"/>
        </w:rPr>
        <w:t>综上所述，</w:t>
      </w:r>
      <w:r>
        <w:rPr>
          <w:rFonts w:hint="default" w:ascii="Times New Roman" w:hAnsi="Times New Roman" w:eastAsia="宋体" w:cs="Times New Roman"/>
          <w:color w:val="auto"/>
          <w:spacing w:val="0"/>
          <w:w w:val="100"/>
          <w:sz w:val="24"/>
          <w:szCs w:val="24"/>
          <w:lang w:val="en-GB" w:eastAsia="zh-CN"/>
        </w:rPr>
        <w:t>随着本工程的建成运行，</w:t>
      </w:r>
      <w:r>
        <w:rPr>
          <w:rFonts w:hint="default" w:ascii="Times New Roman" w:hAnsi="Times New Roman" w:eastAsia="宋体" w:cs="Times New Roman"/>
          <w:color w:val="auto"/>
          <w:spacing w:val="0"/>
          <w:w w:val="100"/>
          <w:sz w:val="24"/>
          <w:szCs w:val="24"/>
          <w:lang w:val="en-US" w:eastAsia="zh-CN"/>
        </w:rPr>
        <w:t>项目服务范围内</w:t>
      </w:r>
      <w:r>
        <w:rPr>
          <w:rFonts w:hint="default" w:ascii="Times New Roman" w:hAnsi="Times New Roman" w:eastAsia="宋体" w:cs="Times New Roman"/>
          <w:color w:val="auto"/>
          <w:spacing w:val="0"/>
          <w:w w:val="100"/>
          <w:sz w:val="24"/>
          <w:szCs w:val="24"/>
          <w:lang w:val="en-GB" w:eastAsia="zh-CN"/>
        </w:rPr>
        <w:t>的生活污水经过处理达标后排放，使周边区域污水得到有效处理，防止污水直接流入</w:t>
      </w:r>
      <w:r>
        <w:rPr>
          <w:rFonts w:hint="eastAsia" w:ascii="Times New Roman" w:hAnsi="Times New Roman" w:eastAsia="宋体" w:cs="Times New Roman"/>
          <w:color w:val="auto"/>
          <w:spacing w:val="0"/>
          <w:w w:val="100"/>
          <w:sz w:val="24"/>
          <w:szCs w:val="24"/>
          <w:lang w:val="en-GB" w:eastAsia="zh-CN"/>
        </w:rPr>
        <w:t>千河</w:t>
      </w:r>
      <w:r>
        <w:rPr>
          <w:rFonts w:hint="default" w:ascii="Times New Roman" w:hAnsi="Times New Roman" w:eastAsia="宋体" w:cs="Times New Roman"/>
          <w:color w:val="auto"/>
          <w:spacing w:val="0"/>
          <w:w w:val="100"/>
          <w:sz w:val="24"/>
          <w:szCs w:val="24"/>
          <w:lang w:val="en-GB" w:eastAsia="zh-CN"/>
        </w:rPr>
        <w:t>，从而减轻</w:t>
      </w:r>
      <w:r>
        <w:rPr>
          <w:rFonts w:hint="eastAsia" w:ascii="Times New Roman" w:hAnsi="Times New Roman" w:eastAsia="宋体" w:cs="Times New Roman"/>
          <w:color w:val="auto"/>
          <w:spacing w:val="0"/>
          <w:w w:val="100"/>
          <w:sz w:val="24"/>
          <w:szCs w:val="24"/>
          <w:lang w:val="en-GB" w:eastAsia="zh-CN"/>
        </w:rPr>
        <w:t>千河</w:t>
      </w:r>
      <w:r>
        <w:rPr>
          <w:rFonts w:hint="default" w:ascii="Times New Roman" w:hAnsi="Times New Roman" w:eastAsia="宋体" w:cs="Times New Roman"/>
          <w:color w:val="auto"/>
          <w:spacing w:val="0"/>
          <w:w w:val="100"/>
          <w:sz w:val="24"/>
          <w:szCs w:val="24"/>
          <w:lang w:val="en-GB" w:eastAsia="zh-CN"/>
        </w:rPr>
        <w:t>污染负荷，与现状相比，</w:t>
      </w:r>
      <w:r>
        <w:rPr>
          <w:rFonts w:hint="eastAsia" w:ascii="Times New Roman" w:hAnsi="Times New Roman" w:eastAsia="宋体" w:cs="Times New Roman"/>
          <w:color w:val="auto"/>
          <w:spacing w:val="0"/>
          <w:w w:val="100"/>
          <w:sz w:val="24"/>
          <w:szCs w:val="24"/>
          <w:lang w:val="en-GB" w:eastAsia="zh-CN"/>
        </w:rPr>
        <w:t>千河</w:t>
      </w:r>
      <w:r>
        <w:rPr>
          <w:rFonts w:hint="default" w:ascii="Times New Roman" w:hAnsi="Times New Roman" w:eastAsia="宋体" w:cs="Times New Roman"/>
          <w:color w:val="auto"/>
          <w:spacing w:val="0"/>
          <w:w w:val="100"/>
          <w:sz w:val="24"/>
          <w:szCs w:val="24"/>
          <w:lang w:val="en-GB" w:eastAsia="zh-CN"/>
        </w:rPr>
        <w:t>水质将会有明显改善。</w:t>
      </w:r>
      <w:r>
        <w:rPr>
          <w:rFonts w:hint="default" w:ascii="Times New Roman" w:hAnsi="Times New Roman" w:eastAsia="宋体" w:cs="Times New Roman"/>
          <w:b w:val="0"/>
          <w:bCs w:val="0"/>
          <w:color w:val="auto"/>
          <w:spacing w:val="0"/>
          <w:w w:val="100"/>
          <w:sz w:val="24"/>
          <w:szCs w:val="32"/>
          <w:lang w:val="en-US" w:eastAsia="zh-CN"/>
        </w:rPr>
        <w:t>因此在设计中应</w:t>
      </w:r>
      <w:r>
        <w:rPr>
          <w:rFonts w:hint="eastAsia" w:ascii="Times New Roman" w:hAnsi="Times New Roman" w:eastAsia="宋体" w:cs="Times New Roman"/>
          <w:b w:val="0"/>
          <w:bCs w:val="0"/>
          <w:color w:val="auto"/>
          <w:spacing w:val="0"/>
          <w:w w:val="100"/>
          <w:sz w:val="24"/>
          <w:szCs w:val="32"/>
          <w:lang w:val="en-US" w:eastAsia="zh-CN"/>
        </w:rPr>
        <w:t>充分考虑</w:t>
      </w:r>
      <w:r>
        <w:rPr>
          <w:rFonts w:hint="default" w:ascii="Times New Roman" w:hAnsi="Times New Roman" w:eastAsia="宋体" w:cs="Times New Roman"/>
          <w:b w:val="0"/>
          <w:bCs w:val="0"/>
          <w:color w:val="auto"/>
          <w:spacing w:val="0"/>
          <w:w w:val="100"/>
          <w:sz w:val="24"/>
          <w:szCs w:val="32"/>
          <w:lang w:val="en-US" w:eastAsia="zh-CN"/>
        </w:rPr>
        <w:t>可能的事故并采取必要的事故防范措施和应急措施，在日常工作中加强管理，保证污水处理厂的正常运行并预防和及时处理风险事故，减少可能的造成环境影响。</w:t>
      </w:r>
    </w:p>
    <w:p w14:paraId="65FD746A">
      <w:pPr>
        <w:keepNext w:val="0"/>
        <w:keepLines w:val="0"/>
        <w:pageBreakBefore w:val="0"/>
        <w:widowControl w:val="0"/>
        <w:tabs>
          <w:tab w:val="left" w:pos="1685"/>
        </w:tabs>
        <w:kinsoku/>
        <w:wordWrap/>
        <w:overflowPunct/>
        <w:topLinePunct w:val="0"/>
        <w:autoSpaceDE/>
        <w:autoSpaceDN/>
        <w:bidi w:val="0"/>
        <w:adjustRightInd/>
        <w:snapToGrid/>
        <w:spacing w:before="54" w:line="360" w:lineRule="auto"/>
        <w:ind w:right="11" w:firstLine="480" w:firstLineChars="200"/>
        <w:jc w:val="both"/>
        <w:textAlignment w:val="auto"/>
        <w:outlineLvl w:val="1"/>
        <w:rPr>
          <w:rFonts w:hint="default" w:ascii="Times New Roman" w:hAnsi="Times New Roman" w:eastAsia="宋体" w:cs="Times New Roman"/>
          <w:b w:val="0"/>
          <w:bCs w:val="0"/>
          <w:color w:val="auto"/>
          <w:spacing w:val="0"/>
          <w:w w:val="100"/>
          <w:kern w:val="2"/>
          <w:sz w:val="24"/>
          <w:szCs w:val="24"/>
          <w:lang w:val="en-US" w:eastAsia="zh-CN" w:bidi="zh-CN"/>
        </w:rPr>
      </w:pPr>
      <w:r>
        <w:rPr>
          <w:rFonts w:hint="eastAsia" w:ascii="Times New Roman" w:hAnsi="Times New Roman" w:eastAsia="宋体" w:cs="Times New Roman"/>
          <w:b w:val="0"/>
          <w:bCs w:val="0"/>
          <w:color w:val="auto"/>
          <w:spacing w:val="0"/>
          <w:w w:val="100"/>
          <w:kern w:val="2"/>
          <w:sz w:val="24"/>
          <w:szCs w:val="24"/>
          <w:lang w:val="en-US" w:eastAsia="zh-CN" w:bidi="zh-CN"/>
        </w:rPr>
        <w:t>4</w:t>
      </w:r>
      <w:r>
        <w:rPr>
          <w:rFonts w:hint="default" w:ascii="Times New Roman" w:hAnsi="Times New Roman" w:eastAsia="宋体" w:cs="Times New Roman"/>
          <w:b w:val="0"/>
          <w:bCs w:val="0"/>
          <w:color w:val="auto"/>
          <w:spacing w:val="0"/>
          <w:w w:val="100"/>
          <w:kern w:val="2"/>
          <w:sz w:val="24"/>
          <w:szCs w:val="24"/>
          <w:lang w:val="en-US" w:eastAsia="zh-CN" w:bidi="zh-CN"/>
        </w:rPr>
        <w:t>、项目概况</w:t>
      </w:r>
    </w:p>
    <w:p w14:paraId="06131E0C">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pacing w:val="0"/>
          <w:w w:val="100"/>
          <w:sz w:val="24"/>
          <w:szCs w:val="24"/>
          <w:lang w:eastAsia="zh-CN"/>
        </w:rPr>
      </w:pPr>
      <w:r>
        <w:rPr>
          <w:rFonts w:hint="default" w:ascii="Times New Roman" w:hAnsi="Times New Roman" w:eastAsia="宋体" w:cs="Times New Roman"/>
          <w:b w:val="0"/>
          <w:bCs w:val="0"/>
          <w:color w:val="auto"/>
          <w:spacing w:val="0"/>
          <w:w w:val="100"/>
          <w:sz w:val="24"/>
          <w:szCs w:val="24"/>
          <w:lang w:eastAsia="zh-CN"/>
        </w:rPr>
        <w:t>项目的建设将有效地控制城市水污染，有利于改善受纳水体</w:t>
      </w:r>
      <w:r>
        <w:rPr>
          <w:rFonts w:hint="eastAsia" w:ascii="Times New Roman" w:hAnsi="Times New Roman" w:eastAsia="宋体" w:cs="Times New Roman"/>
          <w:b w:val="0"/>
          <w:bCs w:val="0"/>
          <w:color w:val="auto"/>
          <w:spacing w:val="0"/>
          <w:w w:val="100"/>
          <w:sz w:val="24"/>
          <w:szCs w:val="24"/>
          <w:lang w:eastAsia="zh-CN"/>
        </w:rPr>
        <w:t>千河</w:t>
      </w:r>
      <w:r>
        <w:rPr>
          <w:rFonts w:hint="default" w:ascii="Times New Roman" w:hAnsi="Times New Roman" w:eastAsia="宋体" w:cs="Times New Roman"/>
          <w:b w:val="0"/>
          <w:bCs w:val="0"/>
          <w:color w:val="auto"/>
          <w:spacing w:val="0"/>
          <w:w w:val="100"/>
          <w:sz w:val="24"/>
          <w:szCs w:val="24"/>
          <w:lang w:eastAsia="zh-CN"/>
        </w:rPr>
        <w:t>的环境质量状况，提高城市环境质量，促进城市社会经济的可持续发展。项目符合国家和地方产业政策，选址符合相关规划要求，布局合理；采取的污染防治措施可行，可实现污染物达标排放，对周围环境的影响较小，环境风险在可接受范围内。环境经济损益具有一定的正面效益，从满足环境保护角度分析，项目建设可行。</w:t>
      </w:r>
      <w:bookmarkEnd w:id="62"/>
    </w:p>
    <w:p w14:paraId="1349B53C">
      <w:pPr>
        <w:widowControl w:val="0"/>
        <w:spacing w:before="120" w:beforeLines="50" w:after="120" w:afterLines="50" w:line="240" w:lineRule="auto"/>
        <w:ind w:firstLine="0" w:firstLineChars="0"/>
        <w:jc w:val="both"/>
        <w:outlineLvl w:val="0"/>
        <w:rPr>
          <w:rFonts w:hint="default" w:ascii="Times New Roman" w:hAnsi="Times New Roman" w:eastAsia="宋体" w:cs="Times New Roman"/>
          <w:b/>
          <w:color w:val="auto"/>
          <w:spacing w:val="0"/>
          <w:w w:val="100"/>
          <w:kern w:val="2"/>
          <w:sz w:val="28"/>
          <w:szCs w:val="28"/>
          <w:lang w:val="en-US" w:eastAsia="zh-CN" w:bidi="ar-SA"/>
        </w:rPr>
      </w:pPr>
      <w:bookmarkStart w:id="63" w:name="_Toc30096"/>
      <w:r>
        <w:rPr>
          <w:rFonts w:hint="default" w:ascii="Times New Roman" w:hAnsi="Times New Roman" w:eastAsia="宋体" w:cs="Times New Roman"/>
          <w:b/>
          <w:color w:val="auto"/>
          <w:spacing w:val="0"/>
          <w:w w:val="100"/>
          <w:kern w:val="2"/>
          <w:sz w:val="28"/>
          <w:szCs w:val="28"/>
          <w:lang w:val="en-US" w:eastAsia="zh-CN" w:bidi="ar-SA"/>
        </w:rPr>
        <w:t>6.1要求与建议</w:t>
      </w:r>
      <w:bookmarkEnd w:id="63"/>
    </w:p>
    <w:p w14:paraId="03BAE40A">
      <w:pPr>
        <w:keepNext w:val="0"/>
        <w:keepLines w:val="0"/>
        <w:pageBreakBefore w:val="0"/>
        <w:widowControl w:val="0"/>
        <w:tabs>
          <w:tab w:val="left" w:pos="1685"/>
        </w:tabs>
        <w:kinsoku/>
        <w:wordWrap/>
        <w:overflowPunct/>
        <w:topLinePunct w:val="0"/>
        <w:autoSpaceDE/>
        <w:autoSpaceDN/>
        <w:bidi w:val="0"/>
        <w:adjustRightInd/>
        <w:snapToGrid/>
        <w:spacing w:line="360" w:lineRule="auto"/>
        <w:ind w:leftChars="0" w:right="0" w:firstLine="480" w:firstLineChars="200"/>
        <w:jc w:val="both"/>
        <w:textAlignment w:val="auto"/>
        <w:outlineLvl w:val="1"/>
        <w:rPr>
          <w:rFonts w:hint="default" w:ascii="Times New Roman" w:hAnsi="Times New Roman" w:eastAsia="宋体" w:cs="Times New Roman"/>
          <w:b w:val="0"/>
          <w:bCs w:val="0"/>
          <w:color w:val="auto"/>
          <w:spacing w:val="0"/>
          <w:w w:val="100"/>
          <w:kern w:val="2"/>
          <w:sz w:val="24"/>
          <w:szCs w:val="24"/>
          <w:lang w:val="zh-CN" w:eastAsia="zh-CN" w:bidi="zh-CN"/>
        </w:rPr>
      </w:pPr>
      <w:bookmarkStart w:id="64" w:name="_Toc3898"/>
      <w:r>
        <w:rPr>
          <w:rFonts w:hint="default" w:ascii="Times New Roman" w:hAnsi="Times New Roman" w:eastAsia="宋体" w:cs="Times New Roman"/>
          <w:b w:val="0"/>
          <w:bCs w:val="0"/>
          <w:color w:val="auto"/>
          <w:spacing w:val="0"/>
          <w:w w:val="100"/>
          <w:kern w:val="2"/>
          <w:sz w:val="24"/>
          <w:szCs w:val="24"/>
          <w:lang w:val="zh-CN" w:eastAsia="zh-CN" w:bidi="zh-CN"/>
        </w:rPr>
        <w:t>1、建设项目应落实厂区绿化，并设置绿化隔离带。</w:t>
      </w:r>
      <w:bookmarkEnd w:id="64"/>
    </w:p>
    <w:p w14:paraId="389F645D">
      <w:pPr>
        <w:keepNext w:val="0"/>
        <w:keepLines w:val="0"/>
        <w:pageBreakBefore w:val="0"/>
        <w:widowControl w:val="0"/>
        <w:tabs>
          <w:tab w:val="left" w:pos="1685"/>
        </w:tabs>
        <w:kinsoku/>
        <w:wordWrap/>
        <w:overflowPunct/>
        <w:topLinePunct w:val="0"/>
        <w:autoSpaceDE/>
        <w:autoSpaceDN/>
        <w:bidi w:val="0"/>
        <w:adjustRightInd/>
        <w:snapToGrid/>
        <w:spacing w:line="360" w:lineRule="auto"/>
        <w:ind w:leftChars="0" w:right="0" w:firstLine="480" w:firstLineChars="200"/>
        <w:jc w:val="both"/>
        <w:textAlignment w:val="auto"/>
        <w:outlineLvl w:val="1"/>
        <w:rPr>
          <w:rFonts w:hint="default" w:ascii="Times New Roman" w:hAnsi="Times New Roman" w:eastAsia="宋体" w:cs="Times New Roman"/>
          <w:b w:val="0"/>
          <w:bCs w:val="0"/>
          <w:color w:val="auto"/>
          <w:spacing w:val="0"/>
          <w:w w:val="100"/>
          <w:kern w:val="2"/>
          <w:sz w:val="24"/>
          <w:szCs w:val="24"/>
          <w:lang w:val="zh-CN" w:eastAsia="zh-CN" w:bidi="zh-CN"/>
        </w:rPr>
      </w:pPr>
      <w:bookmarkStart w:id="65" w:name="_Toc15416"/>
      <w:r>
        <w:rPr>
          <w:rFonts w:hint="default" w:ascii="Times New Roman" w:hAnsi="Times New Roman" w:eastAsia="宋体" w:cs="Times New Roman"/>
          <w:b w:val="0"/>
          <w:bCs w:val="0"/>
          <w:color w:val="auto"/>
          <w:spacing w:val="0"/>
          <w:w w:val="100"/>
          <w:kern w:val="2"/>
          <w:sz w:val="24"/>
          <w:szCs w:val="24"/>
          <w:lang w:val="zh-CN" w:eastAsia="zh-CN" w:bidi="zh-CN"/>
        </w:rPr>
        <w:t>2、建立完善的运行机制、规范内部管理，提高人员素质、规章制度；建立水质分析中心，定期对进、出口水质进行分析，同时加强管理，防止污泥膨胀的发生。</w:t>
      </w:r>
      <w:bookmarkEnd w:id="65"/>
    </w:p>
    <w:p w14:paraId="00FD7662">
      <w:pPr>
        <w:keepNext w:val="0"/>
        <w:keepLines w:val="0"/>
        <w:pageBreakBefore w:val="0"/>
        <w:widowControl w:val="0"/>
        <w:tabs>
          <w:tab w:val="left" w:pos="1685"/>
        </w:tabs>
        <w:kinsoku/>
        <w:wordWrap/>
        <w:overflowPunct/>
        <w:topLinePunct w:val="0"/>
        <w:autoSpaceDE/>
        <w:autoSpaceDN/>
        <w:bidi w:val="0"/>
        <w:adjustRightInd/>
        <w:snapToGrid/>
        <w:spacing w:line="360" w:lineRule="auto"/>
        <w:ind w:leftChars="0" w:right="0" w:firstLine="480" w:firstLineChars="200"/>
        <w:jc w:val="both"/>
        <w:textAlignment w:val="auto"/>
        <w:outlineLvl w:val="1"/>
        <w:rPr>
          <w:rFonts w:hint="default" w:ascii="Times New Roman" w:hAnsi="Times New Roman" w:eastAsia="宋体" w:cs="Times New Roman"/>
          <w:b w:val="0"/>
          <w:bCs w:val="0"/>
          <w:color w:val="auto"/>
          <w:spacing w:val="0"/>
          <w:w w:val="100"/>
          <w:kern w:val="2"/>
          <w:sz w:val="24"/>
          <w:szCs w:val="24"/>
          <w:lang w:val="zh-CN" w:eastAsia="zh-CN" w:bidi="zh-CN"/>
        </w:rPr>
      </w:pPr>
      <w:bookmarkStart w:id="66" w:name="_Toc18170"/>
      <w:r>
        <w:rPr>
          <w:rFonts w:hint="default" w:ascii="Times New Roman" w:hAnsi="Times New Roman" w:eastAsia="宋体" w:cs="Times New Roman"/>
          <w:b w:val="0"/>
          <w:bCs w:val="0"/>
          <w:color w:val="auto"/>
          <w:spacing w:val="0"/>
          <w:w w:val="100"/>
          <w:kern w:val="2"/>
          <w:sz w:val="24"/>
          <w:szCs w:val="24"/>
          <w:lang w:val="zh-CN" w:eastAsia="zh-CN" w:bidi="zh-CN"/>
        </w:rPr>
        <w:t>3、项目建设完成后及时进行环保“三同时”验收。</w:t>
      </w:r>
      <w:bookmarkEnd w:id="66"/>
    </w:p>
    <w:p w14:paraId="7E4525AF">
      <w:pPr>
        <w:keepNext w:val="0"/>
        <w:keepLines w:val="0"/>
        <w:pageBreakBefore w:val="0"/>
        <w:widowControl w:val="0"/>
        <w:tabs>
          <w:tab w:val="left" w:pos="1685"/>
        </w:tabs>
        <w:kinsoku/>
        <w:wordWrap/>
        <w:overflowPunct/>
        <w:topLinePunct w:val="0"/>
        <w:autoSpaceDE/>
        <w:autoSpaceDN/>
        <w:bidi w:val="0"/>
        <w:adjustRightInd/>
        <w:snapToGrid/>
        <w:spacing w:line="360" w:lineRule="auto"/>
        <w:ind w:leftChars="0" w:right="0" w:firstLine="480" w:firstLineChars="200"/>
        <w:jc w:val="both"/>
        <w:textAlignment w:val="auto"/>
        <w:outlineLvl w:val="1"/>
        <w:rPr>
          <w:rFonts w:hint="default" w:ascii="Times New Roman" w:hAnsi="Times New Roman" w:eastAsia="宋体" w:cs="Times New Roman"/>
          <w:b w:val="0"/>
          <w:bCs w:val="0"/>
          <w:color w:val="auto"/>
          <w:spacing w:val="0"/>
          <w:w w:val="100"/>
          <w:kern w:val="2"/>
          <w:sz w:val="24"/>
          <w:szCs w:val="24"/>
          <w:lang w:val="zh-CN" w:eastAsia="zh-CN" w:bidi="zh-CN"/>
        </w:rPr>
      </w:pPr>
      <w:bookmarkStart w:id="67" w:name="_Toc12914"/>
      <w:r>
        <w:rPr>
          <w:rFonts w:hint="default" w:ascii="Times New Roman" w:hAnsi="Times New Roman" w:eastAsia="宋体" w:cs="Times New Roman"/>
          <w:b w:val="0"/>
          <w:bCs w:val="0"/>
          <w:color w:val="auto"/>
          <w:spacing w:val="0"/>
          <w:w w:val="100"/>
          <w:kern w:val="2"/>
          <w:sz w:val="24"/>
          <w:szCs w:val="24"/>
          <w:lang w:val="zh-CN" w:eastAsia="zh-CN" w:bidi="zh-CN"/>
        </w:rPr>
        <w:t>4、根据环境保护和资源综合利用的原则，建议对出水尽可能加以回收利用。</w:t>
      </w:r>
      <w:bookmarkEnd w:id="67"/>
    </w:p>
    <w:p w14:paraId="355D4EF0">
      <w:pPr>
        <w:keepNext w:val="0"/>
        <w:keepLines w:val="0"/>
        <w:pageBreakBefore w:val="0"/>
        <w:widowControl w:val="0"/>
        <w:tabs>
          <w:tab w:val="left" w:pos="1685"/>
        </w:tabs>
        <w:kinsoku/>
        <w:wordWrap/>
        <w:overflowPunct/>
        <w:topLinePunct w:val="0"/>
        <w:autoSpaceDE/>
        <w:autoSpaceDN/>
        <w:bidi w:val="0"/>
        <w:adjustRightInd/>
        <w:snapToGrid/>
        <w:spacing w:line="360" w:lineRule="auto"/>
        <w:ind w:leftChars="0" w:right="0" w:firstLine="420" w:firstLineChars="200"/>
        <w:jc w:val="both"/>
        <w:textAlignment w:val="auto"/>
        <w:outlineLvl w:val="1"/>
        <w:rPr>
          <w:rFonts w:hint="eastAsia"/>
          <w:color w:val="auto"/>
          <w:lang w:val="en-US" w:eastAsia="zh-CN"/>
        </w:rPr>
        <w:sectPr>
          <w:headerReference r:id="rId10" w:type="default"/>
          <w:footerReference r:id="rId11" w:type="default"/>
          <w:pgSz w:w="11906" w:h="16838"/>
          <w:pgMar w:top="1440" w:right="1803" w:bottom="1440" w:left="1803" w:header="851" w:footer="851" w:gutter="0"/>
          <w:pgNumType w:fmt="decimal"/>
          <w:cols w:space="425" w:num="1"/>
          <w:docGrid w:type="lines" w:linePitch="312" w:charSpace="0"/>
        </w:sectPr>
      </w:pPr>
    </w:p>
    <w:p w14:paraId="55F6E366">
      <w:pPr>
        <w:spacing w:line="360" w:lineRule="auto"/>
        <w:jc w:val="left"/>
        <w:rPr>
          <w:rFonts w:hint="default" w:ascii="Times New Roman" w:hAnsi="Times New Roman" w:eastAsia="黑体" w:cs="Times New Roman"/>
          <w:b/>
          <w:color w:val="auto"/>
          <w:spacing w:val="0"/>
          <w:w w:val="100"/>
          <w:sz w:val="24"/>
          <w:szCs w:val="24"/>
          <w:lang w:val="en-US" w:eastAsia="zh-CN"/>
        </w:rPr>
      </w:pPr>
      <w:r>
        <w:rPr>
          <w:rFonts w:hint="default" w:ascii="Times New Roman" w:hAnsi="Times New Roman" w:eastAsia="黑体" w:cs="Times New Roman"/>
          <w:b/>
          <w:color w:val="auto"/>
          <w:spacing w:val="0"/>
          <w:w w:val="100"/>
          <w:sz w:val="24"/>
          <w:szCs w:val="24"/>
          <w:lang w:eastAsia="zh-CN"/>
        </w:rPr>
        <w:t>附件</w:t>
      </w:r>
      <w:r>
        <w:rPr>
          <w:rFonts w:hint="default" w:ascii="Times New Roman" w:hAnsi="Times New Roman" w:eastAsia="黑体" w:cs="Times New Roman"/>
          <w:b/>
          <w:color w:val="auto"/>
          <w:spacing w:val="0"/>
          <w:w w:val="100"/>
          <w:sz w:val="24"/>
          <w:szCs w:val="24"/>
          <w:lang w:val="en-US" w:eastAsia="zh-CN"/>
        </w:rPr>
        <w:t>1：项目</w:t>
      </w:r>
      <w:r>
        <w:rPr>
          <w:rFonts w:hint="eastAsia" w:ascii="Times New Roman" w:hAnsi="Times New Roman" w:eastAsia="黑体" w:cs="Times New Roman"/>
          <w:b/>
          <w:color w:val="auto"/>
          <w:spacing w:val="0"/>
          <w:w w:val="100"/>
          <w:sz w:val="24"/>
          <w:szCs w:val="24"/>
          <w:lang w:val="en-US" w:eastAsia="zh-CN"/>
        </w:rPr>
        <w:t>可研批复</w:t>
      </w:r>
    </w:p>
    <w:p w14:paraId="4F9BBE0E">
      <w:r>
        <w:drawing>
          <wp:inline distT="0" distB="0" distL="114300" distR="114300">
            <wp:extent cx="6601460" cy="8651875"/>
            <wp:effectExtent l="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5"/>
                    <a:srcRect t="9348"/>
                    <a:stretch>
                      <a:fillRect/>
                    </a:stretch>
                  </pic:blipFill>
                  <pic:spPr>
                    <a:xfrm>
                      <a:off x="0" y="0"/>
                      <a:ext cx="6601460" cy="8651875"/>
                    </a:xfrm>
                    <a:prstGeom prst="rect">
                      <a:avLst/>
                    </a:prstGeom>
                    <a:noFill/>
                    <a:ln>
                      <a:noFill/>
                    </a:ln>
                  </pic:spPr>
                </pic:pic>
              </a:graphicData>
            </a:graphic>
          </wp:inline>
        </w:drawing>
      </w:r>
    </w:p>
    <w:p w14:paraId="234DDB10">
      <w:pPr>
        <w:rPr>
          <w:rFonts w:hint="default" w:ascii="Times New Roman" w:hAnsi="Times New Roman" w:eastAsia="黑体" w:cs="Times New Roman"/>
          <w:b/>
          <w:color w:val="auto"/>
          <w:spacing w:val="0"/>
          <w:w w:val="100"/>
          <w:sz w:val="24"/>
          <w:szCs w:val="24"/>
          <w:lang w:val="en-US" w:eastAsia="zh-CN"/>
        </w:rPr>
      </w:pPr>
      <w:r>
        <w:drawing>
          <wp:inline distT="0" distB="0" distL="114300" distR="114300">
            <wp:extent cx="6609080" cy="9801225"/>
            <wp:effectExtent l="0" t="0" r="1270" b="952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36"/>
                    <a:stretch>
                      <a:fillRect/>
                    </a:stretch>
                  </pic:blipFill>
                  <pic:spPr>
                    <a:xfrm>
                      <a:off x="0" y="0"/>
                      <a:ext cx="6609080" cy="9801225"/>
                    </a:xfrm>
                    <a:prstGeom prst="rect">
                      <a:avLst/>
                    </a:prstGeom>
                    <a:noFill/>
                    <a:ln>
                      <a:noFill/>
                    </a:ln>
                  </pic:spPr>
                </pic:pic>
              </a:graphicData>
            </a:graphic>
          </wp:inline>
        </w:drawing>
      </w:r>
      <w:r>
        <w:rPr>
          <w:rFonts w:hint="default" w:ascii="Times New Roman" w:hAnsi="Times New Roman" w:eastAsia="黑体" w:cs="Times New Roman"/>
          <w:b/>
          <w:color w:val="auto"/>
          <w:spacing w:val="0"/>
          <w:w w:val="100"/>
          <w:sz w:val="24"/>
          <w:szCs w:val="24"/>
          <w:lang w:val="en-US" w:eastAsia="zh-CN"/>
        </w:rPr>
        <w:br w:type="page"/>
      </w:r>
    </w:p>
    <w:p w14:paraId="2778B2F2">
      <w:pPr>
        <w:pStyle w:val="12"/>
        <w:ind w:left="0" w:leftChars="0" w:firstLine="0" w:firstLineChars="0"/>
        <w:jc w:val="left"/>
        <w:rPr>
          <w:color w:val="auto"/>
        </w:rPr>
      </w:pPr>
      <w:r>
        <w:rPr>
          <w:rFonts w:hint="default" w:ascii="Times New Roman" w:hAnsi="Times New Roman" w:eastAsia="黑体" w:cs="Times New Roman"/>
          <w:b/>
          <w:color w:val="auto"/>
          <w:spacing w:val="0"/>
          <w:w w:val="100"/>
          <w:sz w:val="24"/>
          <w:szCs w:val="24"/>
          <w:lang w:eastAsia="zh-CN"/>
        </w:rPr>
        <w:t>附件</w:t>
      </w:r>
      <w:r>
        <w:rPr>
          <w:rFonts w:hint="default" w:ascii="Times New Roman" w:hAnsi="Times New Roman" w:eastAsia="黑体" w:cs="Times New Roman"/>
          <w:b/>
          <w:color w:val="auto"/>
          <w:spacing w:val="0"/>
          <w:w w:val="100"/>
          <w:sz w:val="24"/>
          <w:szCs w:val="24"/>
          <w:lang w:val="en-US" w:eastAsia="zh-CN"/>
        </w:rPr>
        <w:t>2：项目</w:t>
      </w:r>
      <w:r>
        <w:rPr>
          <w:rFonts w:hint="eastAsia" w:ascii="Times New Roman" w:hAnsi="Times New Roman" w:eastAsia="黑体" w:cs="Times New Roman"/>
          <w:b/>
          <w:color w:val="auto"/>
          <w:spacing w:val="0"/>
          <w:w w:val="100"/>
          <w:sz w:val="24"/>
          <w:szCs w:val="24"/>
          <w:lang w:val="en-US" w:eastAsia="zh-CN"/>
        </w:rPr>
        <w:t>委托书</w:t>
      </w:r>
    </w:p>
    <w:p w14:paraId="40833406">
      <w:r>
        <w:drawing>
          <wp:inline distT="0" distB="0" distL="114300" distR="114300">
            <wp:extent cx="6596380" cy="9000490"/>
            <wp:effectExtent l="0" t="0" r="0" b="0"/>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37"/>
                    <a:srcRect b="4256"/>
                    <a:stretch>
                      <a:fillRect/>
                    </a:stretch>
                  </pic:blipFill>
                  <pic:spPr>
                    <a:xfrm>
                      <a:off x="0" y="0"/>
                      <a:ext cx="6596380" cy="9000490"/>
                    </a:xfrm>
                    <a:prstGeom prst="rect">
                      <a:avLst/>
                    </a:prstGeom>
                    <a:noFill/>
                    <a:ln>
                      <a:noFill/>
                    </a:ln>
                  </pic:spPr>
                </pic:pic>
              </a:graphicData>
            </a:graphic>
          </wp:inline>
        </w:drawing>
      </w:r>
    </w:p>
    <w:p w14:paraId="45E0D06D">
      <w:pPr>
        <w:pStyle w:val="12"/>
        <w:ind w:left="0" w:leftChars="0" w:firstLine="0" w:firstLineChars="0"/>
        <w:jc w:val="left"/>
        <w:rPr>
          <w:rFonts w:hint="default" w:ascii="Times New Roman" w:hAnsi="Times New Roman" w:eastAsia="黑体" w:cs="Times New Roman"/>
          <w:b/>
          <w:color w:val="auto"/>
          <w:spacing w:val="0"/>
          <w:w w:val="100"/>
          <w:sz w:val="24"/>
          <w:szCs w:val="24"/>
          <w:lang w:eastAsia="zh-CN"/>
        </w:rPr>
      </w:pPr>
    </w:p>
    <w:p w14:paraId="68F6C77D">
      <w:pPr>
        <w:pStyle w:val="12"/>
        <w:ind w:left="0" w:leftChars="0" w:firstLine="0" w:firstLineChars="0"/>
        <w:jc w:val="left"/>
        <w:rPr>
          <w:rFonts w:hint="default"/>
          <w:color w:val="auto"/>
          <w:lang w:val="en-US"/>
        </w:rPr>
      </w:pPr>
      <w:r>
        <w:rPr>
          <w:rFonts w:hint="default" w:ascii="Times New Roman" w:hAnsi="Times New Roman" w:eastAsia="黑体" w:cs="Times New Roman"/>
          <w:b/>
          <w:color w:val="auto"/>
          <w:spacing w:val="0"/>
          <w:w w:val="100"/>
          <w:sz w:val="24"/>
          <w:szCs w:val="24"/>
          <w:lang w:eastAsia="zh-CN"/>
        </w:rPr>
        <w:t>附件</w:t>
      </w:r>
      <w:r>
        <w:rPr>
          <w:rFonts w:hint="eastAsia" w:ascii="Times New Roman" w:hAnsi="Times New Roman" w:eastAsia="黑体" w:cs="Times New Roman"/>
          <w:b/>
          <w:color w:val="auto"/>
          <w:spacing w:val="0"/>
          <w:w w:val="100"/>
          <w:sz w:val="24"/>
          <w:szCs w:val="24"/>
          <w:lang w:val="en-US" w:eastAsia="zh-CN"/>
        </w:rPr>
        <w:t>3</w:t>
      </w:r>
      <w:r>
        <w:rPr>
          <w:rFonts w:hint="default" w:ascii="Times New Roman" w:hAnsi="Times New Roman" w:eastAsia="黑体" w:cs="Times New Roman"/>
          <w:b/>
          <w:color w:val="auto"/>
          <w:spacing w:val="0"/>
          <w:w w:val="100"/>
          <w:sz w:val="24"/>
          <w:szCs w:val="24"/>
          <w:lang w:val="en-US" w:eastAsia="zh-CN"/>
        </w:rPr>
        <w:t>：</w:t>
      </w:r>
      <w:r>
        <w:rPr>
          <w:rFonts w:hint="eastAsia" w:ascii="Times New Roman" w:hAnsi="Times New Roman" w:eastAsia="黑体" w:cs="Times New Roman"/>
          <w:b/>
          <w:color w:val="auto"/>
          <w:spacing w:val="0"/>
          <w:w w:val="100"/>
          <w:sz w:val="24"/>
          <w:szCs w:val="24"/>
          <w:lang w:val="en-US" w:eastAsia="zh-CN"/>
        </w:rPr>
        <w:t>项目“三线一单”分析报告</w:t>
      </w:r>
    </w:p>
    <w:p w14:paraId="7C49E3CA">
      <w:pPr>
        <w:rPr>
          <w:rFonts w:hint="eastAsia" w:ascii="Times New Roman" w:hAnsi="Times New Roman" w:cs="Times New Roman" w:eastAsiaTheme="minorEastAsia"/>
          <w:b/>
          <w:color w:val="auto"/>
          <w:spacing w:val="0"/>
          <w:w w:val="100"/>
          <w:sz w:val="24"/>
          <w:szCs w:val="24"/>
          <w:lang w:val="en-US" w:eastAsia="zh-CN"/>
        </w:rPr>
        <w:sectPr>
          <w:footerReference r:id="rId12" w:type="default"/>
          <w:pgSz w:w="11850" w:h="16783"/>
          <w:pgMar w:top="720" w:right="720" w:bottom="720" w:left="720" w:header="567" w:footer="567" w:gutter="0"/>
          <w:pgNumType w:start="1"/>
          <w:cols w:space="720" w:num="1"/>
          <w:docGrid w:type="linesAndChars" w:linePitch="336" w:charSpace="204"/>
        </w:sectPr>
      </w:pPr>
      <w:r>
        <w:rPr>
          <w:rFonts w:hint="eastAsia" w:ascii="Times New Roman" w:hAnsi="Times New Roman" w:cs="Times New Roman" w:eastAsiaTheme="minorEastAsia"/>
          <w:b/>
          <w:color w:val="auto"/>
          <w:spacing w:val="0"/>
          <w:w w:val="100"/>
          <w:sz w:val="24"/>
          <w:szCs w:val="24"/>
          <w:lang w:val="en-US" w:eastAsia="zh-CN"/>
        </w:rPr>
        <w:drawing>
          <wp:inline distT="0" distB="0" distL="114300" distR="114300">
            <wp:extent cx="6520815" cy="9222105"/>
            <wp:effectExtent l="0" t="0" r="13335" b="17145"/>
            <wp:docPr id="56" name="图片 56" descr="陕西省“三线一单”生态环境管控单元对照分析报告-陇县经济技术开发区污水处理厂及中水回用建设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陕西省“三线一单”生态环境管控单元对照分析报告-陇县经济技术开发区污水处理厂及中水回用建设项目_01"/>
                    <pic:cNvPicPr>
                      <a:picLocks noChangeAspect="1"/>
                    </pic:cNvPicPr>
                  </pic:nvPicPr>
                  <pic:blipFill>
                    <a:blip r:embed="rId38"/>
                    <a:stretch>
                      <a:fillRect/>
                    </a:stretch>
                  </pic:blipFill>
                  <pic:spPr>
                    <a:xfrm>
                      <a:off x="0" y="0"/>
                      <a:ext cx="6520815" cy="9222105"/>
                    </a:xfrm>
                    <a:prstGeom prst="rect">
                      <a:avLst/>
                    </a:prstGeom>
                  </pic:spPr>
                </pic:pic>
              </a:graphicData>
            </a:graphic>
          </wp:inline>
        </w:drawing>
      </w:r>
      <w:r>
        <w:rPr>
          <w:color w:val="auto"/>
        </w:rPr>
        <w:br w:type="page"/>
      </w:r>
      <w:r>
        <w:rPr>
          <w:rFonts w:hint="eastAsia" w:ascii="Times New Roman" w:hAnsi="Times New Roman" w:cs="Times New Roman" w:eastAsiaTheme="minorEastAsia"/>
          <w:b/>
          <w:color w:val="auto"/>
          <w:spacing w:val="0"/>
          <w:w w:val="100"/>
          <w:sz w:val="24"/>
          <w:szCs w:val="24"/>
          <w:lang w:val="en-US" w:eastAsia="zh-CN"/>
        </w:rPr>
        <w:drawing>
          <wp:inline distT="0" distB="0" distL="114300" distR="114300">
            <wp:extent cx="6607810" cy="9344660"/>
            <wp:effectExtent l="0" t="0" r="2540" b="8890"/>
            <wp:docPr id="55" name="图片 55" descr="陕西省“三线一单”生态环境管控单元对照分析报告-陇县经济技术开发区污水处理厂及中水回用建设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陕西省“三线一单”生态环境管控单元对照分析报告-陇县经济技术开发区污水处理厂及中水回用建设项目_02"/>
                    <pic:cNvPicPr>
                      <a:picLocks noChangeAspect="1"/>
                    </pic:cNvPicPr>
                  </pic:nvPicPr>
                  <pic:blipFill>
                    <a:blip r:embed="rId39"/>
                    <a:stretch>
                      <a:fillRect/>
                    </a:stretch>
                  </pic:blipFill>
                  <pic:spPr>
                    <a:xfrm>
                      <a:off x="0" y="0"/>
                      <a:ext cx="6607810" cy="9344660"/>
                    </a:xfrm>
                    <a:prstGeom prst="rect">
                      <a:avLst/>
                    </a:prstGeom>
                  </pic:spPr>
                </pic:pic>
              </a:graphicData>
            </a:graphic>
          </wp:inline>
        </w:drawing>
      </w:r>
      <w:r>
        <w:rPr>
          <w:rFonts w:hint="eastAsia" w:ascii="Times New Roman" w:hAnsi="Times New Roman" w:cs="Times New Roman" w:eastAsiaTheme="minorEastAsia"/>
          <w:b/>
          <w:color w:val="auto"/>
          <w:spacing w:val="0"/>
          <w:w w:val="100"/>
          <w:sz w:val="24"/>
          <w:szCs w:val="24"/>
          <w:lang w:val="en-US" w:eastAsia="zh-CN"/>
        </w:rPr>
        <w:drawing>
          <wp:inline distT="0" distB="0" distL="114300" distR="114300">
            <wp:extent cx="6607810" cy="9344660"/>
            <wp:effectExtent l="0" t="0" r="2540" b="8890"/>
            <wp:docPr id="54" name="图片 54" descr="陕西省“三线一单”生态环境管控单元对照分析报告-陇县经济技术开发区污水处理厂及中水回用建设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陕西省“三线一单”生态环境管控单元对照分析报告-陇县经济技术开发区污水处理厂及中水回用建设项目_03"/>
                    <pic:cNvPicPr>
                      <a:picLocks noChangeAspect="1"/>
                    </pic:cNvPicPr>
                  </pic:nvPicPr>
                  <pic:blipFill>
                    <a:blip r:embed="rId40"/>
                    <a:stretch>
                      <a:fillRect/>
                    </a:stretch>
                  </pic:blipFill>
                  <pic:spPr>
                    <a:xfrm>
                      <a:off x="0" y="0"/>
                      <a:ext cx="6607810" cy="9344660"/>
                    </a:xfrm>
                    <a:prstGeom prst="rect">
                      <a:avLst/>
                    </a:prstGeom>
                  </pic:spPr>
                </pic:pic>
              </a:graphicData>
            </a:graphic>
          </wp:inline>
        </w:drawing>
      </w:r>
      <w:r>
        <w:rPr>
          <w:rFonts w:hint="eastAsia" w:ascii="Times New Roman" w:hAnsi="Times New Roman" w:cs="Times New Roman" w:eastAsiaTheme="minorEastAsia"/>
          <w:b/>
          <w:color w:val="auto"/>
          <w:spacing w:val="0"/>
          <w:w w:val="100"/>
          <w:sz w:val="24"/>
          <w:szCs w:val="24"/>
          <w:lang w:val="en-US" w:eastAsia="zh-CN"/>
        </w:rPr>
        <w:drawing>
          <wp:inline distT="0" distB="0" distL="114300" distR="114300">
            <wp:extent cx="6607810" cy="9344660"/>
            <wp:effectExtent l="0" t="0" r="2540" b="8890"/>
            <wp:docPr id="53" name="图片 53" descr="陕西省“三线一单”生态环境管控单元对照分析报告-陇县经济技术开发区污水处理厂及中水回用建设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陕西省“三线一单”生态环境管控单元对照分析报告-陇县经济技术开发区污水处理厂及中水回用建设项目_04"/>
                    <pic:cNvPicPr>
                      <a:picLocks noChangeAspect="1"/>
                    </pic:cNvPicPr>
                  </pic:nvPicPr>
                  <pic:blipFill>
                    <a:blip r:embed="rId41"/>
                    <a:stretch>
                      <a:fillRect/>
                    </a:stretch>
                  </pic:blipFill>
                  <pic:spPr>
                    <a:xfrm>
                      <a:off x="0" y="0"/>
                      <a:ext cx="6607810" cy="9344660"/>
                    </a:xfrm>
                    <a:prstGeom prst="rect">
                      <a:avLst/>
                    </a:prstGeom>
                  </pic:spPr>
                </pic:pic>
              </a:graphicData>
            </a:graphic>
          </wp:inline>
        </w:drawing>
      </w:r>
      <w:r>
        <w:rPr>
          <w:rFonts w:hint="eastAsia" w:ascii="Times New Roman" w:hAnsi="Times New Roman" w:cs="Times New Roman" w:eastAsiaTheme="minorEastAsia"/>
          <w:b/>
          <w:color w:val="auto"/>
          <w:spacing w:val="0"/>
          <w:w w:val="100"/>
          <w:sz w:val="24"/>
          <w:szCs w:val="24"/>
          <w:lang w:val="en-US" w:eastAsia="zh-CN"/>
        </w:rPr>
        <w:drawing>
          <wp:inline distT="0" distB="0" distL="114300" distR="114300">
            <wp:extent cx="6607810" cy="9344660"/>
            <wp:effectExtent l="0" t="0" r="2540" b="8890"/>
            <wp:docPr id="48" name="图片 48" descr="陕西省“三线一单”生态环境管控单元对照分析报告-陇县经济技术开发区污水处理厂及中水回用建设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陕西省“三线一单”生态环境管控单元对照分析报告-陇县经济技术开发区污水处理厂及中水回用建设项目_05"/>
                    <pic:cNvPicPr>
                      <a:picLocks noChangeAspect="1"/>
                    </pic:cNvPicPr>
                  </pic:nvPicPr>
                  <pic:blipFill>
                    <a:blip r:embed="rId42"/>
                    <a:stretch>
                      <a:fillRect/>
                    </a:stretch>
                  </pic:blipFill>
                  <pic:spPr>
                    <a:xfrm>
                      <a:off x="0" y="0"/>
                      <a:ext cx="6607810" cy="9344660"/>
                    </a:xfrm>
                    <a:prstGeom prst="rect">
                      <a:avLst/>
                    </a:prstGeom>
                  </pic:spPr>
                </pic:pic>
              </a:graphicData>
            </a:graphic>
          </wp:inline>
        </w:drawing>
      </w:r>
      <w:r>
        <w:rPr>
          <w:rFonts w:hint="eastAsia" w:ascii="Times New Roman" w:hAnsi="Times New Roman" w:cs="Times New Roman" w:eastAsiaTheme="minorEastAsia"/>
          <w:b/>
          <w:color w:val="auto"/>
          <w:spacing w:val="0"/>
          <w:w w:val="100"/>
          <w:sz w:val="24"/>
          <w:szCs w:val="24"/>
          <w:lang w:val="en-US" w:eastAsia="zh-CN"/>
        </w:rPr>
        <w:drawing>
          <wp:inline distT="0" distB="0" distL="114300" distR="114300">
            <wp:extent cx="6607810" cy="9344660"/>
            <wp:effectExtent l="0" t="0" r="2540" b="8890"/>
            <wp:docPr id="47" name="图片 47" descr="陕西省“三线一单”生态环境管控单元对照分析报告-陇县经济技术开发区污水处理厂及中水回用建设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陕西省“三线一单”生态环境管控单元对照分析报告-陇县经济技术开发区污水处理厂及中水回用建设项目_06"/>
                    <pic:cNvPicPr>
                      <a:picLocks noChangeAspect="1"/>
                    </pic:cNvPicPr>
                  </pic:nvPicPr>
                  <pic:blipFill>
                    <a:blip r:embed="rId43"/>
                    <a:stretch>
                      <a:fillRect/>
                    </a:stretch>
                  </pic:blipFill>
                  <pic:spPr>
                    <a:xfrm>
                      <a:off x="0" y="0"/>
                      <a:ext cx="6607810" cy="9344660"/>
                    </a:xfrm>
                    <a:prstGeom prst="rect">
                      <a:avLst/>
                    </a:prstGeom>
                  </pic:spPr>
                </pic:pic>
              </a:graphicData>
            </a:graphic>
          </wp:inline>
        </w:drawing>
      </w:r>
      <w:r>
        <w:rPr>
          <w:rFonts w:hint="eastAsia" w:ascii="Times New Roman" w:hAnsi="Times New Roman" w:cs="Times New Roman" w:eastAsiaTheme="minorEastAsia"/>
          <w:b/>
          <w:color w:val="auto"/>
          <w:spacing w:val="0"/>
          <w:w w:val="100"/>
          <w:sz w:val="24"/>
          <w:szCs w:val="24"/>
          <w:lang w:val="en-US" w:eastAsia="zh-CN"/>
        </w:rPr>
        <w:drawing>
          <wp:inline distT="0" distB="0" distL="114300" distR="114300">
            <wp:extent cx="6607810" cy="9344660"/>
            <wp:effectExtent l="0" t="0" r="2540" b="8890"/>
            <wp:docPr id="46" name="图片 46" descr="陕西省“三线一单”生态环境管控单元对照分析报告-陇县经济技术开发区污水处理厂及中水回用建设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陕西省“三线一单”生态环境管控单元对照分析报告-陇县经济技术开发区污水处理厂及中水回用建设项目_07"/>
                    <pic:cNvPicPr>
                      <a:picLocks noChangeAspect="1"/>
                    </pic:cNvPicPr>
                  </pic:nvPicPr>
                  <pic:blipFill>
                    <a:blip r:embed="rId44"/>
                    <a:stretch>
                      <a:fillRect/>
                    </a:stretch>
                  </pic:blipFill>
                  <pic:spPr>
                    <a:xfrm>
                      <a:off x="0" y="0"/>
                      <a:ext cx="6607810" cy="9344660"/>
                    </a:xfrm>
                    <a:prstGeom prst="rect">
                      <a:avLst/>
                    </a:prstGeom>
                  </pic:spPr>
                </pic:pic>
              </a:graphicData>
            </a:graphic>
          </wp:inline>
        </w:drawing>
      </w:r>
      <w:r>
        <w:rPr>
          <w:rFonts w:hint="eastAsia" w:ascii="Times New Roman" w:hAnsi="Times New Roman" w:cs="Times New Roman" w:eastAsiaTheme="minorEastAsia"/>
          <w:b/>
          <w:color w:val="auto"/>
          <w:spacing w:val="0"/>
          <w:w w:val="100"/>
          <w:sz w:val="24"/>
          <w:szCs w:val="24"/>
          <w:lang w:val="en-US" w:eastAsia="zh-CN"/>
        </w:rPr>
        <w:drawing>
          <wp:inline distT="0" distB="0" distL="114300" distR="114300">
            <wp:extent cx="6607810" cy="9344660"/>
            <wp:effectExtent l="0" t="0" r="2540" b="8890"/>
            <wp:docPr id="45" name="图片 45" descr="陕西省“三线一单”生态环境管控单元对照分析报告-陇县经济技术开发区污水处理厂及中水回用建设项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陕西省“三线一单”生态环境管控单元对照分析报告-陇县经济技术开发区污水处理厂及中水回用建设项目_08"/>
                    <pic:cNvPicPr>
                      <a:picLocks noChangeAspect="1"/>
                    </pic:cNvPicPr>
                  </pic:nvPicPr>
                  <pic:blipFill>
                    <a:blip r:embed="rId45"/>
                    <a:stretch>
                      <a:fillRect/>
                    </a:stretch>
                  </pic:blipFill>
                  <pic:spPr>
                    <a:xfrm>
                      <a:off x="0" y="0"/>
                      <a:ext cx="6607810" cy="9344660"/>
                    </a:xfrm>
                    <a:prstGeom prst="rect">
                      <a:avLst/>
                    </a:prstGeom>
                  </pic:spPr>
                </pic:pic>
              </a:graphicData>
            </a:graphic>
          </wp:inline>
        </w:drawing>
      </w:r>
    </w:p>
    <w:p w14:paraId="321EF5F5">
      <w:pPr>
        <w:pStyle w:val="20"/>
        <w:ind w:left="0" w:leftChars="0" w:firstLine="0" w:firstLineChars="0"/>
        <w:jc w:val="center"/>
      </w:pPr>
      <w:r>
        <w:rPr>
          <w:rFonts w:hint="default" w:ascii="Times New Roman" w:hAnsi="Times New Roman" w:cs="Times New Roman"/>
          <w:color w:val="auto"/>
          <w:spacing w:val="0"/>
          <w:w w:val="100"/>
          <w:sz w:val="24"/>
        </w:rPr>
        <mc:AlternateContent>
          <mc:Choice Requires="wps">
            <w:drawing>
              <wp:anchor distT="0" distB="0" distL="114300" distR="114300" simplePos="0" relativeHeight="251662336" behindDoc="0" locked="0" layoutInCell="1" allowOverlap="1">
                <wp:simplePos x="0" y="0"/>
                <wp:positionH relativeFrom="column">
                  <wp:posOffset>4138295</wp:posOffset>
                </wp:positionH>
                <wp:positionV relativeFrom="paragraph">
                  <wp:posOffset>2646680</wp:posOffset>
                </wp:positionV>
                <wp:extent cx="1143000" cy="306070"/>
                <wp:effectExtent l="4445" t="4445" r="498475" b="9525"/>
                <wp:wrapNone/>
                <wp:docPr id="72" name="矩形标注 72"/>
                <wp:cNvGraphicFramePr/>
                <a:graphic xmlns:a="http://schemas.openxmlformats.org/drawingml/2006/main">
                  <a:graphicData uri="http://schemas.microsoft.com/office/word/2010/wordprocessingShape">
                    <wps:wsp>
                      <wps:cNvSpPr/>
                      <wps:spPr>
                        <a:xfrm>
                          <a:off x="0" y="0"/>
                          <a:ext cx="1143000" cy="306070"/>
                        </a:xfrm>
                        <a:prstGeom prst="wedgeRectCallout">
                          <a:avLst>
                            <a:gd name="adj1" fmla="val 89777"/>
                            <a:gd name="adj2" fmla="val -45435"/>
                          </a:avLst>
                        </a:prstGeom>
                        <a:solidFill>
                          <a:srgbClr val="FFFFFF"/>
                        </a:solidFill>
                        <a:ln w="9525" cap="flat" cmpd="sng">
                          <a:solidFill>
                            <a:srgbClr val="000000"/>
                          </a:solidFill>
                          <a:prstDash val="solid"/>
                          <a:miter/>
                          <a:headEnd type="none" w="med" len="med"/>
                          <a:tailEnd type="none" w="med" len="med"/>
                        </a:ln>
                      </wps:spPr>
                      <wps:txbx>
                        <w:txbxContent>
                          <w:p w14:paraId="61257F55">
                            <w:pPr>
                              <w:rPr>
                                <w:rFonts w:hint="eastAsia" w:eastAsia="宋体"/>
                                <w:lang w:eastAsia="zh-CN"/>
                              </w:rPr>
                            </w:pPr>
                            <w:r>
                              <w:rPr>
                                <w:rFonts w:hint="eastAsia"/>
                                <w:lang w:eastAsia="zh-CN"/>
                              </w:rPr>
                              <w:t>本项目所在地</w:t>
                            </w:r>
                          </w:p>
                        </w:txbxContent>
                      </wps:txbx>
                      <wps:bodyPr upright="1"/>
                    </wps:wsp>
                  </a:graphicData>
                </a:graphic>
              </wp:anchor>
            </w:drawing>
          </mc:Choice>
          <mc:Fallback>
            <w:pict>
              <v:shape id="_x0000_s1026" o:spid="_x0000_s1026" o:spt="61" type="#_x0000_t61" style="position:absolute;left:0pt;margin-left:325.85pt;margin-top:208.4pt;height:24.1pt;width:90pt;z-index:251662336;mso-width-relative:page;mso-height-relative:page;" fillcolor="#FFFFFF" filled="t" stroked="t" coordsize="21600,21600" o:gfxdata="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3mhBPaAAAACwEAAA8AAAAAAAAAAQAgAAAAIgAA&#10;AGRycy9kb3ducmV2LnhtbFBLAQIUABQAAAAIAIdO4kCqr2ItPwIAAI8EAAAOAAAAAAAAAAEAIAAA&#10;ACkBAABkcnMvZTJvRG9jLnhtbFBLBQYAAAAABgAGAFkBAADaBQAAAAA=&#10;" adj="30192,986">
                <v:fill on="t" focussize="0,0"/>
                <v:stroke color="#000000" joinstyle="miter"/>
                <v:imagedata o:title=""/>
                <o:lock v:ext="edit" aspectratio="f"/>
                <v:textbox>
                  <w:txbxContent>
                    <w:p w14:paraId="61257F55">
                      <w:pPr>
                        <w:rPr>
                          <w:rFonts w:hint="eastAsia" w:eastAsia="宋体"/>
                          <w:lang w:eastAsia="zh-CN"/>
                        </w:rPr>
                      </w:pPr>
                      <w:r>
                        <w:rPr>
                          <w:rFonts w:hint="eastAsia"/>
                          <w:lang w:eastAsia="zh-CN"/>
                        </w:rPr>
                        <w:t>本项目所在地</w:t>
                      </w:r>
                    </w:p>
                  </w:txbxContent>
                </v:textbox>
              </v:shape>
            </w:pict>
          </mc:Fallback>
        </mc:AlternateContent>
      </w:r>
      <w:r>
        <w:rPr>
          <w:rFonts w:hint="default" w:ascii="Times New Roman" w:hAnsi="Times New Roman" w:cs="Times New Roman"/>
          <w:color w:val="auto"/>
          <w:spacing w:val="0"/>
          <w:w w:val="100"/>
          <w:sz w:val="24"/>
        </w:rPr>
        <mc:AlternateContent>
          <mc:Choice Requires="wps">
            <w:drawing>
              <wp:anchor distT="0" distB="0" distL="114300" distR="114300" simplePos="0" relativeHeight="251663360" behindDoc="0" locked="0" layoutInCell="1" allowOverlap="1">
                <wp:simplePos x="0" y="0"/>
                <wp:positionH relativeFrom="column">
                  <wp:posOffset>5769610</wp:posOffset>
                </wp:positionH>
                <wp:positionV relativeFrom="paragraph">
                  <wp:posOffset>2606675</wp:posOffset>
                </wp:positionV>
                <wp:extent cx="76200" cy="76200"/>
                <wp:effectExtent l="4445" t="4445" r="10795" b="10795"/>
                <wp:wrapNone/>
                <wp:docPr id="71" name="椭圆 71"/>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w="9525" cap="flat" cmpd="sng">
                          <a:solidFill>
                            <a:srgbClr val="000000"/>
                          </a:solidFill>
                          <a:prstDash val="solid"/>
                          <a:headEnd type="none" w="med" len="med"/>
                          <a:tailEnd type="none" w="med" len="med"/>
                        </a:ln>
                      </wps:spPr>
                      <wps:txbx>
                        <w:txbxContent>
                          <w:p w14:paraId="339F4122"/>
                        </w:txbxContent>
                      </wps:txbx>
                      <wps:bodyPr upright="1"/>
                    </wps:wsp>
                  </a:graphicData>
                </a:graphic>
              </wp:anchor>
            </w:drawing>
          </mc:Choice>
          <mc:Fallback>
            <w:pict>
              <v:shape id="_x0000_s1026" o:spid="_x0000_s1026" o:spt="3" type="#_x0000_t3" style="position:absolute;left:0pt;margin-left:454.3pt;margin-top:205.25pt;height:6pt;width:6pt;z-index:251663360;mso-width-relative:page;mso-height-relative:page;" fillcolor="#FF0000" filled="t" stroked="t" coordsize="21600,21600" o:gfxdata="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XFkjPZAAAACwEAAA8AAAAAAAAAAQAgAAAAIgAAAGRycy9kb3ducmV2&#10;LnhtbFBLAQIUABQAAAAIAIdO4kDE7umz+wEAACEEAAAOAAAAAAAAAAEAIAAAACgBAABkcnMvZTJv&#10;RG9jLnhtbFBLBQYAAAAABgAGAFkBAACVBQAAAAA=&#10;">
                <v:fill on="t" focussize="0,0"/>
                <v:stroke color="#000000" joinstyle="round"/>
                <v:imagedata o:title=""/>
                <o:lock v:ext="edit" aspectratio="f"/>
                <v:textbox>
                  <w:txbxContent>
                    <w:p w14:paraId="339F4122"/>
                  </w:txbxContent>
                </v:textbox>
              </v:shape>
            </w:pict>
          </mc:Fallback>
        </mc:AlternateContent>
      </w:r>
      <w:r>
        <w:rPr>
          <w:rFonts w:hint="default" w:ascii="Times New Roman" w:hAnsi="Times New Roman" w:cs="Times New Roman"/>
          <w:color w:val="auto"/>
          <w:spacing w:val="0"/>
          <w:w w:val="100"/>
          <w:kern w:val="0"/>
          <w:szCs w:val="24"/>
        </w:rPr>
        <w:drawing>
          <wp:anchor distT="0" distB="0" distL="114300" distR="114300" simplePos="0" relativeHeight="251664384" behindDoc="0" locked="0" layoutInCell="1" allowOverlap="1">
            <wp:simplePos x="0" y="0"/>
            <wp:positionH relativeFrom="column">
              <wp:posOffset>8320405</wp:posOffset>
            </wp:positionH>
            <wp:positionV relativeFrom="paragraph">
              <wp:posOffset>130175</wp:posOffset>
            </wp:positionV>
            <wp:extent cx="709930" cy="709930"/>
            <wp:effectExtent l="0" t="0" r="6350" b="6350"/>
            <wp:wrapNone/>
            <wp:docPr id="69" name="图片 46" descr="蟠龙镇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6" descr="蟠龙镇风玫瑰"/>
                    <pic:cNvPicPr>
                      <a:picLocks noChangeAspect="1"/>
                    </pic:cNvPicPr>
                  </pic:nvPicPr>
                  <pic:blipFill>
                    <a:blip r:embed="rId46"/>
                    <a:stretch>
                      <a:fillRect/>
                    </a:stretch>
                  </pic:blipFill>
                  <pic:spPr>
                    <a:xfrm>
                      <a:off x="0" y="0"/>
                      <a:ext cx="709930" cy="709930"/>
                    </a:xfrm>
                    <a:prstGeom prst="rect">
                      <a:avLst/>
                    </a:prstGeom>
                    <a:noFill/>
                    <a:ln>
                      <a:noFill/>
                    </a:ln>
                  </pic:spPr>
                </pic:pic>
              </a:graphicData>
            </a:graphic>
          </wp:anchor>
        </w:drawing>
      </w:r>
      <w:r>
        <w:drawing>
          <wp:inline distT="0" distB="0" distL="114300" distR="114300">
            <wp:extent cx="8407400" cy="6072505"/>
            <wp:effectExtent l="0" t="0" r="5080" b="825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47"/>
                    <a:stretch>
                      <a:fillRect/>
                    </a:stretch>
                  </pic:blipFill>
                  <pic:spPr>
                    <a:xfrm>
                      <a:off x="0" y="0"/>
                      <a:ext cx="8407400" cy="6072505"/>
                    </a:xfrm>
                    <a:prstGeom prst="rect">
                      <a:avLst/>
                    </a:prstGeom>
                    <a:noFill/>
                    <a:ln>
                      <a:noFill/>
                    </a:ln>
                  </pic:spPr>
                </pic:pic>
              </a:graphicData>
            </a:graphic>
          </wp:inline>
        </w:drawing>
      </w:r>
    </w:p>
    <w:p w14:paraId="36B328EF">
      <w:pPr>
        <w:pStyle w:val="20"/>
        <w:ind w:left="0" w:leftChars="0" w:firstLine="0" w:firstLineChars="0"/>
        <w:jc w:val="center"/>
        <w:rPr>
          <w:rFonts w:hint="default" w:ascii="Times New Roman" w:hAnsi="Times New Roman" w:cs="Times New Roman"/>
          <w:b/>
          <w:color w:val="auto"/>
          <w:spacing w:val="0"/>
          <w:w w:val="100"/>
          <w:sz w:val="28"/>
          <w:lang w:val="en-US" w:eastAsia="zh-CN"/>
        </w:rPr>
        <w:sectPr>
          <w:headerReference r:id="rId13" w:type="default"/>
          <w:pgSz w:w="16838" w:h="11906" w:orient="landscape"/>
          <w:pgMar w:top="720" w:right="720" w:bottom="720" w:left="720" w:header="283" w:footer="283" w:gutter="0"/>
          <w:cols w:space="720" w:num="1"/>
          <w:docGrid w:type="lines" w:linePitch="326" w:charSpace="0"/>
        </w:sectPr>
      </w:pPr>
      <w:r>
        <w:rPr>
          <w:rFonts w:hint="default" w:ascii="Times New Roman" w:hAnsi="Times New Roman" w:cs="Times New Roman"/>
          <w:b/>
          <w:color w:val="auto"/>
          <w:spacing w:val="0"/>
          <w:w w:val="100"/>
          <w:sz w:val="28"/>
        </w:rPr>
        <w:t>附图1    建设项目地理位置图</w:t>
      </w:r>
      <w:r>
        <w:rPr>
          <w:rFonts w:hint="default" w:ascii="Times New Roman" w:hAnsi="Times New Roman" w:cs="Times New Roman"/>
          <w:b/>
          <w:color w:val="auto"/>
          <w:spacing w:val="0"/>
          <w:w w:val="100"/>
          <w:sz w:val="28"/>
          <w:lang w:val="en-US" w:eastAsia="zh-CN"/>
        </w:rPr>
        <w:t xml:space="preserve"> </w:t>
      </w:r>
    </w:p>
    <w:p w14:paraId="2213FBC6">
      <w:pPr>
        <w:pStyle w:val="11"/>
        <w:ind w:left="0" w:leftChars="0" w:firstLine="0" w:firstLineChars="0"/>
        <w:jc w:val="center"/>
        <w:rPr>
          <w:rFonts w:hint="default" w:ascii="Times New Roman" w:hAnsi="Times New Roman" w:cs="Times New Roman"/>
          <w:b/>
          <w:color w:val="auto"/>
          <w:spacing w:val="0"/>
          <w:w w:val="100"/>
          <w:sz w:val="28"/>
          <w:lang w:eastAsia="zh-CN"/>
        </w:rPr>
      </w:pPr>
      <w:r>
        <w:rPr>
          <w:rFonts w:hint="default" w:ascii="Times New Roman" w:hAnsi="Times New Roman" w:cs="Times New Roman"/>
          <w:b/>
          <w:color w:val="auto"/>
          <w:spacing w:val="0"/>
          <w:w w:val="100"/>
          <w:sz w:val="28"/>
          <w:lang w:eastAsia="zh-CN"/>
        </w:rPr>
        <w:drawing>
          <wp:inline distT="0" distB="0" distL="114300" distR="114300">
            <wp:extent cx="6534150" cy="9238615"/>
            <wp:effectExtent l="0" t="0" r="0" b="635"/>
            <wp:docPr id="42" name="图片 42" descr="20251103【可研】陇县经济技术开发区污水处理厂及中水回用建设项目(2)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251103【可研】陇县经济技术开发区污水处理厂及中水回用建设项目(2)_273"/>
                    <pic:cNvPicPr>
                      <a:picLocks noChangeAspect="1"/>
                    </pic:cNvPicPr>
                  </pic:nvPicPr>
                  <pic:blipFill>
                    <a:blip r:embed="rId48"/>
                    <a:stretch>
                      <a:fillRect/>
                    </a:stretch>
                  </pic:blipFill>
                  <pic:spPr>
                    <a:xfrm>
                      <a:off x="0" y="0"/>
                      <a:ext cx="6534150" cy="9238615"/>
                    </a:xfrm>
                    <a:prstGeom prst="rect">
                      <a:avLst/>
                    </a:prstGeom>
                  </pic:spPr>
                </pic:pic>
              </a:graphicData>
            </a:graphic>
          </wp:inline>
        </w:drawing>
      </w:r>
    </w:p>
    <w:p w14:paraId="05DE6F52">
      <w:pPr>
        <w:pStyle w:val="11"/>
        <w:ind w:left="0" w:leftChars="0" w:firstLine="0" w:firstLineChars="0"/>
        <w:jc w:val="center"/>
        <w:rPr>
          <w:rFonts w:hint="default" w:ascii="Times New Roman" w:hAnsi="Times New Roman" w:cs="Times New Roman"/>
          <w:b/>
          <w:color w:val="auto"/>
          <w:spacing w:val="0"/>
          <w:w w:val="100"/>
          <w:sz w:val="28"/>
        </w:rPr>
      </w:pPr>
      <w:r>
        <w:rPr>
          <w:rFonts w:hint="default" w:ascii="Times New Roman" w:hAnsi="Times New Roman" w:cs="Times New Roman"/>
          <w:b/>
          <w:color w:val="auto"/>
          <w:spacing w:val="0"/>
          <w:w w:val="100"/>
          <w:sz w:val="28"/>
          <w:lang w:eastAsia="zh-CN"/>
        </w:rPr>
        <w:t>附图</w:t>
      </w:r>
      <w:r>
        <w:rPr>
          <w:rFonts w:hint="default" w:ascii="Times New Roman" w:hAnsi="Times New Roman" w:cs="Times New Roman"/>
          <w:b/>
          <w:color w:val="auto"/>
          <w:spacing w:val="0"/>
          <w:w w:val="100"/>
          <w:sz w:val="28"/>
          <w:lang w:val="en-US" w:eastAsia="zh-CN"/>
        </w:rPr>
        <w:t>2</w:t>
      </w:r>
      <w:r>
        <w:rPr>
          <w:rFonts w:hint="default" w:ascii="Times New Roman" w:hAnsi="Times New Roman" w:cs="Times New Roman"/>
          <w:b/>
          <w:color w:val="auto"/>
          <w:spacing w:val="0"/>
          <w:w w:val="100"/>
          <w:sz w:val="28"/>
        </w:rPr>
        <w:t xml:space="preserve"> </w:t>
      </w:r>
      <w:r>
        <w:rPr>
          <w:rFonts w:hint="default" w:ascii="Times New Roman" w:hAnsi="Times New Roman" w:cs="Times New Roman"/>
          <w:b/>
          <w:color w:val="auto"/>
          <w:spacing w:val="0"/>
          <w:w w:val="100"/>
          <w:sz w:val="28"/>
          <w:lang w:val="en-US" w:eastAsia="zh-CN"/>
        </w:rPr>
        <w:t xml:space="preserve"> </w:t>
      </w:r>
      <w:r>
        <w:rPr>
          <w:rFonts w:hint="eastAsia" w:ascii="Times New Roman" w:hAnsi="Times New Roman" w:cs="Times New Roman"/>
          <w:b/>
          <w:color w:val="auto"/>
          <w:spacing w:val="0"/>
          <w:w w:val="100"/>
          <w:sz w:val="28"/>
          <w:lang w:val="en-US" w:eastAsia="zh-CN"/>
        </w:rPr>
        <w:t>项目污水处理厂</w:t>
      </w:r>
      <w:r>
        <w:rPr>
          <w:rFonts w:hint="default" w:ascii="Times New Roman" w:hAnsi="Times New Roman" w:cs="Times New Roman"/>
          <w:b/>
          <w:color w:val="auto"/>
          <w:spacing w:val="0"/>
          <w:w w:val="100"/>
          <w:sz w:val="28"/>
        </w:rPr>
        <w:t>平面布置图</w:t>
      </w:r>
    </w:p>
    <w:p w14:paraId="02468689">
      <w:pPr>
        <w:pStyle w:val="20"/>
        <w:ind w:left="0" w:leftChars="0" w:firstLine="0" w:firstLineChars="0"/>
        <w:jc w:val="center"/>
        <w:rPr>
          <w:rFonts w:hint="default" w:ascii="Times New Roman" w:hAnsi="Times New Roman" w:cs="Times New Roman"/>
          <w:color w:val="auto"/>
          <w:spacing w:val="0"/>
          <w:w w:val="100"/>
        </w:rPr>
        <w:sectPr>
          <w:pgSz w:w="11906" w:h="16838"/>
          <w:pgMar w:top="720" w:right="720" w:bottom="720" w:left="720" w:header="283" w:footer="283" w:gutter="0"/>
          <w:cols w:space="720" w:num="1"/>
          <w:docGrid w:type="lines" w:linePitch="326" w:charSpace="0"/>
        </w:sectPr>
      </w:pPr>
    </w:p>
    <w:p w14:paraId="329073E2">
      <w:pPr>
        <w:pStyle w:val="11"/>
        <w:keepNext w:val="0"/>
        <w:keepLines w:val="0"/>
        <w:pageBreakBefore w:val="0"/>
        <w:widowControl w:val="0"/>
        <w:tabs>
          <w:tab w:val="left" w:pos="1056"/>
          <w:tab w:val="center" w:pos="8551"/>
        </w:tabs>
        <w:kinsoku/>
        <w:wordWrap/>
        <w:overflowPunct/>
        <w:topLinePunct w:val="0"/>
        <w:autoSpaceDE/>
        <w:autoSpaceDN/>
        <w:bidi w:val="0"/>
        <w:adjustRightInd/>
        <w:snapToGrid/>
        <w:spacing w:after="0"/>
        <w:ind w:firstLine="0" w:firstLineChars="0"/>
        <w:jc w:val="center"/>
        <w:textAlignment w:val="auto"/>
        <w:rPr>
          <w:rFonts w:hint="default" w:ascii="Times New Roman" w:hAnsi="Times New Roman" w:cs="Times New Roman" w:eastAsiaTheme="minorEastAsia"/>
          <w:b/>
          <w:color w:val="auto"/>
          <w:spacing w:val="0"/>
          <w:w w:val="100"/>
          <w:sz w:val="28"/>
          <w:lang w:eastAsia="zh-CN"/>
        </w:rPr>
      </w:pPr>
      <w:r>
        <w:rPr>
          <w:rFonts w:hint="default" w:ascii="Times New Roman" w:hAnsi="Times New Roman" w:cs="Times New Roman" w:eastAsiaTheme="minorEastAsia"/>
          <w:b/>
          <w:color w:val="auto"/>
          <w:spacing w:val="0"/>
          <w:w w:val="100"/>
          <w:sz w:val="28"/>
          <w:lang w:eastAsia="zh-CN"/>
        </w:rPr>
        <w:drawing>
          <wp:inline distT="0" distB="0" distL="114300" distR="114300">
            <wp:extent cx="9580880" cy="6564630"/>
            <wp:effectExtent l="0" t="0" r="0" b="0"/>
            <wp:docPr id="44" name="图片 44" descr="20251103【可研】陇县经济技术开发区污水处理厂及中水回用建设项目(2)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251103【可研】陇县经济技术开发区污水处理厂及中水回用建设项目(2)_274"/>
                    <pic:cNvPicPr>
                      <a:picLocks noChangeAspect="1"/>
                    </pic:cNvPicPr>
                  </pic:nvPicPr>
                  <pic:blipFill>
                    <a:blip r:embed="rId49"/>
                    <a:srcRect t="1499" b="1621"/>
                    <a:stretch>
                      <a:fillRect/>
                    </a:stretch>
                  </pic:blipFill>
                  <pic:spPr>
                    <a:xfrm>
                      <a:off x="0" y="0"/>
                      <a:ext cx="9580880" cy="6564630"/>
                    </a:xfrm>
                    <a:prstGeom prst="rect">
                      <a:avLst/>
                    </a:prstGeom>
                  </pic:spPr>
                </pic:pic>
              </a:graphicData>
            </a:graphic>
          </wp:inline>
        </w:drawing>
      </w:r>
    </w:p>
    <w:p w14:paraId="3DF78528">
      <w:pPr>
        <w:pStyle w:val="11"/>
        <w:keepNext w:val="0"/>
        <w:keepLines w:val="0"/>
        <w:pageBreakBefore w:val="0"/>
        <w:widowControl w:val="0"/>
        <w:tabs>
          <w:tab w:val="left" w:pos="1056"/>
          <w:tab w:val="center" w:pos="8551"/>
        </w:tabs>
        <w:kinsoku/>
        <w:wordWrap/>
        <w:overflowPunct/>
        <w:topLinePunct w:val="0"/>
        <w:autoSpaceDE/>
        <w:autoSpaceDN/>
        <w:bidi w:val="0"/>
        <w:adjustRightInd/>
        <w:snapToGrid/>
        <w:spacing w:after="0"/>
        <w:ind w:firstLine="0" w:firstLineChars="0"/>
        <w:jc w:val="center"/>
        <w:textAlignment w:val="auto"/>
        <w:rPr>
          <w:rFonts w:hint="default" w:ascii="Times New Roman" w:hAnsi="Times New Roman" w:cs="Times New Roman" w:eastAsiaTheme="minorEastAsia"/>
          <w:b/>
          <w:color w:val="auto"/>
          <w:spacing w:val="0"/>
          <w:w w:val="100"/>
          <w:sz w:val="28"/>
          <w:lang w:eastAsia="zh-CN"/>
        </w:rPr>
      </w:pPr>
      <w:r>
        <w:rPr>
          <w:rFonts w:hint="default" w:ascii="Times New Roman" w:hAnsi="Times New Roman" w:cs="Times New Roman" w:eastAsiaTheme="minorEastAsia"/>
          <w:b/>
          <w:color w:val="auto"/>
          <w:spacing w:val="0"/>
          <w:w w:val="100"/>
          <w:sz w:val="28"/>
          <w:lang w:eastAsia="zh-CN"/>
        </w:rPr>
        <w:t>附图</w:t>
      </w:r>
      <w:r>
        <w:rPr>
          <w:rFonts w:hint="default" w:ascii="Times New Roman" w:hAnsi="Times New Roman" w:cs="Times New Roman" w:eastAsiaTheme="minorEastAsia"/>
          <w:b/>
          <w:color w:val="auto"/>
          <w:spacing w:val="0"/>
          <w:w w:val="100"/>
          <w:sz w:val="28"/>
          <w:lang w:val="en-US" w:eastAsia="zh-CN"/>
        </w:rPr>
        <w:t>3</w:t>
      </w:r>
      <w:r>
        <w:rPr>
          <w:rFonts w:hint="default" w:ascii="Times New Roman" w:hAnsi="Times New Roman" w:cs="Times New Roman" w:eastAsiaTheme="minorEastAsia"/>
          <w:b/>
          <w:color w:val="auto"/>
          <w:spacing w:val="0"/>
          <w:w w:val="100"/>
          <w:sz w:val="28"/>
        </w:rPr>
        <w:t xml:space="preserve"> </w:t>
      </w:r>
      <w:r>
        <w:rPr>
          <w:rFonts w:hint="default" w:ascii="Times New Roman" w:hAnsi="Times New Roman" w:cs="Times New Roman" w:eastAsiaTheme="minorEastAsia"/>
          <w:b/>
          <w:color w:val="auto"/>
          <w:spacing w:val="0"/>
          <w:w w:val="100"/>
          <w:sz w:val="28"/>
          <w:lang w:val="en-US" w:eastAsia="zh-CN"/>
        </w:rPr>
        <w:t xml:space="preserve"> 项目</w:t>
      </w:r>
      <w:r>
        <w:rPr>
          <w:rFonts w:hint="eastAsia" w:hAnsi="Times New Roman" w:cs="Times New Roman"/>
          <w:b/>
          <w:color w:val="auto"/>
          <w:spacing w:val="0"/>
          <w:w w:val="100"/>
          <w:sz w:val="28"/>
          <w:lang w:val="en-US" w:eastAsia="zh-CN"/>
        </w:rPr>
        <w:t>污水处理工艺流程</w:t>
      </w:r>
      <w:r>
        <w:rPr>
          <w:rFonts w:hint="default" w:ascii="Times New Roman" w:hAnsi="Times New Roman" w:cs="Times New Roman" w:eastAsiaTheme="minorEastAsia"/>
          <w:b/>
          <w:color w:val="auto"/>
          <w:spacing w:val="0"/>
          <w:w w:val="100"/>
          <w:sz w:val="28"/>
          <w:lang w:eastAsia="zh-CN"/>
        </w:rPr>
        <w:t>图</w:t>
      </w:r>
    </w:p>
    <w:p w14:paraId="3455A243">
      <w:pPr>
        <w:rPr>
          <w:rFonts w:hint="default"/>
          <w:color w:val="auto"/>
          <w:lang w:eastAsia="zh-CN"/>
        </w:rPr>
        <w:sectPr>
          <w:headerReference r:id="rId14" w:type="default"/>
          <w:footerReference r:id="rId15" w:type="default"/>
          <w:pgSz w:w="16838" w:h="11906" w:orient="landscape"/>
          <w:pgMar w:top="68" w:right="68" w:bottom="68" w:left="68" w:header="57" w:footer="6" w:gutter="0"/>
          <w:cols w:space="425" w:num="1"/>
          <w:docGrid w:type="lines" w:linePitch="312" w:charSpace="0"/>
        </w:sectPr>
      </w:pPr>
    </w:p>
    <w:p w14:paraId="098C170D">
      <w:pPr>
        <w:bidi w:val="0"/>
        <w:rPr>
          <w:rFonts w:hint="default"/>
          <w:color w:val="auto"/>
          <w:lang w:val="en-US" w:eastAsia="zh-CN"/>
        </w:rPr>
      </w:pPr>
    </w:p>
    <w:p w14:paraId="2C8E6E82">
      <w:pPr>
        <w:bidi w:val="0"/>
        <w:rPr>
          <w:rFonts w:hint="default"/>
          <w:color w:val="auto"/>
          <w:lang w:val="en-US" w:eastAsia="zh-CN"/>
        </w:rPr>
      </w:pPr>
      <w:r>
        <w:drawing>
          <wp:anchor distT="0" distB="0" distL="114300" distR="114300" simplePos="0" relativeHeight="251693056" behindDoc="1" locked="0" layoutInCell="1" allowOverlap="1">
            <wp:simplePos x="0" y="0"/>
            <wp:positionH relativeFrom="column">
              <wp:posOffset>0</wp:posOffset>
            </wp:positionH>
            <wp:positionV relativeFrom="paragraph">
              <wp:posOffset>76200</wp:posOffset>
            </wp:positionV>
            <wp:extent cx="6751955" cy="8362315"/>
            <wp:effectExtent l="0" t="0" r="0" b="0"/>
            <wp:wrapNone/>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50"/>
                    <a:srcRect r="1033" b="4420"/>
                    <a:stretch>
                      <a:fillRect/>
                    </a:stretch>
                  </pic:blipFill>
                  <pic:spPr>
                    <a:xfrm>
                      <a:off x="0" y="0"/>
                      <a:ext cx="6751955" cy="8362315"/>
                    </a:xfrm>
                    <a:prstGeom prst="rect">
                      <a:avLst/>
                    </a:prstGeom>
                    <a:noFill/>
                    <a:ln>
                      <a:noFill/>
                    </a:ln>
                  </pic:spPr>
                </pic:pic>
              </a:graphicData>
            </a:graphic>
          </wp:anchor>
        </w:drawing>
      </w:r>
      <w:r>
        <w:rPr>
          <w:color w:val="auto"/>
          <w:sz w:val="28"/>
        </w:rPr>
        <mc:AlternateContent>
          <mc:Choice Requires="wps">
            <w:drawing>
              <wp:anchor distT="0" distB="0" distL="114300" distR="114300" simplePos="0" relativeHeight="251674624" behindDoc="0" locked="0" layoutInCell="1" allowOverlap="1">
                <wp:simplePos x="0" y="0"/>
                <wp:positionH relativeFrom="column">
                  <wp:posOffset>5535930</wp:posOffset>
                </wp:positionH>
                <wp:positionV relativeFrom="paragraph">
                  <wp:posOffset>6981190</wp:posOffset>
                </wp:positionV>
                <wp:extent cx="939800" cy="2794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939800" cy="279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E7D181">
                            <w:pPr>
                              <w:rPr>
                                <w:rFonts w:hint="default" w:eastAsiaTheme="minorEastAsia"/>
                                <w:b/>
                                <w:bCs/>
                                <w:color w:val="FFFF00"/>
                                <w:lang w:val="en-US" w:eastAsia="zh-CN"/>
                              </w:rPr>
                            </w:pPr>
                            <w:r>
                              <w:rPr>
                                <w:rFonts w:hint="eastAsia"/>
                                <w:b/>
                                <w:bCs/>
                                <w:color w:val="FFFF00"/>
                                <w:lang w:val="en-US" w:eastAsia="zh-CN"/>
                              </w:rPr>
                              <w:t>本项目厂区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5.9pt;margin-top:549.7pt;height:22pt;width:74pt;z-index:251674624;mso-width-relative:page;mso-height-relative:page;" filled="f" stroked="f" coordsize="21600,21600" o:gfxdata="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1LSXRd0AAAAOAQAADwAAAAAAAAABACAAAAAiAAAA&#10;ZHJzL2Rvd25yZXYueG1sUEsBAhQAFAAAAAgAh07iQIhSlLw7AgAAZwQAAA4AAAAAAAAAAQAgAAAA&#10;LAEAAGRycy9lMm9Eb2MueG1sUEsFBgAAAAAGAAYAWQEAANkFAAAAAA==&#10;">
                <v:fill on="f" focussize="0,0"/>
                <v:stroke on="f" weight="0.5pt"/>
                <v:imagedata o:title=""/>
                <o:lock v:ext="edit" aspectratio="f"/>
                <v:textbox>
                  <w:txbxContent>
                    <w:p w14:paraId="6FE7D181">
                      <w:pPr>
                        <w:rPr>
                          <w:rFonts w:hint="default" w:eastAsiaTheme="minorEastAsia"/>
                          <w:b/>
                          <w:bCs/>
                          <w:color w:val="FFFF00"/>
                          <w:lang w:val="en-US" w:eastAsia="zh-CN"/>
                        </w:rPr>
                      </w:pPr>
                      <w:r>
                        <w:rPr>
                          <w:rFonts w:hint="eastAsia"/>
                          <w:b/>
                          <w:bCs/>
                          <w:color w:val="FFFF00"/>
                          <w:lang w:val="en-US" w:eastAsia="zh-CN"/>
                        </w:rPr>
                        <w:t>本项目厂区</w:t>
                      </w:r>
                    </w:p>
                  </w:txbxContent>
                </v:textbox>
              </v:shape>
            </w:pict>
          </mc:Fallback>
        </mc:AlternateContent>
      </w:r>
      <w:r>
        <w:rPr>
          <w:color w:val="auto"/>
          <w:sz w:val="28"/>
        </w:rPr>
        <mc:AlternateContent>
          <mc:Choice Requires="wps">
            <w:drawing>
              <wp:anchor distT="0" distB="0" distL="114300" distR="114300" simplePos="0" relativeHeight="251673600" behindDoc="0" locked="0" layoutInCell="1" allowOverlap="1">
                <wp:simplePos x="0" y="0"/>
                <wp:positionH relativeFrom="column">
                  <wp:posOffset>5080635</wp:posOffset>
                </wp:positionH>
                <wp:positionV relativeFrom="paragraph">
                  <wp:posOffset>7143750</wp:posOffset>
                </wp:positionV>
                <wp:extent cx="419100" cy="6350"/>
                <wp:effectExtent l="0" t="13970" r="7620" b="25400"/>
                <wp:wrapNone/>
                <wp:docPr id="73" name="直接连接符 73"/>
                <wp:cNvGraphicFramePr/>
                <a:graphic xmlns:a="http://schemas.openxmlformats.org/drawingml/2006/main">
                  <a:graphicData uri="http://schemas.microsoft.com/office/word/2010/wordprocessingShape">
                    <wps:wsp>
                      <wps:cNvCnPr/>
                      <wps:spPr>
                        <a:xfrm flipV="1">
                          <a:off x="0" y="0"/>
                          <a:ext cx="419100" cy="6350"/>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flip:y;margin-left:400.05pt;margin-top:562.5pt;height:0.5pt;width:33pt;z-index:251673600;mso-width-relative:page;mso-height-relative:page;" filled="f" stroked="t" coordsize="21600,21600" o:gfxdata="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E2Oyf2gAAAA0BAAAPAAAAAAAAAAEAIAAAACIAAABkcnMvZG93bnJldi54bWxQ&#10;SwECFAAUAAAACACHTuJAEaQ4YvUBAADAAwAADgAAAAAAAAABACAAAAApAQAAZHJzL2Uyb0RvYy54&#10;bWxQSwUGAAAAAAYABgBZAQAAkAUAAAAA&#10;">
                <v:fill on="f" focussize="0,0"/>
                <v:stroke weight="2.25pt" color="#FF0000 [3205]" miterlimit="8" joinstyle="miter"/>
                <v:imagedata o:title=""/>
                <o:lock v:ext="edit" aspectratio="f"/>
              </v:line>
            </w:pict>
          </mc:Fallback>
        </mc:AlternateContent>
      </w:r>
      <w:r>
        <w:rPr>
          <w:color w:val="auto"/>
          <w:sz w:val="28"/>
        </w:rPr>
        <mc:AlternateContent>
          <mc:Choice Requires="wps">
            <w:drawing>
              <wp:anchor distT="0" distB="0" distL="114300" distR="114300" simplePos="0" relativeHeight="251676672" behindDoc="0" locked="0" layoutInCell="1" allowOverlap="1">
                <wp:simplePos x="0" y="0"/>
                <wp:positionH relativeFrom="column">
                  <wp:posOffset>4055745</wp:posOffset>
                </wp:positionH>
                <wp:positionV relativeFrom="paragraph">
                  <wp:posOffset>1807210</wp:posOffset>
                </wp:positionV>
                <wp:extent cx="589915" cy="344805"/>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589915" cy="3448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315A8A">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35pt;margin-top:142.3pt;height:27.15pt;width:46.45pt;z-index:251676672;mso-width-relative:page;mso-height-relative:page;" filled="f" stroked="f" coordsize="21600,21600" o:gfxdata="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MaDW9wAAAALAQAADwAAAAAAAAABACAAAAAiAAAA&#10;ZHJzL2Rvd25yZXYueG1sUEsBAhQAFAAAAAgAh07iQNj3lZI8AgAAZwQAAA4AAAAAAAAAAQAgAAAA&#10;KwEAAGRycy9lMm9Eb2MueG1sUEsFBgAAAAAGAAYAWQEAANkFAAAAAA==&#10;">
                <v:fill on="f" focussize="0,0"/>
                <v:stroke on="f" weight="0.5pt"/>
                <v:imagedata o:title=""/>
                <o:lock v:ext="edit" aspectratio="f"/>
                <v:textbox>
                  <w:txbxContent>
                    <w:p w14:paraId="58315A8A">
                      <w:pPr>
                        <w:rPr>
                          <w:rFonts w:hint="default"/>
                          <w:lang w:val="en-US" w:eastAsia="zh-CN"/>
                        </w:rPr>
                      </w:pPr>
                    </w:p>
                  </w:txbxContent>
                </v:textbox>
              </v:shape>
            </w:pict>
          </mc:Fallback>
        </mc:AlternateContent>
      </w:r>
    </w:p>
    <w:p w14:paraId="033C2633">
      <w:pPr>
        <w:pStyle w:val="20"/>
        <w:jc w:val="center"/>
        <w:rPr>
          <w:rFonts w:hint="eastAsia" w:ascii="Times New Roman" w:hAnsi="Times New Roman" w:cs="Times New Roman" w:eastAsiaTheme="minorEastAsia"/>
          <w:b/>
          <w:color w:val="auto"/>
          <w:spacing w:val="0"/>
          <w:w w:val="100"/>
          <w:sz w:val="28"/>
          <w:lang w:val="en-US" w:eastAsia="zh-CN"/>
        </w:rPr>
      </w:pPr>
      <w:r>
        <w:rPr>
          <w:rFonts w:hint="default" w:ascii="Times New Roman" w:hAnsi="Times New Roman" w:cs="Times New Roman"/>
          <w:color w:val="auto"/>
          <w:kern w:val="0"/>
          <w:szCs w:val="24"/>
        </w:rPr>
        <w:drawing>
          <wp:anchor distT="0" distB="0" distL="114300" distR="114300" simplePos="0" relativeHeight="251672576" behindDoc="0" locked="0" layoutInCell="1" allowOverlap="1">
            <wp:simplePos x="0" y="0"/>
            <wp:positionH relativeFrom="column">
              <wp:posOffset>5866765</wp:posOffset>
            </wp:positionH>
            <wp:positionV relativeFrom="paragraph">
              <wp:posOffset>97155</wp:posOffset>
            </wp:positionV>
            <wp:extent cx="709930" cy="709930"/>
            <wp:effectExtent l="0" t="0" r="6350" b="6350"/>
            <wp:wrapNone/>
            <wp:docPr id="66" name="图片 42" descr="蟠龙镇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2" descr="蟠龙镇风玫瑰"/>
                    <pic:cNvPicPr>
                      <a:picLocks noChangeAspect="1"/>
                    </pic:cNvPicPr>
                  </pic:nvPicPr>
                  <pic:blipFill>
                    <a:blip r:embed="rId46"/>
                    <a:stretch>
                      <a:fillRect/>
                    </a:stretch>
                  </pic:blipFill>
                  <pic:spPr>
                    <a:xfrm>
                      <a:off x="0" y="0"/>
                      <a:ext cx="709930" cy="709930"/>
                    </a:xfrm>
                    <a:prstGeom prst="rect">
                      <a:avLst/>
                    </a:prstGeom>
                    <a:noFill/>
                    <a:ln>
                      <a:noFill/>
                    </a:ln>
                  </pic:spPr>
                </pic:pic>
              </a:graphicData>
            </a:graphic>
          </wp:anchor>
        </w:drawing>
      </w:r>
    </w:p>
    <w:p w14:paraId="2AC7C362">
      <w:pPr>
        <w:rPr>
          <w:color w:val="auto"/>
        </w:rPr>
      </w:pPr>
    </w:p>
    <w:p w14:paraId="11E64462">
      <w:pPr>
        <w:pStyle w:val="20"/>
        <w:ind w:left="0" w:leftChars="0" w:firstLine="0" w:firstLineChars="0"/>
        <w:jc w:val="center"/>
        <w:rPr>
          <w:rFonts w:hint="eastAsia" w:hAnsi="Times New Roman" w:cs="Times New Roman"/>
          <w:b/>
          <w:color w:val="auto"/>
          <w:spacing w:val="0"/>
          <w:w w:val="100"/>
          <w:sz w:val="28"/>
          <w:lang w:val="en-US" w:eastAsia="zh-CN"/>
        </w:rPr>
      </w:pPr>
    </w:p>
    <w:p w14:paraId="648B6DF2">
      <w:pPr>
        <w:pStyle w:val="20"/>
        <w:ind w:left="0" w:leftChars="0" w:firstLine="0" w:firstLineChars="0"/>
        <w:jc w:val="center"/>
        <w:rPr>
          <w:rFonts w:hint="eastAsia" w:hAnsi="Times New Roman" w:cs="Times New Roman"/>
          <w:b/>
          <w:color w:val="auto"/>
          <w:spacing w:val="0"/>
          <w:w w:val="100"/>
          <w:sz w:val="28"/>
          <w:lang w:val="en-US" w:eastAsia="zh-CN"/>
        </w:rPr>
      </w:pPr>
    </w:p>
    <w:p w14:paraId="201AB52D">
      <w:pPr>
        <w:pStyle w:val="20"/>
        <w:ind w:left="0" w:leftChars="0" w:firstLine="0" w:firstLineChars="0"/>
        <w:jc w:val="center"/>
        <w:rPr>
          <w:rFonts w:hint="eastAsia" w:hAnsi="Times New Roman" w:cs="Times New Roman"/>
          <w:b/>
          <w:color w:val="auto"/>
          <w:spacing w:val="0"/>
          <w:w w:val="100"/>
          <w:sz w:val="28"/>
          <w:lang w:val="en-US" w:eastAsia="zh-CN"/>
        </w:rPr>
      </w:pPr>
    </w:p>
    <w:p w14:paraId="28E810C4">
      <w:pPr>
        <w:pStyle w:val="20"/>
        <w:ind w:left="0" w:leftChars="0" w:firstLine="0" w:firstLineChars="0"/>
        <w:jc w:val="center"/>
        <w:rPr>
          <w:rFonts w:hint="eastAsia" w:hAnsi="Times New Roman" w:cs="Times New Roman"/>
          <w:b/>
          <w:color w:val="auto"/>
          <w:spacing w:val="0"/>
          <w:w w:val="100"/>
          <w:sz w:val="28"/>
          <w:lang w:val="en-US" w:eastAsia="zh-CN"/>
        </w:rPr>
      </w:pPr>
    </w:p>
    <w:p w14:paraId="763F9C17">
      <w:pPr>
        <w:pStyle w:val="20"/>
        <w:ind w:left="0" w:leftChars="0" w:firstLine="0" w:firstLineChars="0"/>
        <w:jc w:val="center"/>
        <w:rPr>
          <w:rFonts w:hint="eastAsia" w:hAnsi="Times New Roman" w:cs="Times New Roman"/>
          <w:b/>
          <w:color w:val="auto"/>
          <w:spacing w:val="0"/>
          <w:w w:val="100"/>
          <w:sz w:val="28"/>
          <w:lang w:val="en-US" w:eastAsia="zh-CN"/>
        </w:rPr>
      </w:pPr>
    </w:p>
    <w:p w14:paraId="5C908633">
      <w:pPr>
        <w:pStyle w:val="20"/>
        <w:ind w:left="0" w:leftChars="0" w:firstLine="0" w:firstLineChars="0"/>
        <w:jc w:val="center"/>
        <w:rPr>
          <w:rFonts w:hint="eastAsia" w:hAnsi="Times New Roman" w:cs="Times New Roman"/>
          <w:b/>
          <w:color w:val="auto"/>
          <w:spacing w:val="0"/>
          <w:w w:val="100"/>
          <w:sz w:val="28"/>
          <w:lang w:val="en-US" w:eastAsia="zh-CN"/>
        </w:rPr>
      </w:pPr>
    </w:p>
    <w:p w14:paraId="507DF98E">
      <w:pPr>
        <w:pStyle w:val="20"/>
        <w:ind w:left="0" w:leftChars="0" w:firstLine="0" w:firstLineChars="0"/>
        <w:jc w:val="center"/>
        <w:rPr>
          <w:rFonts w:hint="eastAsia" w:hAnsi="Times New Roman" w:cs="Times New Roman"/>
          <w:b/>
          <w:color w:val="auto"/>
          <w:spacing w:val="0"/>
          <w:w w:val="100"/>
          <w:sz w:val="28"/>
          <w:lang w:val="en-US" w:eastAsia="zh-CN"/>
        </w:rPr>
      </w:pPr>
    </w:p>
    <w:p w14:paraId="6B9848D4">
      <w:pPr>
        <w:pStyle w:val="20"/>
        <w:ind w:left="0" w:leftChars="0" w:firstLine="0" w:firstLineChars="0"/>
        <w:jc w:val="center"/>
        <w:rPr>
          <w:rFonts w:hint="eastAsia" w:hAnsi="Times New Roman" w:cs="Times New Roman"/>
          <w:b/>
          <w:color w:val="auto"/>
          <w:spacing w:val="0"/>
          <w:w w:val="100"/>
          <w:sz w:val="28"/>
          <w:lang w:val="en-US" w:eastAsia="zh-CN"/>
        </w:rPr>
      </w:pPr>
    </w:p>
    <w:p w14:paraId="7CC098CC">
      <w:pPr>
        <w:pStyle w:val="20"/>
        <w:ind w:left="0" w:leftChars="0" w:firstLine="0" w:firstLineChars="0"/>
        <w:jc w:val="center"/>
        <w:rPr>
          <w:rFonts w:hint="eastAsia" w:hAnsi="Times New Roman" w:cs="Times New Roman"/>
          <w:b/>
          <w:color w:val="auto"/>
          <w:spacing w:val="0"/>
          <w:w w:val="100"/>
          <w:sz w:val="28"/>
          <w:lang w:val="en-US" w:eastAsia="zh-CN"/>
        </w:rPr>
      </w:pPr>
    </w:p>
    <w:p w14:paraId="0CC16DCB">
      <w:pPr>
        <w:pStyle w:val="20"/>
        <w:ind w:left="0" w:leftChars="0" w:firstLine="0" w:firstLineChars="0"/>
        <w:jc w:val="center"/>
        <w:rPr>
          <w:rFonts w:hint="eastAsia" w:hAnsi="Times New Roman" w:cs="Times New Roman"/>
          <w:b/>
          <w:color w:val="auto"/>
          <w:spacing w:val="0"/>
          <w:w w:val="100"/>
          <w:sz w:val="28"/>
          <w:lang w:val="en-US" w:eastAsia="zh-CN"/>
        </w:rPr>
      </w:pPr>
    </w:p>
    <w:p w14:paraId="747ED588">
      <w:pPr>
        <w:pStyle w:val="20"/>
        <w:ind w:left="0" w:leftChars="0" w:firstLine="0" w:firstLineChars="0"/>
        <w:jc w:val="center"/>
        <w:rPr>
          <w:rFonts w:hint="eastAsia" w:hAnsi="Times New Roman" w:cs="Times New Roman"/>
          <w:b/>
          <w:color w:val="auto"/>
          <w:spacing w:val="0"/>
          <w:w w:val="100"/>
          <w:sz w:val="28"/>
          <w:lang w:val="en-US" w:eastAsia="zh-CN"/>
        </w:rPr>
      </w:pPr>
    </w:p>
    <w:p w14:paraId="5F4290B8">
      <w:pPr>
        <w:pStyle w:val="20"/>
        <w:ind w:left="0" w:leftChars="0" w:firstLine="0" w:firstLineChars="0"/>
        <w:jc w:val="center"/>
        <w:rPr>
          <w:rFonts w:hint="eastAsia" w:hAnsi="Times New Roman" w:cs="Times New Roman"/>
          <w:b/>
          <w:color w:val="auto"/>
          <w:spacing w:val="0"/>
          <w:w w:val="100"/>
          <w:sz w:val="28"/>
          <w:lang w:val="en-US" w:eastAsia="zh-CN"/>
        </w:rPr>
      </w:pPr>
    </w:p>
    <w:p w14:paraId="7FB8C0DD">
      <w:pPr>
        <w:pStyle w:val="20"/>
        <w:ind w:left="0" w:leftChars="0" w:firstLine="0" w:firstLineChars="0"/>
        <w:jc w:val="center"/>
        <w:rPr>
          <w:rFonts w:hint="eastAsia" w:hAnsi="Times New Roman" w:cs="Times New Roman"/>
          <w:b/>
          <w:color w:val="auto"/>
          <w:spacing w:val="0"/>
          <w:w w:val="100"/>
          <w:sz w:val="28"/>
          <w:lang w:val="en-US" w:eastAsia="zh-CN"/>
        </w:rPr>
      </w:pPr>
      <w:r>
        <w:rPr>
          <w:color w:val="auto"/>
          <w:sz w:val="28"/>
        </w:rPr>
        <mc:AlternateContent>
          <mc:Choice Requires="wps">
            <w:drawing>
              <wp:anchor distT="0" distB="0" distL="114300" distR="114300" simplePos="0" relativeHeight="251677696" behindDoc="0" locked="0" layoutInCell="1" allowOverlap="1">
                <wp:simplePos x="0" y="0"/>
                <wp:positionH relativeFrom="column">
                  <wp:posOffset>5046345</wp:posOffset>
                </wp:positionH>
                <wp:positionV relativeFrom="paragraph">
                  <wp:posOffset>375285</wp:posOffset>
                </wp:positionV>
                <wp:extent cx="1454150" cy="1454150"/>
                <wp:effectExtent l="7620" t="7620" r="16510" b="16510"/>
                <wp:wrapNone/>
                <wp:docPr id="65" name="文本框 65"/>
                <wp:cNvGraphicFramePr/>
                <a:graphic xmlns:a="http://schemas.openxmlformats.org/drawingml/2006/main">
                  <a:graphicData uri="http://schemas.microsoft.com/office/word/2010/wordprocessingShape">
                    <wps:wsp>
                      <wps:cNvSpPr txBox="1"/>
                      <wps:spPr>
                        <a:xfrm>
                          <a:off x="5432425" y="7423785"/>
                          <a:ext cx="1454150" cy="1454150"/>
                        </a:xfrm>
                        <a:prstGeom prst="rect">
                          <a:avLst/>
                        </a:prstGeom>
                        <a:noFill/>
                        <a:ln w="15875">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3EDEB660"/>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7.35pt;margin-top:29.55pt;height:114.5pt;width:114.5pt;z-index:251677696;mso-width-relative:page;mso-height-relative:page;" filled="f" stroked="t" coordsize="21600,21600" o:gfxdata="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fcZzNdkAAAALAQAADwAAAAAAAAABACAAAAAiAAAAZHJzL2Rvd25yZXYueG1sUEsBAhQAFAAAAAgA&#10;h07iQHfNngNdAgAAnwQAAA4AAAAAAAAAAQAgAAAAKAEAAGRycy9lMm9Eb2MueG1sUEsFBgAAAAAG&#10;AAYAWQEAAPcFAAAAAA==&#10;">
                <v:fill on="f" focussize="0,0"/>
                <v:stroke weight="1.25pt" color="#CCE8CF [3212]" joinstyle="round"/>
                <v:imagedata o:title=""/>
                <o:lock v:ext="edit" aspectratio="f"/>
                <v:textbox>
                  <w:txbxContent>
                    <w:p w14:paraId="3EDEB660"/>
                  </w:txbxContent>
                </v:textbox>
              </v:shape>
            </w:pict>
          </mc:Fallback>
        </mc:AlternateContent>
      </w:r>
    </w:p>
    <w:p w14:paraId="47604A7F">
      <w:pPr>
        <w:pStyle w:val="20"/>
        <w:ind w:left="0" w:leftChars="0" w:firstLine="0" w:firstLineChars="0"/>
        <w:jc w:val="center"/>
        <w:rPr>
          <w:rFonts w:hint="eastAsia" w:hAnsi="Times New Roman" w:cs="Times New Roman"/>
          <w:b/>
          <w:color w:val="auto"/>
          <w:spacing w:val="0"/>
          <w:w w:val="100"/>
          <w:sz w:val="28"/>
          <w:lang w:val="en-US" w:eastAsia="zh-CN"/>
        </w:rPr>
      </w:pPr>
      <w:r>
        <w:rPr>
          <w:color w:val="auto"/>
          <w:sz w:val="28"/>
        </w:rPr>
        <mc:AlternateContent>
          <mc:Choice Requires="wps">
            <w:drawing>
              <wp:anchor distT="0" distB="0" distL="114300" distR="114300" simplePos="0" relativeHeight="251680768" behindDoc="0" locked="0" layoutInCell="1" allowOverlap="1">
                <wp:simplePos x="0" y="0"/>
                <wp:positionH relativeFrom="column">
                  <wp:posOffset>5556250</wp:posOffset>
                </wp:positionH>
                <wp:positionV relativeFrom="paragraph">
                  <wp:posOffset>253365</wp:posOffset>
                </wp:positionV>
                <wp:extent cx="939800" cy="27940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939800" cy="279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1897EC">
                            <w:pPr>
                              <w:rPr>
                                <w:rFonts w:hint="default" w:eastAsiaTheme="minorEastAsia"/>
                                <w:b/>
                                <w:bCs/>
                                <w:color w:val="FFFF00"/>
                                <w:lang w:val="en-US" w:eastAsia="zh-CN"/>
                              </w:rPr>
                            </w:pPr>
                            <w:r>
                              <w:rPr>
                                <w:rFonts w:hint="eastAsia"/>
                                <w:b/>
                                <w:bCs/>
                                <w:color w:val="FFFF00"/>
                                <w:lang w:val="en-US" w:eastAsia="zh-CN"/>
                              </w:rPr>
                              <w:t>评价断面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7.5pt;margin-top:19.95pt;height:22pt;width:74pt;z-index:251680768;mso-width-relative:page;mso-height-relative:page;" filled="f" stroked="f" coordsize="21600,21600" o:gfxdata="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rucrfaAAAACgEAAA8AAAAAAAAAAQAgAAAAIgAAAGRy&#10;cy9kb3ducmV2LnhtbFBLAQIUABQAAAAIAIdO4kBBaVz4PAIAAGcEAAAOAAAAAAAAAAEAIAAAACkB&#10;AABkcnMvZTJvRG9jLnhtbFBLBQYAAAAABgAGAFkBAADXBQAAAAA=&#10;">
                <v:fill on="f" focussize="0,0"/>
                <v:stroke on="f" weight="0.5pt"/>
                <v:imagedata o:title=""/>
                <o:lock v:ext="edit" aspectratio="f"/>
                <v:textbox>
                  <w:txbxContent>
                    <w:p w14:paraId="211897EC">
                      <w:pPr>
                        <w:rPr>
                          <w:rFonts w:hint="default" w:eastAsiaTheme="minorEastAsia"/>
                          <w:b/>
                          <w:bCs/>
                          <w:color w:val="FFFF00"/>
                          <w:lang w:val="en-US" w:eastAsia="zh-CN"/>
                        </w:rPr>
                      </w:pPr>
                      <w:r>
                        <w:rPr>
                          <w:rFonts w:hint="eastAsia"/>
                          <w:b/>
                          <w:bCs/>
                          <w:color w:val="FFFF00"/>
                          <w:lang w:val="en-US" w:eastAsia="zh-CN"/>
                        </w:rPr>
                        <w:t>评价断面</w:t>
                      </w:r>
                    </w:p>
                  </w:txbxContent>
                </v:textbox>
              </v:shape>
            </w:pict>
          </mc:Fallback>
        </mc:AlternateContent>
      </w:r>
      <w:r>
        <w:rPr>
          <w:color w:val="auto"/>
          <w:sz w:val="28"/>
        </w:rPr>
        <mc:AlternateContent>
          <mc:Choice Requires="wps">
            <w:drawing>
              <wp:anchor distT="0" distB="0" distL="114300" distR="114300" simplePos="0" relativeHeight="251679744" behindDoc="0" locked="0" layoutInCell="1" allowOverlap="1">
                <wp:simplePos x="0" y="0"/>
                <wp:positionH relativeFrom="column">
                  <wp:posOffset>5106035</wp:posOffset>
                </wp:positionH>
                <wp:positionV relativeFrom="paragraph">
                  <wp:posOffset>410845</wp:posOffset>
                </wp:positionV>
                <wp:extent cx="417830" cy="3175"/>
                <wp:effectExtent l="0" t="13970" r="8890" b="28575"/>
                <wp:wrapNone/>
                <wp:docPr id="88" name="直接连接符 88"/>
                <wp:cNvGraphicFramePr/>
                <a:graphic xmlns:a="http://schemas.openxmlformats.org/drawingml/2006/main">
                  <a:graphicData uri="http://schemas.microsoft.com/office/word/2010/wordprocessingShape">
                    <wps:wsp>
                      <wps:cNvCnPr/>
                      <wps:spPr>
                        <a:xfrm>
                          <a:off x="0" y="0"/>
                          <a:ext cx="417830" cy="3175"/>
                        </a:xfrm>
                        <a:prstGeom prst="line">
                          <a:avLst/>
                        </a:prstGeom>
                        <a:ln w="28575">
                          <a:solidFill>
                            <a:srgbClr val="0CF946"/>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402.05pt;margin-top:32.35pt;height:0.25pt;width:32.9pt;z-index:251679744;mso-width-relative:page;mso-height-relative:page;" filled="f" stroked="t" coordsize="21600,21600" o:gfxdata="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y6met9kAAAAJAQAADwAAAAAAAAABACAAAAAiAAAAZHJzL2Rvd25yZXYueG1sUEsBAhQAFAAAAAgA&#10;h07iQG9MqurrAQAAtgMAAA4AAAAAAAAAAQAgAAAAKAEAAGRycy9lMm9Eb2MueG1sUEsFBgAAAAAG&#10;AAYAWQEAAIUFAAAAAA==&#10;">
                <v:fill on="f" focussize="0,0"/>
                <v:stroke weight="2.25pt" color="#0CF946 [3205]" miterlimit="8" joinstyle="miter"/>
                <v:imagedata o:title=""/>
                <o:lock v:ext="edit" aspectratio="f"/>
              </v:line>
            </w:pict>
          </mc:Fallback>
        </mc:AlternateContent>
      </w:r>
    </w:p>
    <w:p w14:paraId="14D1E833">
      <w:pPr>
        <w:pStyle w:val="20"/>
        <w:ind w:left="0" w:leftChars="0" w:firstLine="0" w:firstLineChars="0"/>
        <w:jc w:val="center"/>
        <w:rPr>
          <w:rFonts w:hint="eastAsia" w:hAnsi="Times New Roman" w:cs="Times New Roman"/>
          <w:b/>
          <w:color w:val="auto"/>
          <w:spacing w:val="0"/>
          <w:w w:val="100"/>
          <w:sz w:val="28"/>
          <w:lang w:val="en-US" w:eastAsia="zh-CN"/>
        </w:rPr>
      </w:pPr>
      <w:r>
        <w:rPr>
          <w:sz w:val="28"/>
        </w:rPr>
        <mc:AlternateContent>
          <mc:Choice Requires="wps">
            <w:drawing>
              <wp:anchor distT="0" distB="0" distL="114300" distR="114300" simplePos="0" relativeHeight="251693056" behindDoc="0" locked="0" layoutInCell="1" allowOverlap="1">
                <wp:simplePos x="0" y="0"/>
                <wp:positionH relativeFrom="column">
                  <wp:posOffset>5126355</wp:posOffset>
                </wp:positionH>
                <wp:positionV relativeFrom="paragraph">
                  <wp:posOffset>165100</wp:posOffset>
                </wp:positionV>
                <wp:extent cx="415290" cy="134620"/>
                <wp:effectExtent l="6350" t="6350" r="20320" b="11430"/>
                <wp:wrapNone/>
                <wp:docPr id="28" name="矩形 28"/>
                <wp:cNvGraphicFramePr/>
                <a:graphic xmlns:a="http://schemas.openxmlformats.org/drawingml/2006/main">
                  <a:graphicData uri="http://schemas.microsoft.com/office/word/2010/wordprocessingShape">
                    <wps:wsp>
                      <wps:cNvSpPr/>
                      <wps:spPr>
                        <a:xfrm>
                          <a:off x="5546090" y="8039100"/>
                          <a:ext cx="415290" cy="134620"/>
                        </a:xfrm>
                        <a:prstGeom prst="rect">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3.65pt;margin-top:13pt;height:10.6pt;width:32.7pt;z-index:251693056;v-text-anchor:middle;mso-width-relative:page;mso-height-relative:page;" fillcolor="#00B050" filled="t" stroked="t" coordsize="21600,21600" o:gfxdata="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&#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irv17YAAAACQEAAA8AAAAAAAAAAQAgAAAAIgAAAGRy&#10;cy9kb3ducmV2LnhtbFBLAQIUABQAAAAIAIdO4kDR5A+SdwIAAAEFAAAOAAAAAAAAAAEAIAAAACcB&#10;AABkcnMvZTJvRG9jLnhtbFBLBQYAAAAABgAGAFkBAAAQBgAAAAA=&#10;">
                <v:fill on="t" focussize="0,0"/>
                <v:stroke weight="1pt" color="#00B050 [2404]" miterlimit="8" joinstyle="miter"/>
                <v:imagedata o:title=""/>
                <o:lock v:ext="edit" aspectratio="f"/>
              </v:rect>
            </w:pict>
          </mc:Fallback>
        </mc:AlternateContent>
      </w:r>
      <w:r>
        <w:rPr>
          <w:color w:val="auto"/>
          <w:sz w:val="28"/>
        </w:rPr>
        <mc:AlternateContent>
          <mc:Choice Requires="wps">
            <w:drawing>
              <wp:anchor distT="0" distB="0" distL="114300" distR="114300" simplePos="0" relativeHeight="251675648" behindDoc="0" locked="0" layoutInCell="1" allowOverlap="1">
                <wp:simplePos x="0" y="0"/>
                <wp:positionH relativeFrom="column">
                  <wp:posOffset>5033645</wp:posOffset>
                </wp:positionH>
                <wp:positionV relativeFrom="paragraph">
                  <wp:posOffset>343535</wp:posOffset>
                </wp:positionV>
                <wp:extent cx="1745615" cy="2794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745615" cy="279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367208">
                            <w:pPr>
                              <w:rPr>
                                <w:rFonts w:hint="default" w:eastAsiaTheme="minorEastAsia"/>
                                <w:b/>
                                <w:bCs/>
                                <w:color w:val="FFFF00"/>
                                <w:lang w:val="en-US" w:eastAsia="zh-CN"/>
                              </w:rPr>
                            </w:pPr>
                            <w:r>
                              <w:rPr>
                                <w:rFonts w:hint="eastAsia"/>
                                <w:b/>
                                <w:bCs/>
                                <w:color w:val="FFFF00"/>
                                <w:lang w:val="en-US" w:eastAsia="zh-CN"/>
                              </w:rPr>
                              <w:t>比例尺：1:10000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6.35pt;margin-top:27.05pt;height:22pt;width:137.45pt;z-index:251675648;mso-width-relative:page;mso-height-relative:page;" filled="f" stroked="f" coordsize="21600,21600" o:gfxdata="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PViJDcAAAACgEAAA8AAAAAAAAAAQAgAAAAIgAA&#10;AGRycy9kb3ducmV2LnhtbFBLAQIUABQAAAAIAIdO4kC0H9JEPQIAAGgEAAAOAAAAAAAAAAEAIAAA&#10;ACsBAABkcnMvZTJvRG9jLnhtbFBLBQYAAAAABgAGAFkBAADaBQAAAAA=&#10;">
                <v:fill on="f" focussize="0,0"/>
                <v:stroke on="f" weight="0.5pt"/>
                <v:imagedata o:title=""/>
                <o:lock v:ext="edit" aspectratio="f"/>
                <v:textbox>
                  <w:txbxContent>
                    <w:p w14:paraId="5E367208">
                      <w:pPr>
                        <w:rPr>
                          <w:rFonts w:hint="default" w:eastAsiaTheme="minorEastAsia"/>
                          <w:b/>
                          <w:bCs/>
                          <w:color w:val="FFFF00"/>
                          <w:lang w:val="en-US" w:eastAsia="zh-CN"/>
                        </w:rPr>
                      </w:pPr>
                      <w:r>
                        <w:rPr>
                          <w:rFonts w:hint="eastAsia"/>
                          <w:b/>
                          <w:bCs/>
                          <w:color w:val="FFFF00"/>
                          <w:lang w:val="en-US" w:eastAsia="zh-CN"/>
                        </w:rPr>
                        <w:t>比例尺：1:10000</w:t>
                      </w:r>
                    </w:p>
                  </w:txbxContent>
                </v:textbox>
              </v:shape>
            </w:pict>
          </mc:Fallback>
        </mc:AlternateContent>
      </w:r>
      <w:r>
        <w:rPr>
          <w:color w:val="auto"/>
          <w:sz w:val="28"/>
        </w:rPr>
        <mc:AlternateContent>
          <mc:Choice Requires="wps">
            <w:drawing>
              <wp:anchor distT="0" distB="0" distL="114300" distR="114300" simplePos="0" relativeHeight="251678720" behindDoc="0" locked="0" layoutInCell="1" allowOverlap="1">
                <wp:simplePos x="0" y="0"/>
                <wp:positionH relativeFrom="column">
                  <wp:posOffset>5571490</wp:posOffset>
                </wp:positionH>
                <wp:positionV relativeFrom="paragraph">
                  <wp:posOffset>73025</wp:posOffset>
                </wp:positionV>
                <wp:extent cx="939800" cy="27940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939800" cy="279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DD940E">
                            <w:pPr>
                              <w:rPr>
                                <w:rFonts w:hint="default" w:eastAsiaTheme="minorEastAsia"/>
                                <w:b/>
                                <w:bCs/>
                                <w:color w:val="FFFF00"/>
                                <w:lang w:val="en-US" w:eastAsia="zh-CN"/>
                              </w:rPr>
                            </w:pPr>
                            <w:r>
                              <w:rPr>
                                <w:rFonts w:hint="eastAsia"/>
                                <w:b/>
                                <w:bCs/>
                                <w:color w:val="FFFF00"/>
                                <w:lang w:val="en-US" w:eastAsia="zh-CN"/>
                              </w:rPr>
                              <w:t>评价河段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8.7pt;margin-top:5.75pt;height:22pt;width:74pt;z-index:251678720;mso-width-relative:page;mso-height-relative:page;" filled="f" stroked="f" coordsize="21600,21600" o:gfxdata="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AAJqm9kAAAAKAQAADwAAAAAAAAABACAAAAAiAAAAZHJz&#10;L2Rvd25yZXYueG1sUEsBAhQAFAAAAAgAh07iQND8WCQ8AgAAZwQAAA4AAAAAAAAAAQAgAAAAKAEA&#10;AGRycy9lMm9Eb2MueG1sUEsFBgAAAAAGAAYAWQEAANYFAAAAAA==&#10;">
                <v:fill on="f" focussize="0,0"/>
                <v:stroke on="f" weight="0.5pt"/>
                <v:imagedata o:title=""/>
                <o:lock v:ext="edit" aspectratio="f"/>
                <v:textbox>
                  <w:txbxContent>
                    <w:p w14:paraId="55DD940E">
                      <w:pPr>
                        <w:rPr>
                          <w:rFonts w:hint="default" w:eastAsiaTheme="minorEastAsia"/>
                          <w:b/>
                          <w:bCs/>
                          <w:color w:val="FFFF00"/>
                          <w:lang w:val="en-US" w:eastAsia="zh-CN"/>
                        </w:rPr>
                      </w:pPr>
                      <w:r>
                        <w:rPr>
                          <w:rFonts w:hint="eastAsia"/>
                          <w:b/>
                          <w:bCs/>
                          <w:color w:val="FFFF00"/>
                          <w:lang w:val="en-US" w:eastAsia="zh-CN"/>
                        </w:rPr>
                        <w:t>评价河段</w:t>
                      </w:r>
                    </w:p>
                  </w:txbxContent>
                </v:textbox>
              </v:shape>
            </w:pict>
          </mc:Fallback>
        </mc:AlternateContent>
      </w:r>
    </w:p>
    <w:p w14:paraId="535CC443">
      <w:pPr>
        <w:pStyle w:val="20"/>
        <w:ind w:left="0" w:leftChars="0" w:firstLine="0" w:firstLineChars="0"/>
        <w:jc w:val="center"/>
        <w:rPr>
          <w:rFonts w:hint="eastAsia" w:hAnsi="Times New Roman" w:cs="Times New Roman"/>
          <w:b/>
          <w:color w:val="auto"/>
          <w:spacing w:val="0"/>
          <w:w w:val="100"/>
          <w:sz w:val="28"/>
          <w:lang w:val="en-US" w:eastAsia="zh-CN"/>
        </w:rPr>
      </w:pPr>
    </w:p>
    <w:p w14:paraId="3956BCA9">
      <w:pPr>
        <w:pStyle w:val="20"/>
        <w:ind w:left="0" w:leftChars="0" w:firstLine="0" w:firstLineChars="0"/>
        <w:jc w:val="center"/>
        <w:rPr>
          <w:rFonts w:hint="eastAsia" w:ascii="Times New Roman" w:hAnsi="Times New Roman" w:cs="Times New Roman" w:eastAsiaTheme="minorEastAsia"/>
          <w:b/>
          <w:color w:val="auto"/>
          <w:spacing w:val="0"/>
          <w:w w:val="100"/>
          <w:sz w:val="28"/>
          <w:lang w:val="en-US" w:eastAsia="zh-CN"/>
        </w:rPr>
      </w:pPr>
      <w:r>
        <w:rPr>
          <w:rFonts w:hint="eastAsia" w:hAnsi="Times New Roman" w:cs="Times New Roman"/>
          <w:b/>
          <w:color w:val="auto"/>
          <w:spacing w:val="0"/>
          <w:w w:val="100"/>
          <w:sz w:val="28"/>
          <w:lang w:val="en-US" w:eastAsia="zh-CN"/>
        </w:rPr>
        <w:t>图4  项目地表水评价范围</w:t>
      </w:r>
      <w:r>
        <w:rPr>
          <w:rFonts w:hint="eastAsia" w:ascii="Times New Roman" w:hAnsi="Times New Roman" w:cs="Times New Roman" w:eastAsiaTheme="minorEastAsia"/>
          <w:b/>
          <w:color w:val="auto"/>
          <w:spacing w:val="0"/>
          <w:w w:val="100"/>
          <w:sz w:val="28"/>
          <w:lang w:val="en-US" w:eastAsia="zh-CN"/>
        </w:rPr>
        <w:t>图</w:t>
      </w:r>
    </w:p>
    <w:p w14:paraId="043A0A5F">
      <w:pPr>
        <w:rPr>
          <w:rFonts w:hint="eastAsia" w:ascii="Times New Roman" w:hAnsi="Times New Roman" w:cs="Times New Roman" w:eastAsiaTheme="minorEastAsia"/>
          <w:b/>
          <w:color w:val="auto"/>
          <w:spacing w:val="0"/>
          <w:w w:val="100"/>
          <w:sz w:val="28"/>
          <w:lang w:val="en-US" w:eastAsia="zh-CN"/>
        </w:rPr>
      </w:pPr>
      <w:r>
        <w:rPr>
          <w:rFonts w:hint="eastAsia" w:ascii="Times New Roman" w:hAnsi="Times New Roman" w:cs="Times New Roman" w:eastAsiaTheme="minorEastAsia"/>
          <w:b/>
          <w:color w:val="auto"/>
          <w:spacing w:val="0"/>
          <w:w w:val="100"/>
          <w:sz w:val="28"/>
          <w:lang w:val="en-US" w:eastAsia="zh-CN"/>
        </w:rPr>
        <w:br w:type="page"/>
      </w:r>
    </w:p>
    <w:p w14:paraId="330AD945">
      <w:pPr>
        <w:rPr>
          <w:rFonts w:hint="eastAsia" w:ascii="Times New Roman" w:hAnsi="Times New Roman"/>
          <w:sz w:val="24"/>
          <w:szCs w:val="24"/>
        </w:rPr>
      </w:pPr>
      <w:bookmarkStart w:id="68" w:name="_Hlk76739541"/>
      <w:r>
        <w:rPr>
          <w:rFonts w:hint="default" w:ascii="Times New Roman" w:hAnsi="Times New Roman" w:cs="Times New Roman"/>
          <w:color w:val="auto"/>
          <w:spacing w:val="0"/>
          <w:w w:val="100"/>
          <w:sz w:val="24"/>
        </w:rPr>
        <mc:AlternateContent>
          <mc:Choice Requires="wps">
            <w:drawing>
              <wp:anchor distT="0" distB="0" distL="114300" distR="114300" simplePos="0" relativeHeight="251687936" behindDoc="0" locked="0" layoutInCell="1" allowOverlap="1">
                <wp:simplePos x="0" y="0"/>
                <wp:positionH relativeFrom="column">
                  <wp:posOffset>1834515</wp:posOffset>
                </wp:positionH>
                <wp:positionV relativeFrom="paragraph">
                  <wp:posOffset>3984625</wp:posOffset>
                </wp:positionV>
                <wp:extent cx="1143000" cy="306070"/>
                <wp:effectExtent l="4445" t="4445" r="498475" b="9525"/>
                <wp:wrapNone/>
                <wp:docPr id="22" name="矩形标注 22"/>
                <wp:cNvGraphicFramePr/>
                <a:graphic xmlns:a="http://schemas.openxmlformats.org/drawingml/2006/main">
                  <a:graphicData uri="http://schemas.microsoft.com/office/word/2010/wordprocessingShape">
                    <wps:wsp>
                      <wps:cNvSpPr/>
                      <wps:spPr>
                        <a:xfrm>
                          <a:off x="0" y="0"/>
                          <a:ext cx="1143000" cy="306070"/>
                        </a:xfrm>
                        <a:prstGeom prst="wedgeRectCallout">
                          <a:avLst>
                            <a:gd name="adj1" fmla="val 89777"/>
                            <a:gd name="adj2" fmla="val -45435"/>
                          </a:avLst>
                        </a:prstGeom>
                        <a:solidFill>
                          <a:srgbClr val="FFFFFF"/>
                        </a:solidFill>
                        <a:ln w="9525" cap="flat" cmpd="sng">
                          <a:solidFill>
                            <a:srgbClr val="000000"/>
                          </a:solidFill>
                          <a:prstDash val="solid"/>
                          <a:miter/>
                          <a:headEnd type="none" w="med" len="med"/>
                          <a:tailEnd type="none" w="med" len="med"/>
                        </a:ln>
                      </wps:spPr>
                      <wps:txbx>
                        <w:txbxContent>
                          <w:p w14:paraId="5C9669BA">
                            <w:pPr>
                              <w:rPr>
                                <w:rFonts w:hint="eastAsia" w:eastAsia="宋体"/>
                                <w:lang w:eastAsia="zh-CN"/>
                              </w:rPr>
                            </w:pPr>
                            <w:r>
                              <w:rPr>
                                <w:rFonts w:hint="eastAsia"/>
                                <w:lang w:eastAsia="zh-CN"/>
                              </w:rPr>
                              <w:t>本项目所在地</w:t>
                            </w:r>
                          </w:p>
                        </w:txbxContent>
                      </wps:txbx>
                      <wps:bodyPr upright="1"/>
                    </wps:wsp>
                  </a:graphicData>
                </a:graphic>
              </wp:anchor>
            </w:drawing>
          </mc:Choice>
          <mc:Fallback>
            <w:pict>
              <v:shape id="_x0000_s1026" o:spid="_x0000_s1026" o:spt="61" type="#_x0000_t61" style="position:absolute;left:0pt;margin-left:144.45pt;margin-top:313.75pt;height:24.1pt;width:90pt;z-index:251687936;mso-width-relative:page;mso-height-relative:page;" fillcolor="#FFFFFF" filled="t" stroked="t" coordsize="21600,21600" o:gfxdata="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IIhfv2wAAAAsBAAAPAAAAAAAAAAEAIAAAACIA&#10;AABkcnMvZG93bnJldi54bWxQSwECFAAUAAAACACHTuJAjstqSD8CAACPBAAADgAAAAAAAAABACAA&#10;AAAqAQAAZHJzL2Uyb0RvYy54bWxQSwUGAAAAAAYABgBZAQAA2wUAAAAA&#10;" adj="30192,986">
                <v:fill on="t" focussize="0,0"/>
                <v:stroke color="#000000" joinstyle="miter"/>
                <v:imagedata o:title=""/>
                <o:lock v:ext="edit" aspectratio="f"/>
                <v:textbox>
                  <w:txbxContent>
                    <w:p w14:paraId="5C9669BA">
                      <w:pPr>
                        <w:rPr>
                          <w:rFonts w:hint="eastAsia" w:eastAsia="宋体"/>
                          <w:lang w:eastAsia="zh-CN"/>
                        </w:rPr>
                      </w:pPr>
                      <w:r>
                        <w:rPr>
                          <w:rFonts w:hint="eastAsia"/>
                          <w:lang w:eastAsia="zh-CN"/>
                        </w:rPr>
                        <w:t>本项目所在地</w:t>
                      </w:r>
                    </w:p>
                  </w:txbxContent>
                </v:textbox>
              </v:shape>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3456940</wp:posOffset>
                </wp:positionH>
                <wp:positionV relativeFrom="paragraph">
                  <wp:posOffset>3926840</wp:posOffset>
                </wp:positionV>
                <wp:extent cx="75565" cy="75565"/>
                <wp:effectExtent l="6350" t="6350" r="9525" b="9525"/>
                <wp:wrapNone/>
                <wp:docPr id="21" name="椭圆 21"/>
                <wp:cNvGraphicFramePr/>
                <a:graphic xmlns:a="http://schemas.openxmlformats.org/drawingml/2006/main">
                  <a:graphicData uri="http://schemas.microsoft.com/office/word/2010/wordprocessingShape">
                    <wps:wsp>
                      <wps:cNvSpPr/>
                      <wps:spPr>
                        <a:xfrm>
                          <a:off x="3831590" y="4185285"/>
                          <a:ext cx="75565" cy="75565"/>
                        </a:xfrm>
                        <a:prstGeom prst="ellipse">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2.2pt;margin-top:309.2pt;height:5.95pt;width:5.95pt;z-index:251686912;v-text-anchor:middle;mso-width-relative:page;mso-height-relative:page;" fillcolor="#FFFF00" filled="t" stroked="t" coordsize="21600,21600" o:gfxdata="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JwnMrYAAAA&#10;CwEAAA8AAAAAAAAAAQAgAAAAIgAAAGRycy9kb3ducmV2LnhtbFBLAQIUABQAAAAIAIdO4kBpAU53&#10;jwIAACQFAAAOAAAAAAAAAAEAIAAAACcBAABkcnMvZTJvRG9jLnhtbFBLBQYAAAAABgAGAFkBAAAo&#10;BgAAAAA=&#10;">
                <v:fill on="t" focussize="0,0"/>
                <v:stroke weight="1pt" color="#2E75B6 [2404]" miterlimit="8" joinstyle="miter"/>
                <v:imagedata o:title=""/>
                <o:lock v:ext="edit" aspectratio="f"/>
              </v:shape>
            </w:pict>
          </mc:Fallback>
        </mc:AlternateContent>
      </w:r>
      <w:r>
        <w:rPr>
          <w:rFonts w:ascii="Times New Roman" w:hAnsi="Times New Roman"/>
          <w:sz w:val="24"/>
          <w:szCs w:val="24"/>
        </w:rPr>
        <w:drawing>
          <wp:inline distT="0" distB="0" distL="0" distR="0">
            <wp:extent cx="6513195" cy="948309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1" cstate="print">
                      <a:extLst>
                        <a:ext uri="{28A0092B-C50C-407E-A947-70E740481C1C}">
                          <a14:useLocalDpi xmlns:a14="http://schemas.microsoft.com/office/drawing/2010/main" val="0"/>
                        </a:ext>
                      </a:extLst>
                    </a:blip>
                    <a:srcRect t="4927"/>
                    <a:stretch>
                      <a:fillRect/>
                    </a:stretch>
                  </pic:blipFill>
                  <pic:spPr>
                    <a:xfrm>
                      <a:off x="0" y="0"/>
                      <a:ext cx="6513195" cy="9483090"/>
                    </a:xfrm>
                    <a:prstGeom prst="rect">
                      <a:avLst/>
                    </a:prstGeom>
                    <a:noFill/>
                  </pic:spPr>
                </pic:pic>
              </a:graphicData>
            </a:graphic>
          </wp:inline>
        </w:drawing>
      </w:r>
      <w:bookmarkEnd w:id="68"/>
      <w:r>
        <w:rPr>
          <w:rFonts w:hint="default" w:ascii="Times New Roman" w:hAnsi="Times New Roman" w:cs="Times New Roman"/>
          <w:color w:val="auto"/>
          <w:spacing w:val="0"/>
          <w:w w:val="100"/>
          <w:sz w:val="24"/>
        </w:rPr>
        <mc:AlternateContent>
          <mc:Choice Requires="wps">
            <w:drawing>
              <wp:anchor distT="0" distB="0" distL="114300" distR="114300" simplePos="0" relativeHeight="251691008" behindDoc="0" locked="0" layoutInCell="1" allowOverlap="1">
                <wp:simplePos x="0" y="0"/>
                <wp:positionH relativeFrom="column">
                  <wp:posOffset>9284335</wp:posOffset>
                </wp:positionH>
                <wp:positionV relativeFrom="paragraph">
                  <wp:posOffset>8934450</wp:posOffset>
                </wp:positionV>
                <wp:extent cx="1143000" cy="306070"/>
                <wp:effectExtent l="4445" t="4445" r="498475" b="9525"/>
                <wp:wrapNone/>
                <wp:docPr id="30" name="矩形标注 30"/>
                <wp:cNvGraphicFramePr/>
                <a:graphic xmlns:a="http://schemas.openxmlformats.org/drawingml/2006/main">
                  <a:graphicData uri="http://schemas.microsoft.com/office/word/2010/wordprocessingShape">
                    <wps:wsp>
                      <wps:cNvSpPr/>
                      <wps:spPr>
                        <a:xfrm>
                          <a:off x="0" y="0"/>
                          <a:ext cx="1143000" cy="306070"/>
                        </a:xfrm>
                        <a:prstGeom prst="wedgeRectCallout">
                          <a:avLst>
                            <a:gd name="adj1" fmla="val 89777"/>
                            <a:gd name="adj2" fmla="val -45435"/>
                          </a:avLst>
                        </a:prstGeom>
                        <a:solidFill>
                          <a:srgbClr val="FFFFFF"/>
                        </a:solidFill>
                        <a:ln w="9525" cap="flat" cmpd="sng">
                          <a:solidFill>
                            <a:srgbClr val="000000"/>
                          </a:solidFill>
                          <a:prstDash val="solid"/>
                          <a:miter/>
                          <a:headEnd type="none" w="med" len="med"/>
                          <a:tailEnd type="none" w="med" len="med"/>
                        </a:ln>
                      </wps:spPr>
                      <wps:txbx>
                        <w:txbxContent>
                          <w:p w14:paraId="351C46D9">
                            <w:pPr>
                              <w:rPr>
                                <w:rFonts w:hint="eastAsia" w:eastAsia="宋体"/>
                                <w:lang w:eastAsia="zh-CN"/>
                              </w:rPr>
                            </w:pPr>
                            <w:r>
                              <w:rPr>
                                <w:rFonts w:hint="eastAsia"/>
                                <w:lang w:eastAsia="zh-CN"/>
                              </w:rPr>
                              <w:t>本项目所在地</w:t>
                            </w:r>
                          </w:p>
                        </w:txbxContent>
                      </wps:txbx>
                      <wps:bodyPr upright="1"/>
                    </wps:wsp>
                  </a:graphicData>
                </a:graphic>
              </wp:anchor>
            </w:drawing>
          </mc:Choice>
          <mc:Fallback>
            <w:pict>
              <v:shape id="_x0000_s1026" o:spid="_x0000_s1026" o:spt="61" type="#_x0000_t61" style="position:absolute;left:0pt;margin-left:731.05pt;margin-top:703.5pt;height:24.1pt;width:90pt;z-index:251691008;mso-width-relative:page;mso-height-relative:page;" fillcolor="#FFFFFF" filled="t" stroked="t" coordsize="21600,21600" o:gfxdata="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4QFQw2QAAAA8BAAAPAAAAAAAAAAEAIAAAACIAAABk&#10;cnMvZG93bnJldi54bWxQSwECFAAUAAAACACHTuJAH7+VdD4CAACPBAAADgAAAAAAAAABACAAAAAo&#10;AQAAZHJzL2Uyb0RvYy54bWxQSwUGAAAAAAYABgBZAQAA2AUAAAAA&#10;" adj="30192,986">
                <v:fill on="t" focussize="0,0"/>
                <v:stroke color="#000000" joinstyle="miter"/>
                <v:imagedata o:title=""/>
                <o:lock v:ext="edit" aspectratio="f"/>
                <v:textbox>
                  <w:txbxContent>
                    <w:p w14:paraId="351C46D9">
                      <w:pPr>
                        <w:rPr>
                          <w:rFonts w:hint="eastAsia" w:eastAsia="宋体"/>
                          <w:lang w:eastAsia="zh-CN"/>
                        </w:rPr>
                      </w:pPr>
                      <w:r>
                        <w:rPr>
                          <w:rFonts w:hint="eastAsia"/>
                          <w:lang w:eastAsia="zh-CN"/>
                        </w:rPr>
                        <w:t>本项目所在地</w:t>
                      </w:r>
                    </w:p>
                  </w:txbxContent>
                </v:textbox>
              </v:shape>
            </w:pict>
          </mc:Fallback>
        </mc:AlternateContent>
      </w:r>
    </w:p>
    <w:p w14:paraId="423DF978">
      <w:pPr>
        <w:jc w:val="center"/>
        <w:rPr>
          <w:rFonts w:ascii="Times New Roman" w:hAnsi="Times New Roman"/>
          <w:b/>
          <w:sz w:val="24"/>
          <w:szCs w:val="24"/>
        </w:rPr>
        <w:sectPr>
          <w:pgSz w:w="11906" w:h="16838"/>
          <w:pgMar w:top="68" w:right="68" w:bottom="68" w:left="635" w:header="57" w:footer="6" w:gutter="0"/>
          <w:cols w:space="425" w:num="1"/>
          <w:docGrid w:type="lines" w:linePitch="312" w:charSpace="0"/>
        </w:sectPr>
      </w:pPr>
      <w:r>
        <w:rPr>
          <w:rFonts w:ascii="Times New Roman" w:hAnsi="Times New Roman"/>
          <w:b/>
          <w:sz w:val="24"/>
          <w:szCs w:val="24"/>
        </w:rPr>
        <w:t>图</w:t>
      </w:r>
      <w:r>
        <w:rPr>
          <w:rFonts w:hint="eastAsia" w:ascii="Times New Roman" w:hAnsi="Times New Roman"/>
          <w:b/>
          <w:sz w:val="24"/>
          <w:szCs w:val="24"/>
          <w:lang w:val="en-US" w:eastAsia="zh-CN"/>
        </w:rPr>
        <w:t>5</w:t>
      </w:r>
      <w:r>
        <w:rPr>
          <w:rFonts w:ascii="Times New Roman" w:hAnsi="Times New Roman"/>
          <w:b/>
          <w:sz w:val="24"/>
          <w:szCs w:val="24"/>
        </w:rPr>
        <w:t xml:space="preserve">  </w:t>
      </w:r>
      <w:r>
        <w:rPr>
          <w:rFonts w:hint="eastAsia" w:ascii="Times New Roman" w:hAnsi="Times New Roman"/>
          <w:b/>
          <w:sz w:val="24"/>
          <w:szCs w:val="24"/>
          <w:lang w:val="en-US" w:eastAsia="zh-CN"/>
        </w:rPr>
        <w:t>本项目与</w:t>
      </w:r>
      <w:r>
        <w:rPr>
          <w:rFonts w:hint="eastAsia" w:ascii="Times New Roman" w:hAnsi="Times New Roman"/>
          <w:b/>
          <w:sz w:val="24"/>
          <w:szCs w:val="24"/>
        </w:rPr>
        <w:t>千</w:t>
      </w:r>
      <w:r>
        <w:rPr>
          <w:rFonts w:ascii="Times New Roman" w:hAnsi="Times New Roman"/>
          <w:b/>
          <w:sz w:val="24"/>
          <w:szCs w:val="24"/>
        </w:rPr>
        <w:t>河国家级水产种质资源保护区</w:t>
      </w:r>
      <w:r>
        <w:rPr>
          <w:rFonts w:hint="eastAsia" w:ascii="Times New Roman" w:hAnsi="Times New Roman"/>
          <w:b/>
          <w:sz w:val="24"/>
          <w:szCs w:val="24"/>
          <w:lang w:val="en-US" w:eastAsia="zh-CN"/>
        </w:rPr>
        <w:t>位置关系</w:t>
      </w:r>
      <w:r>
        <w:rPr>
          <w:rFonts w:ascii="Times New Roman" w:hAnsi="Times New Roman"/>
          <w:b/>
          <w:sz w:val="24"/>
          <w:szCs w:val="24"/>
        </w:rPr>
        <w:t>图</w:t>
      </w:r>
    </w:p>
    <w:p w14:paraId="08D31FDF">
      <w:pPr>
        <w:jc w:val="center"/>
        <w:rPr>
          <w:rFonts w:hint="eastAsia" w:ascii="Times New Roman" w:hAnsi="Times New Roman" w:eastAsiaTheme="minorEastAsia"/>
          <w:b/>
          <w:sz w:val="24"/>
          <w:szCs w:val="24"/>
          <w:lang w:eastAsia="zh-CN"/>
        </w:rPr>
      </w:pPr>
      <w:r>
        <w:rPr>
          <w:rFonts w:hint="default" w:ascii="Times New Roman" w:hAnsi="Times New Roman" w:cs="Times New Roman"/>
          <w:color w:val="auto"/>
          <w:spacing w:val="0"/>
          <w:w w:val="100"/>
          <w:sz w:val="24"/>
        </w:rPr>
        <mc:AlternateContent>
          <mc:Choice Requires="wps">
            <w:drawing>
              <wp:anchor distT="0" distB="0" distL="114300" distR="114300" simplePos="0" relativeHeight="251688960" behindDoc="0" locked="0" layoutInCell="1" allowOverlap="1">
                <wp:simplePos x="0" y="0"/>
                <wp:positionH relativeFrom="column">
                  <wp:posOffset>2818765</wp:posOffset>
                </wp:positionH>
                <wp:positionV relativeFrom="paragraph">
                  <wp:posOffset>2644140</wp:posOffset>
                </wp:positionV>
                <wp:extent cx="1143000" cy="306070"/>
                <wp:effectExtent l="4445" t="4445" r="498475" b="9525"/>
                <wp:wrapNone/>
                <wp:docPr id="24" name="矩形标注 24"/>
                <wp:cNvGraphicFramePr/>
                <a:graphic xmlns:a="http://schemas.openxmlformats.org/drawingml/2006/main">
                  <a:graphicData uri="http://schemas.microsoft.com/office/word/2010/wordprocessingShape">
                    <wps:wsp>
                      <wps:cNvSpPr/>
                      <wps:spPr>
                        <a:xfrm>
                          <a:off x="0" y="0"/>
                          <a:ext cx="1143000" cy="306070"/>
                        </a:xfrm>
                        <a:prstGeom prst="wedgeRectCallout">
                          <a:avLst>
                            <a:gd name="adj1" fmla="val 89777"/>
                            <a:gd name="adj2" fmla="val -45435"/>
                          </a:avLst>
                        </a:prstGeom>
                        <a:solidFill>
                          <a:srgbClr val="FFFFFF"/>
                        </a:solidFill>
                        <a:ln w="9525" cap="flat" cmpd="sng">
                          <a:solidFill>
                            <a:srgbClr val="000000"/>
                          </a:solidFill>
                          <a:prstDash val="solid"/>
                          <a:miter/>
                          <a:headEnd type="none" w="med" len="med"/>
                          <a:tailEnd type="none" w="med" len="med"/>
                        </a:ln>
                      </wps:spPr>
                      <wps:txbx>
                        <w:txbxContent>
                          <w:p w14:paraId="1647E8D2">
                            <w:pPr>
                              <w:rPr>
                                <w:rFonts w:hint="eastAsia" w:eastAsia="宋体"/>
                                <w:lang w:eastAsia="zh-CN"/>
                              </w:rPr>
                            </w:pPr>
                            <w:r>
                              <w:rPr>
                                <w:rFonts w:hint="eastAsia"/>
                                <w:lang w:eastAsia="zh-CN"/>
                              </w:rPr>
                              <w:t>本项目所在地</w:t>
                            </w:r>
                          </w:p>
                        </w:txbxContent>
                      </wps:txbx>
                      <wps:bodyPr upright="1"/>
                    </wps:wsp>
                  </a:graphicData>
                </a:graphic>
              </wp:anchor>
            </w:drawing>
          </mc:Choice>
          <mc:Fallback>
            <w:pict>
              <v:shape id="_x0000_s1026" o:spid="_x0000_s1026" o:spt="61" type="#_x0000_t61" style="position:absolute;left:0pt;margin-left:221.95pt;margin-top:208.2pt;height:24.1pt;width:90pt;z-index:251688960;mso-width-relative:page;mso-height-relative:page;" fillcolor="#FFFFFF" filled="t" stroked="t" coordsize="21600,21600" o:gfxdata="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YMxQ9oAAAALAQAADwAAAAAAAAABACAAAAAiAAAA&#10;ZHJzL2Rvd25yZXYueG1sUEsBAhQAFAAAAAgAh07iQCGKbC4+AgAAjwQAAA4AAAAAAAAAAQAgAAAA&#10;KQEAAGRycy9lMm9Eb2MueG1sUEsFBgAAAAAGAAYAWQEAANkFAAAAAA==&#10;" adj="30192,986">
                <v:fill on="t" focussize="0,0"/>
                <v:stroke color="#000000" joinstyle="miter"/>
                <v:imagedata o:title=""/>
                <o:lock v:ext="edit" aspectratio="f"/>
                <v:textbox>
                  <w:txbxContent>
                    <w:p w14:paraId="1647E8D2">
                      <w:pPr>
                        <w:rPr>
                          <w:rFonts w:hint="eastAsia" w:eastAsia="宋体"/>
                          <w:lang w:eastAsia="zh-CN"/>
                        </w:rPr>
                      </w:pPr>
                      <w:r>
                        <w:rPr>
                          <w:rFonts w:hint="eastAsia"/>
                          <w:lang w:eastAsia="zh-CN"/>
                        </w:rPr>
                        <w:t>本项目所在地</w:t>
                      </w:r>
                    </w:p>
                  </w:txbxContent>
                </v:textbox>
              </v:shape>
            </w:pict>
          </mc:Fallback>
        </mc:AlternateContent>
      </w:r>
      <w:r>
        <w:rPr>
          <w:rFonts w:hint="eastAsia" w:ascii="Times New Roman" w:hAnsi="Times New Roman" w:eastAsiaTheme="minorEastAsia"/>
          <w:b/>
          <w:sz w:val="24"/>
          <w:szCs w:val="24"/>
          <w:lang w:eastAsia="zh-CN"/>
        </w:rPr>
        <w:drawing>
          <wp:inline distT="0" distB="0" distL="114300" distR="114300">
            <wp:extent cx="10594975" cy="6208395"/>
            <wp:effectExtent l="0" t="0" r="12065" b="9525"/>
            <wp:docPr id="26" name="图片 26" descr="冯家山水库保护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冯家山水库保护范围图"/>
                    <pic:cNvPicPr>
                      <a:picLocks noChangeAspect="1"/>
                    </pic:cNvPicPr>
                  </pic:nvPicPr>
                  <pic:blipFill>
                    <a:blip r:embed="rId52"/>
                    <a:stretch>
                      <a:fillRect/>
                    </a:stretch>
                  </pic:blipFill>
                  <pic:spPr>
                    <a:xfrm>
                      <a:off x="0" y="0"/>
                      <a:ext cx="10594975" cy="6208395"/>
                    </a:xfrm>
                    <a:prstGeom prst="rect">
                      <a:avLst/>
                    </a:prstGeom>
                  </pic:spPr>
                </pic:pic>
              </a:graphicData>
            </a:graphic>
          </wp:inline>
        </w:drawing>
      </w:r>
      <w:r>
        <w:rPr>
          <w:sz w:val="24"/>
        </w:rPr>
        <mc:AlternateContent>
          <mc:Choice Requires="wps">
            <w:drawing>
              <wp:anchor distT="0" distB="0" distL="114300" distR="114300" simplePos="0" relativeHeight="251689984" behindDoc="0" locked="0" layoutInCell="1" allowOverlap="1">
                <wp:simplePos x="0" y="0"/>
                <wp:positionH relativeFrom="column">
                  <wp:posOffset>4425315</wp:posOffset>
                </wp:positionH>
                <wp:positionV relativeFrom="paragraph">
                  <wp:posOffset>2607945</wp:posOffset>
                </wp:positionV>
                <wp:extent cx="75565" cy="75565"/>
                <wp:effectExtent l="6350" t="6350" r="9525" b="9525"/>
                <wp:wrapNone/>
                <wp:docPr id="27" name="椭圆 27"/>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8.45pt;margin-top:205.35pt;height:5.95pt;width:5.95pt;z-index:251689984;v-text-anchor:middle;mso-width-relative:page;mso-height-relative:page;" fillcolor="#FFFF00" filled="t" stroked="t" coordsize="21600,21600" o:gfxdata="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KH5lx2AAAAAsBAAAPAAAAAAAAAAEA&#10;IAAAACIAAABkcnMvZG93bnJldi54bWxQSwECFAAUAAAACACHTuJAVzMbSYECAAAYBQAADgAAAAAA&#10;AAABACAAAAAnAQAAZHJzL2Uyb0RvYy54bWxQSwUGAAAAAAYABgBZAQAAGgYAAAAA&#10;">
                <v:fill on="t" focussize="0,0"/>
                <v:stroke weight="1pt" color="#2E75B6 [2404]" miterlimit="8" joinstyle="miter"/>
                <v:imagedata o:title=""/>
                <o:lock v:ext="edit" aspectratio="f"/>
              </v:shape>
            </w:pict>
          </mc:Fallback>
        </mc:AlternateContent>
      </w:r>
    </w:p>
    <w:p w14:paraId="11B94B0F">
      <w:pPr>
        <w:pStyle w:val="11"/>
        <w:jc w:val="center"/>
        <w:rPr>
          <w:rFonts w:ascii="Times New Roman" w:hAnsi="Times New Roman"/>
          <w:b/>
          <w:sz w:val="24"/>
          <w:szCs w:val="24"/>
        </w:rPr>
      </w:pPr>
      <w:r>
        <w:rPr>
          <w:rFonts w:ascii="Times New Roman" w:hAnsi="Times New Roman"/>
          <w:b/>
          <w:sz w:val="24"/>
          <w:szCs w:val="24"/>
        </w:rPr>
        <w:t>图</w:t>
      </w:r>
      <w:r>
        <w:rPr>
          <w:rFonts w:hint="eastAsia" w:ascii="Times New Roman" w:hAnsi="Times New Roman"/>
          <w:b/>
          <w:sz w:val="24"/>
          <w:szCs w:val="24"/>
          <w:lang w:val="en-US" w:eastAsia="zh-CN"/>
        </w:rPr>
        <w:t>6</w:t>
      </w:r>
      <w:r>
        <w:rPr>
          <w:rFonts w:ascii="Times New Roman" w:hAnsi="Times New Roman"/>
          <w:b/>
          <w:sz w:val="24"/>
          <w:szCs w:val="24"/>
        </w:rPr>
        <w:t xml:space="preserve">  </w:t>
      </w:r>
      <w:r>
        <w:rPr>
          <w:rFonts w:hint="eastAsia" w:ascii="Times New Roman" w:hAnsi="Times New Roman"/>
          <w:b/>
          <w:sz w:val="24"/>
          <w:szCs w:val="24"/>
          <w:lang w:val="en-US" w:eastAsia="zh-CN"/>
        </w:rPr>
        <w:t>本项目与冯家山水库</w:t>
      </w:r>
      <w:r>
        <w:rPr>
          <w:rFonts w:ascii="Times New Roman" w:hAnsi="Times New Roman"/>
          <w:b/>
          <w:sz w:val="24"/>
          <w:szCs w:val="24"/>
        </w:rPr>
        <w:t>保护区</w:t>
      </w:r>
      <w:r>
        <w:rPr>
          <w:rFonts w:hint="eastAsia" w:ascii="Times New Roman" w:hAnsi="Times New Roman"/>
          <w:b/>
          <w:sz w:val="24"/>
          <w:szCs w:val="24"/>
          <w:lang w:val="en-US" w:eastAsia="zh-CN"/>
        </w:rPr>
        <w:t>位置关系</w:t>
      </w:r>
      <w:r>
        <w:rPr>
          <w:rFonts w:ascii="Times New Roman" w:hAnsi="Times New Roman"/>
          <w:b/>
          <w:sz w:val="24"/>
          <w:szCs w:val="24"/>
        </w:rPr>
        <w:t>图</w:t>
      </w:r>
    </w:p>
    <w:p w14:paraId="3B9231DA">
      <w:pPr>
        <w:rPr>
          <w:rFonts w:ascii="Times New Roman" w:hAnsi="Times New Roman"/>
          <w:b/>
          <w:sz w:val="24"/>
          <w:szCs w:val="24"/>
        </w:rPr>
      </w:pPr>
      <w:r>
        <w:rPr>
          <w:rFonts w:ascii="Times New Roman" w:hAnsi="Times New Roman"/>
          <w:b/>
          <w:sz w:val="24"/>
          <w:szCs w:val="24"/>
        </w:rPr>
        <w:br w:type="page"/>
      </w:r>
    </w:p>
    <w:p w14:paraId="4B35CF8F">
      <w:pPr>
        <w:jc w:val="center"/>
        <w:rPr>
          <w:rFonts w:hint="default"/>
          <w:color w:val="auto"/>
          <w:lang w:val="en-US" w:eastAsia="zh-CN"/>
        </w:rPr>
      </w:pPr>
      <w:r>
        <w:rPr>
          <w:rFonts w:hint="default" w:ascii="Times New Roman" w:hAnsi="Times New Roman" w:cs="Times New Roman"/>
          <w:color w:val="auto"/>
          <w:spacing w:val="0"/>
          <w:w w:val="100"/>
          <w:sz w:val="24"/>
        </w:rPr>
        <mc:AlternateContent>
          <mc:Choice Requires="wps">
            <w:drawing>
              <wp:anchor distT="0" distB="0" distL="114300" distR="114300" simplePos="0" relativeHeight="251692032" behindDoc="0" locked="0" layoutInCell="1" allowOverlap="1">
                <wp:simplePos x="0" y="0"/>
                <wp:positionH relativeFrom="column">
                  <wp:posOffset>4903470</wp:posOffset>
                </wp:positionH>
                <wp:positionV relativeFrom="paragraph">
                  <wp:posOffset>2123440</wp:posOffset>
                </wp:positionV>
                <wp:extent cx="1143000" cy="306070"/>
                <wp:effectExtent l="4445" t="4445" r="10795" b="481965"/>
                <wp:wrapNone/>
                <wp:docPr id="32" name="矩形标注 32"/>
                <wp:cNvGraphicFramePr/>
                <a:graphic xmlns:a="http://schemas.openxmlformats.org/drawingml/2006/main">
                  <a:graphicData uri="http://schemas.microsoft.com/office/word/2010/wordprocessingShape">
                    <wps:wsp>
                      <wps:cNvSpPr/>
                      <wps:spPr>
                        <a:xfrm>
                          <a:off x="0" y="0"/>
                          <a:ext cx="1143000" cy="306070"/>
                        </a:xfrm>
                        <a:prstGeom prst="wedgeRectCallout">
                          <a:avLst>
                            <a:gd name="adj1" fmla="val -37777"/>
                            <a:gd name="adj2" fmla="val 200000"/>
                          </a:avLst>
                        </a:prstGeom>
                        <a:solidFill>
                          <a:srgbClr val="FFFFFF"/>
                        </a:solidFill>
                        <a:ln w="9525" cap="flat" cmpd="sng">
                          <a:solidFill>
                            <a:srgbClr val="000000"/>
                          </a:solidFill>
                          <a:prstDash val="solid"/>
                          <a:miter/>
                          <a:headEnd type="none" w="med" len="med"/>
                          <a:tailEnd type="none" w="med" len="med"/>
                        </a:ln>
                      </wps:spPr>
                      <wps:txbx>
                        <w:txbxContent>
                          <w:p w14:paraId="04419AA3">
                            <w:pPr>
                              <w:rPr>
                                <w:rFonts w:hint="eastAsia" w:eastAsia="宋体"/>
                                <w:lang w:eastAsia="zh-CN"/>
                              </w:rPr>
                            </w:pPr>
                            <w:r>
                              <w:rPr>
                                <w:rFonts w:hint="eastAsia"/>
                                <w:lang w:eastAsia="zh-CN"/>
                              </w:rPr>
                              <w:t>本项目所在地</w:t>
                            </w:r>
                          </w:p>
                        </w:txbxContent>
                      </wps:txbx>
                      <wps:bodyPr upright="1"/>
                    </wps:wsp>
                  </a:graphicData>
                </a:graphic>
              </wp:anchor>
            </w:drawing>
          </mc:Choice>
          <mc:Fallback>
            <w:pict>
              <v:shape id="_x0000_s1026" o:spid="_x0000_s1026" o:spt="61" type="#_x0000_t61" style="position:absolute;left:0pt;margin-left:386.1pt;margin-top:167.2pt;height:24.1pt;width:90pt;z-index:251692032;mso-width-relative:page;mso-height-relative:page;" fillcolor="#FFFFFF" filled="t" stroked="t" coordsize="21600,21600" o:gfxdata="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AVpSE2gAAAAsBAAAPAAAAAAAAAAEAIAAAACIAAABkcnMv&#10;ZG93bnJldi54bWxQSwECFAAUAAAACACHTuJAp+bg4DoCAACQBAAADgAAAAAAAAABACAAAAApAQAA&#10;ZHJzL2Uyb0RvYy54bWxQSwUGAAAAAAYABgBZAQAA1QUAAAAA&#10;" adj="2640,54000">
                <v:fill on="t" focussize="0,0"/>
                <v:stroke color="#000000" joinstyle="miter"/>
                <v:imagedata o:title=""/>
                <o:lock v:ext="edit" aspectratio="f"/>
                <v:textbox>
                  <w:txbxContent>
                    <w:p w14:paraId="04419AA3">
                      <w:pPr>
                        <w:rPr>
                          <w:rFonts w:hint="eastAsia" w:eastAsia="宋体"/>
                          <w:lang w:eastAsia="zh-CN"/>
                        </w:rPr>
                      </w:pPr>
                      <w:r>
                        <w:rPr>
                          <w:rFonts w:hint="eastAsia"/>
                          <w:lang w:eastAsia="zh-CN"/>
                        </w:rPr>
                        <w:t>本项目所在地</w:t>
                      </w:r>
                    </w:p>
                  </w:txbxContent>
                </v:textbox>
              </v:shape>
            </w:pict>
          </mc:Fallback>
        </mc:AlternateContent>
      </w:r>
      <w:r>
        <w:rPr>
          <w:rFonts w:hint="default"/>
          <w:color w:val="auto"/>
          <w:lang w:val="en-US" w:eastAsia="zh-CN"/>
        </w:rPr>
        <w:drawing>
          <wp:inline distT="0" distB="0" distL="114300" distR="114300">
            <wp:extent cx="8518525" cy="6688455"/>
            <wp:effectExtent l="0" t="0" r="635" b="1905"/>
            <wp:docPr id="29" name="图片 29" descr="项目与各种保护区位置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项目与各种保护区位置关系图"/>
                    <pic:cNvPicPr>
                      <a:picLocks noChangeAspect="1"/>
                    </pic:cNvPicPr>
                  </pic:nvPicPr>
                  <pic:blipFill>
                    <a:blip r:embed="rId53"/>
                    <a:stretch>
                      <a:fillRect/>
                    </a:stretch>
                  </pic:blipFill>
                  <pic:spPr>
                    <a:xfrm>
                      <a:off x="0" y="0"/>
                      <a:ext cx="8518525" cy="6688455"/>
                    </a:xfrm>
                    <a:prstGeom prst="rect">
                      <a:avLst/>
                    </a:prstGeom>
                  </pic:spPr>
                </pic:pic>
              </a:graphicData>
            </a:graphic>
          </wp:inline>
        </w:drawing>
      </w:r>
    </w:p>
    <w:p w14:paraId="78FA9CAA">
      <w:pPr>
        <w:jc w:val="center"/>
        <w:rPr>
          <w:rFonts w:hint="default"/>
          <w:color w:val="auto"/>
          <w:lang w:val="en-US" w:eastAsia="zh-CN"/>
        </w:rPr>
      </w:pPr>
      <w:r>
        <w:rPr>
          <w:rFonts w:ascii="Times New Roman" w:hAnsi="Times New Roman"/>
          <w:b/>
          <w:sz w:val="24"/>
          <w:szCs w:val="24"/>
        </w:rPr>
        <w:t>图</w:t>
      </w:r>
      <w:r>
        <w:rPr>
          <w:rFonts w:hint="eastAsia" w:ascii="Times New Roman" w:hAnsi="Times New Roman"/>
          <w:b/>
          <w:sz w:val="24"/>
          <w:szCs w:val="24"/>
          <w:lang w:val="en-US" w:eastAsia="zh-CN"/>
        </w:rPr>
        <w:t>7</w:t>
      </w:r>
      <w:r>
        <w:rPr>
          <w:rFonts w:ascii="Times New Roman" w:hAnsi="Times New Roman"/>
          <w:b/>
          <w:sz w:val="24"/>
          <w:szCs w:val="24"/>
        </w:rPr>
        <w:t xml:space="preserve">  </w:t>
      </w:r>
      <w:r>
        <w:rPr>
          <w:rFonts w:hint="eastAsia" w:ascii="Times New Roman" w:hAnsi="Times New Roman"/>
          <w:b/>
          <w:sz w:val="24"/>
          <w:szCs w:val="24"/>
          <w:lang w:val="en-US" w:eastAsia="zh-CN"/>
        </w:rPr>
        <w:t>本项目与</w:t>
      </w:r>
      <w:r>
        <w:rPr>
          <w:rFonts w:hint="eastAsia" w:ascii="Times New Roman" w:hAnsi="Times New Roman"/>
          <w:b/>
          <w:sz w:val="24"/>
          <w:szCs w:val="24"/>
        </w:rPr>
        <w:t>种质资源保护区、水源地、湿地公园、千湖湿地位置关系一览图</w:t>
      </w:r>
    </w:p>
    <w:sectPr>
      <w:headerReference r:id="rId16" w:type="default"/>
      <w:pgSz w:w="16838" w:h="11906" w:orient="landscape"/>
      <w:pgMar w:top="68" w:right="68" w:bottom="68" w:left="68" w:header="57" w:footer="6"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75C92726-21C1-48B6-A1B6-60573268760C}"/>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1C4BC504-32D9-4E24-B148-AD1DB60DFF05}"/>
  </w:font>
  <w:font w:name="新宋体-18030">
    <w:altName w:val="宋体"/>
    <w:panose1 w:val="00000000000000000000"/>
    <w:charset w:val="00"/>
    <w:family w:val="auto"/>
    <w:pitch w:val="default"/>
    <w:sig w:usb0="00000000" w:usb1="00000000" w:usb2="00000000" w:usb3="00000000" w:csb0="00040001" w:csb1="00000000"/>
  </w:font>
  <w:font w:name="仿宋_GB2312">
    <w:panose1 w:val="02010609030101010101"/>
    <w:charset w:val="86"/>
    <w:family w:val="auto"/>
    <w:pitch w:val="default"/>
    <w:sig w:usb0="00000001" w:usb1="080E0000" w:usb2="00000000" w:usb3="00000000" w:csb0="00040000" w:csb1="00000000"/>
    <w:embedRegular r:id="rId3" w:fontKey="{D1535955-31A8-451B-ABAC-20FCEB3F05DC}"/>
  </w:font>
  <w:font w:name="楷体">
    <w:panose1 w:val="02010609060101010101"/>
    <w:charset w:val="86"/>
    <w:family w:val="auto"/>
    <w:pitch w:val="default"/>
    <w:sig w:usb0="800002BF" w:usb1="38CF7CFA" w:usb2="00000016" w:usb3="00000000" w:csb0="00040001" w:csb1="00000000"/>
  </w:font>
  <w:font w:name="仿宋体">
    <w:altName w:val="宋体"/>
    <w:panose1 w:val="02010600030101010101"/>
    <w:charset w:val="86"/>
    <w:family w:val="roman"/>
    <w:pitch w:val="default"/>
    <w:sig w:usb0="00000000" w:usb1="00000000" w:usb2="00000010" w:usb3="00000000" w:csb0="00040000" w:csb1="0000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微软雅黑">
    <w:panose1 w:val="020B0503020204020204"/>
    <w:charset w:val="86"/>
    <w:family w:val="auto"/>
    <w:pitch w:val="default"/>
    <w:sig w:usb0="80000287" w:usb1="2ACF3C50" w:usb2="00000016" w:usb3="00000000" w:csb0="0004001F" w:csb1="00000000"/>
  </w:font>
  <w:font w:name="方正小标宋_GBK">
    <w:panose1 w:val="02000000000000000000"/>
    <w:charset w:val="86"/>
    <w:family w:val="auto"/>
    <w:pitch w:val="default"/>
    <w:sig w:usb0="A00002BF" w:usb1="38CF7CFA" w:usb2="00082016" w:usb3="00000000" w:csb0="00040001" w:csb1="00000000"/>
    <w:embedRegular r:id="rId4" w:fontKey="{86D754EA-506D-4809-AA77-5270054328FA}"/>
  </w:font>
  <w:font w:name="楷体_GB2312">
    <w:panose1 w:val="02010609030101010101"/>
    <w:charset w:val="86"/>
    <w:family w:val="auto"/>
    <w:pitch w:val="default"/>
    <w:sig w:usb0="00000001" w:usb1="080E0000" w:usb2="00000000" w:usb3="00000000" w:csb0="00040000" w:csb1="00000000"/>
    <w:embedRegular r:id="rId5" w:fontKey="{554DB13E-8CE1-4C88-9EF9-D5A452483367}"/>
  </w:font>
  <w:font w:name="华文仿宋">
    <w:panose1 w:val="02010600040101010101"/>
    <w:charset w:val="86"/>
    <w:family w:val="auto"/>
    <w:pitch w:val="default"/>
    <w:sig w:usb0="00000287" w:usb1="080F0000" w:usb2="00000000" w:usb3="00000000" w:csb0="0004009F" w:csb1="DFD70000"/>
    <w:embedRegular r:id="rId6" w:fontKey="{191874EF-15B6-403B-8980-5B3597F89C3C}"/>
  </w:font>
  <w:font w:name="仿宋">
    <w:panose1 w:val="02010609060101010101"/>
    <w:charset w:val="86"/>
    <w:family w:val="auto"/>
    <w:pitch w:val="default"/>
    <w:sig w:usb0="800002BF" w:usb1="38CF7CFA" w:usb2="00000016" w:usb3="00000000" w:csb0="00040001" w:csb1="00000000"/>
    <w:embedRegular r:id="rId7" w:fontKey="{26F4F81B-E26B-40E3-A9C3-5EA15C6B3980}"/>
  </w:font>
  <w:font w:name="新宋体">
    <w:panose1 w:val="02010609030101010101"/>
    <w:charset w:val="86"/>
    <w:family w:val="modern"/>
    <w:pitch w:val="default"/>
    <w:sig w:usb0="00000203" w:usb1="288F0000" w:usb2="00000006" w:usb3="00000000" w:csb0="00040001" w:csb1="00000000"/>
    <w:embedRegular r:id="rId8" w:fontKey="{6ED0D7A7-B279-4E20-894C-BE5B5A7EED92}"/>
  </w:font>
  <w:font w:name="Cambria Math">
    <w:panose1 w:val="02040503050406030204"/>
    <w:charset w:val="00"/>
    <w:family w:val="auto"/>
    <w:pitch w:val="default"/>
    <w:sig w:usb0="E00006FF" w:usb1="420024FF" w:usb2="02000000" w:usb3="00000000" w:csb0="2000019F" w:csb1="00000000"/>
    <w:embedRegular r:id="rId9" w:fontKey="{8B954DA6-96F8-4523-B383-C0822E4C26A1}"/>
  </w:font>
  <w:font w:name="TimesNewRomanPSMT">
    <w:altName w:val="Times New Roman"/>
    <w:panose1 w:val="00000000000000000000"/>
    <w:charset w:val="00"/>
    <w:family w:val="auto"/>
    <w:pitch w:val="default"/>
    <w:sig w:usb0="00000000" w:usb1="00000000" w:usb2="00000000" w:usb3="00000000" w:csb0="00040001" w:csb1="00000000"/>
    <w:embedRegular r:id="rId10" w:fontKey="{24C052B2-52A6-4DBC-B055-8CF0FE5AAB8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25F9B5">
    <w:pPr>
      <w:pStyle w:val="15"/>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E775A8">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3EE775A8">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50DF99">
    <w:pPr>
      <w:pStyle w:val="15"/>
    </w:pPr>
    <w:r>
      <w:rPr>
        <w:sz w:val="18"/>
      </w:rPr>
      <mc:AlternateContent>
        <mc:Choice Requires="wps">
          <w:drawing>
            <wp:anchor distT="0" distB="0" distL="114300" distR="114300" simplePos="0" relativeHeight="251661312" behindDoc="0" locked="0" layoutInCell="1" allowOverlap="1">
              <wp:simplePos x="0" y="0"/>
              <wp:positionH relativeFrom="margin">
                <wp:posOffset>2794000</wp:posOffset>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938600">
                          <w:pPr>
                            <w:pStyle w:val="15"/>
                            <w:rPr>
                              <w:rFonts w:hint="eastAsia" w:eastAsiaTheme="minorEastAsia"/>
                              <w:sz w:val="24"/>
                              <w:szCs w:val="24"/>
                              <w:lang w:eastAsia="zh-CN"/>
                            </w:rPr>
                          </w:pPr>
                          <w:r>
                            <w:rPr>
                              <w:rFonts w:hint="eastAsia"/>
                              <w:sz w:val="24"/>
                              <w:szCs w:val="24"/>
                              <w:lang w:eastAsia="zh-CN"/>
                            </w:rPr>
                            <w:fldChar w:fldCharType="begin"/>
                          </w:r>
                          <w:r>
                            <w:rPr>
                              <w:rFonts w:hint="eastAsia"/>
                              <w:sz w:val="24"/>
                              <w:szCs w:val="24"/>
                              <w:lang w:eastAsia="zh-CN"/>
                            </w:rPr>
                            <w:instrText xml:space="preserve"> PAGE  \* MERGEFORMAT </w:instrText>
                          </w:r>
                          <w:r>
                            <w:rPr>
                              <w:rFonts w:hint="eastAsia"/>
                              <w:sz w:val="24"/>
                              <w:szCs w:val="24"/>
                              <w:lang w:eastAsia="zh-CN"/>
                            </w:rPr>
                            <w:fldChar w:fldCharType="separate"/>
                          </w:r>
                          <w:r>
                            <w:rPr>
                              <w:rFonts w:hint="eastAsia"/>
                              <w:sz w:val="24"/>
                              <w:szCs w:val="24"/>
                              <w:lang w:eastAsia="zh-CN"/>
                            </w:rPr>
                            <w:t>9</w:t>
                          </w:r>
                          <w:r>
                            <w:rPr>
                              <w:rFonts w:hint="eastAsia"/>
                              <w:sz w:val="24"/>
                              <w:szCs w:val="24"/>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20pt;margin-top:0pt;height:144pt;width:144pt;mso-position-horizontal-relative:margin;mso-wrap-style:none;z-index:251661312;mso-width-relative:page;mso-height-relative:page;" filled="f" stroked="f" coordsize="21600,21600" o:gfxdata="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IedhVLVAAAACAEAAA8AAAAAAAAAAQAgAAAAIgAAAGRycy9kb3ducmV2LnhtbFBL&#10;AQIUABQAAAAIAIdO4kD1i4dkMgIAAGEEAAAOAAAAAAAAAAEAIAAAACQBAABkcnMvZTJvRG9jLnht&#10;bFBLBQYAAAAABgAGAFkBAADIBQAAAAA=&#10;">
              <v:fill on="f" focussize="0,0"/>
              <v:stroke on="f" weight="0.5pt"/>
              <v:imagedata o:title=""/>
              <o:lock v:ext="edit" aspectratio="f"/>
              <v:textbox inset="0mm,0mm,0mm,0mm" style="mso-fit-shape-to-text:t;">
                <w:txbxContent>
                  <w:p w14:paraId="4D938600">
                    <w:pPr>
                      <w:pStyle w:val="15"/>
                      <w:rPr>
                        <w:rFonts w:hint="eastAsia" w:eastAsiaTheme="minorEastAsia"/>
                        <w:sz w:val="24"/>
                        <w:szCs w:val="24"/>
                        <w:lang w:eastAsia="zh-CN"/>
                      </w:rPr>
                    </w:pPr>
                    <w:r>
                      <w:rPr>
                        <w:rFonts w:hint="eastAsia"/>
                        <w:sz w:val="24"/>
                        <w:szCs w:val="24"/>
                        <w:lang w:eastAsia="zh-CN"/>
                      </w:rPr>
                      <w:fldChar w:fldCharType="begin"/>
                    </w:r>
                    <w:r>
                      <w:rPr>
                        <w:rFonts w:hint="eastAsia"/>
                        <w:sz w:val="24"/>
                        <w:szCs w:val="24"/>
                        <w:lang w:eastAsia="zh-CN"/>
                      </w:rPr>
                      <w:instrText xml:space="preserve"> PAGE  \* MERGEFORMAT </w:instrText>
                    </w:r>
                    <w:r>
                      <w:rPr>
                        <w:rFonts w:hint="eastAsia"/>
                        <w:sz w:val="24"/>
                        <w:szCs w:val="24"/>
                        <w:lang w:eastAsia="zh-CN"/>
                      </w:rPr>
                      <w:fldChar w:fldCharType="separate"/>
                    </w:r>
                    <w:r>
                      <w:rPr>
                        <w:rFonts w:hint="eastAsia"/>
                        <w:sz w:val="24"/>
                        <w:szCs w:val="24"/>
                        <w:lang w:eastAsia="zh-CN"/>
                      </w:rPr>
                      <w:t>9</w:t>
                    </w:r>
                    <w:r>
                      <w:rPr>
                        <w:rFonts w:hint="eastAsia"/>
                        <w:sz w:val="24"/>
                        <w:szCs w:val="24"/>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3BBFD0">
    <w:pPr>
      <w:pStyle w:val="1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51CE1C">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25</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5951CE1C">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25</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8780E7">
    <w:pPr>
      <w:pStyle w:val="15"/>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261620" cy="196850"/>
              <wp:effectExtent l="0" t="0" r="0" b="0"/>
              <wp:wrapNone/>
              <wp:docPr id="6" name="文本框 6"/>
              <wp:cNvGraphicFramePr/>
              <a:graphic xmlns:a="http://schemas.openxmlformats.org/drawingml/2006/main">
                <a:graphicData uri="http://schemas.microsoft.com/office/word/2010/wordprocessingShape">
                  <wps:wsp>
                    <wps:cNvSpPr txBox="1"/>
                    <wps:spPr>
                      <a:xfrm>
                        <a:off x="0" y="0"/>
                        <a:ext cx="261620" cy="196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B3C32A">
                          <w:pPr>
                            <w:pStyle w:val="15"/>
                            <w:rPr>
                              <w:rFonts w:hint="eastAsia" w:eastAsiaTheme="minorEastAsia"/>
                              <w:sz w:val="24"/>
                              <w:szCs w:val="24"/>
                              <w:lang w:eastAsia="zh-CN"/>
                            </w:rPr>
                          </w:pPr>
                          <w:r>
                            <w:rPr>
                              <w:rFonts w:hint="eastAsia"/>
                              <w:sz w:val="24"/>
                              <w:szCs w:val="24"/>
                              <w:lang w:eastAsia="zh-CN"/>
                            </w:rPr>
                            <w:fldChar w:fldCharType="begin"/>
                          </w:r>
                          <w:r>
                            <w:rPr>
                              <w:rFonts w:hint="eastAsia"/>
                              <w:sz w:val="24"/>
                              <w:szCs w:val="24"/>
                              <w:lang w:eastAsia="zh-CN"/>
                            </w:rPr>
                            <w:instrText xml:space="preserve"> PAGE  \* MERGEFORMAT </w:instrText>
                          </w:r>
                          <w:r>
                            <w:rPr>
                              <w:rFonts w:hint="eastAsia"/>
                              <w:sz w:val="24"/>
                              <w:szCs w:val="24"/>
                              <w:lang w:eastAsia="zh-CN"/>
                            </w:rPr>
                            <w:fldChar w:fldCharType="separate"/>
                          </w:r>
                          <w:r>
                            <w:rPr>
                              <w:rFonts w:hint="eastAsia"/>
                              <w:sz w:val="24"/>
                              <w:szCs w:val="24"/>
                              <w:lang w:eastAsia="zh-CN"/>
                            </w:rPr>
                            <w:t>43</w:t>
                          </w:r>
                          <w:r>
                            <w:rPr>
                              <w:rFonts w:hint="eastAsia"/>
                              <w:sz w:val="24"/>
                              <w:szCs w:val="24"/>
                              <w:lang w:eastAsia="zh-CN"/>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5.5pt;width:20.6pt;mso-position-horizontal:center;mso-position-horizontal-relative:margin;z-index:251660288;mso-width-relative:page;mso-height-relative:page;" filled="f" stroked="f" coordsize="21600,21600" o:gfxdata="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HKfeczTAAAAAwEAAA8AAAAAAAAAAQAgAAAAIgAAAGRycy9kb3ducmV2LnhtbFBL&#10;AQIUABQAAAAIAIdO4kC0J3oHNAIAAGEEAAAOAAAAAAAAAAEAIAAAACIBAABkcnMvZTJvRG9jLnht&#10;bFBLBQYAAAAABgAGAFkBAADIBQAAAAA=&#10;">
              <v:fill on="f" focussize="0,0"/>
              <v:stroke on="f" weight="0.5pt"/>
              <v:imagedata o:title=""/>
              <o:lock v:ext="edit" aspectratio="f"/>
              <v:textbox inset="0mm,0mm,0mm,0mm">
                <w:txbxContent>
                  <w:p w14:paraId="43B3C32A">
                    <w:pPr>
                      <w:pStyle w:val="15"/>
                      <w:rPr>
                        <w:rFonts w:hint="eastAsia" w:eastAsiaTheme="minorEastAsia"/>
                        <w:sz w:val="24"/>
                        <w:szCs w:val="24"/>
                        <w:lang w:eastAsia="zh-CN"/>
                      </w:rPr>
                    </w:pPr>
                    <w:r>
                      <w:rPr>
                        <w:rFonts w:hint="eastAsia"/>
                        <w:sz w:val="24"/>
                        <w:szCs w:val="24"/>
                        <w:lang w:eastAsia="zh-CN"/>
                      </w:rPr>
                      <w:fldChar w:fldCharType="begin"/>
                    </w:r>
                    <w:r>
                      <w:rPr>
                        <w:rFonts w:hint="eastAsia"/>
                        <w:sz w:val="24"/>
                        <w:szCs w:val="24"/>
                        <w:lang w:eastAsia="zh-CN"/>
                      </w:rPr>
                      <w:instrText xml:space="preserve"> PAGE  \* MERGEFORMAT </w:instrText>
                    </w:r>
                    <w:r>
                      <w:rPr>
                        <w:rFonts w:hint="eastAsia"/>
                        <w:sz w:val="24"/>
                        <w:szCs w:val="24"/>
                        <w:lang w:eastAsia="zh-CN"/>
                      </w:rPr>
                      <w:fldChar w:fldCharType="separate"/>
                    </w:r>
                    <w:r>
                      <w:rPr>
                        <w:rFonts w:hint="eastAsia"/>
                        <w:sz w:val="24"/>
                        <w:szCs w:val="24"/>
                        <w:lang w:eastAsia="zh-CN"/>
                      </w:rPr>
                      <w:t>43</w:t>
                    </w:r>
                    <w:r>
                      <w:rPr>
                        <w:rFonts w:hint="eastAsia"/>
                        <w:sz w:val="24"/>
                        <w:szCs w:val="24"/>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95D8BD">
    <w:pPr>
      <w:pStyle w:val="15"/>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4785" cy="18351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84785" cy="183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A72DFA">
                          <w:pPr>
                            <w:pStyle w:val="15"/>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56</w:t>
                          </w:r>
                          <w:r>
                            <w:rPr>
                              <w:sz w:val="24"/>
                              <w:szCs w:val="24"/>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4.45pt;width:14.55pt;mso-position-horizontal:center;mso-position-horizontal-relative:margin;z-index:251670528;mso-width-relative:page;mso-height-relative:page;" filled="f" stroked="f" coordsize="21600,21600" o:gfxdata="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3eQZa0gAAAAMBAAAPAAAAAAAAAAEAIAAAACIAAABkcnMvZG93bnJldi54&#10;bWxQSwECFAAUAAAACACHTuJA4F3fHTkCAABjBAAADgAAAAAAAAABACAAAAAhAQAAZHJzL2Uyb0Rv&#10;Yy54bWxQSwUGAAAAAAYABgBZAQAAzAUAAAAA&#10;">
              <v:fill on="f" focussize="0,0"/>
              <v:stroke on="f" weight="0.5pt"/>
              <v:imagedata o:title=""/>
              <o:lock v:ext="edit" aspectratio="f"/>
              <v:textbox inset="0mm,0mm,0mm,0mm">
                <w:txbxContent>
                  <w:p w14:paraId="16A72DFA">
                    <w:pPr>
                      <w:pStyle w:val="15"/>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56</w:t>
                    </w:r>
                    <w:r>
                      <w:rPr>
                        <w:sz w:val="24"/>
                        <w:szCs w:val="24"/>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C8DA25">
    <w:pPr>
      <w:widowControl w:val="0"/>
      <w:tabs>
        <w:tab w:val="center" w:pos="4153"/>
        <w:tab w:val="right" w:pos="8306"/>
      </w:tabs>
      <w:snapToGrid w:val="0"/>
      <w:jc w:val="left"/>
      <w:rPr>
        <w:rFonts w:ascii="Calibri" w:hAnsi="Calibri" w:eastAsia="宋体" w:cs="Times New Roman"/>
        <w:kern w:val="2"/>
        <w:sz w:val="18"/>
        <w:szCs w:val="24"/>
        <w:lang w:val="en-US" w:eastAsia="zh-CN" w:bidi="ar-SA"/>
      </w:rPr>
    </w:pPr>
    <w:r>
      <w:rPr>
        <w:rFonts w:ascii="Calibri" w:hAnsi="Calibri" w:eastAsia="宋体" w:cs="Times New Roman"/>
        <w:kern w:val="2"/>
        <w:sz w:val="18"/>
        <w:szCs w:val="24"/>
        <w:lang w:val="en-US" w:eastAsia="zh-CN" w:bidi="ar-SA"/>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0040E65">
                          <w:pPr>
                            <w:widowControl w:val="0"/>
                            <w:tabs>
                              <w:tab w:val="center" w:pos="4153"/>
                              <w:tab w:val="right" w:pos="8306"/>
                            </w:tabs>
                            <w:snapToGrid w:val="0"/>
                            <w:jc w:val="left"/>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fldChar w:fldCharType="begin"/>
                          </w:r>
                          <w:r>
                            <w:rPr>
                              <w:rFonts w:hint="default" w:ascii="Times New Roman" w:hAnsi="Times New Roman" w:eastAsia="宋体" w:cs="Times New Roman"/>
                              <w:kern w:val="2"/>
                              <w:sz w:val="24"/>
                              <w:szCs w:val="24"/>
                              <w:lang w:val="en-US" w:eastAsia="zh-CN" w:bidi="ar-SA"/>
                            </w:rPr>
                            <w:instrText xml:space="preserve"> PAGE  \* MERGEFORMAT </w:instrText>
                          </w:r>
                          <w:r>
                            <w:rPr>
                              <w:rFonts w:hint="default" w:ascii="Times New Roman" w:hAnsi="Times New Roman" w:eastAsia="宋体" w:cs="Times New Roman"/>
                              <w:kern w:val="2"/>
                              <w:sz w:val="24"/>
                              <w:szCs w:val="24"/>
                              <w:lang w:val="en-US" w:eastAsia="zh-CN" w:bidi="ar-SA"/>
                            </w:rPr>
                            <w:fldChar w:fldCharType="separate"/>
                          </w:r>
                          <w:r>
                            <w:rPr>
                              <w:rFonts w:hint="default" w:ascii="Times New Roman" w:hAnsi="Times New Roman" w:eastAsia="宋体" w:cs="Times New Roman"/>
                              <w:kern w:val="2"/>
                              <w:sz w:val="24"/>
                              <w:szCs w:val="24"/>
                              <w:lang w:val="en-US" w:eastAsia="zh-CN" w:bidi="ar-SA"/>
                            </w:rPr>
                            <w:t>1</w:t>
                          </w:r>
                          <w:r>
                            <w:rPr>
                              <w:rFonts w:hint="default" w:ascii="Times New Roman" w:hAnsi="Times New Roman" w:eastAsia="宋体" w:cs="Times New Roman"/>
                              <w:kern w:val="2"/>
                              <w:sz w:val="24"/>
                              <w:szCs w:val="24"/>
                              <w:lang w:val="en-US" w:eastAsia="zh-CN"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34oms6AgAAcQQAAA4AAABkcnMvZTJvRG9jLnhtbK1UzY7TMBC+I/EO&#10;lu80bVes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N+KJrOgIAAHEEAAAOAAAAAAAAAAEAIAAAAB8BAABkcnMvZTJvRG9j&#10;LnhtbFBLBQYAAAAABgAGAFkBAADLBQAAAAA=&#10;">
              <v:fill on="f" focussize="0,0"/>
              <v:stroke on="f" weight="0.5pt"/>
              <v:imagedata o:title=""/>
              <o:lock v:ext="edit" aspectratio="f"/>
              <v:textbox inset="0mm,0mm,0mm,0mm" style="mso-fit-shape-to-text:t;">
                <w:txbxContent>
                  <w:p w14:paraId="60040E65">
                    <w:pPr>
                      <w:widowControl w:val="0"/>
                      <w:tabs>
                        <w:tab w:val="center" w:pos="4153"/>
                        <w:tab w:val="right" w:pos="8306"/>
                      </w:tabs>
                      <w:snapToGrid w:val="0"/>
                      <w:jc w:val="left"/>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fldChar w:fldCharType="begin"/>
                    </w:r>
                    <w:r>
                      <w:rPr>
                        <w:rFonts w:hint="default" w:ascii="Times New Roman" w:hAnsi="Times New Roman" w:eastAsia="宋体" w:cs="Times New Roman"/>
                        <w:kern w:val="2"/>
                        <w:sz w:val="24"/>
                        <w:szCs w:val="24"/>
                        <w:lang w:val="en-US" w:eastAsia="zh-CN" w:bidi="ar-SA"/>
                      </w:rPr>
                      <w:instrText xml:space="preserve"> PAGE  \* MERGEFORMAT </w:instrText>
                    </w:r>
                    <w:r>
                      <w:rPr>
                        <w:rFonts w:hint="default" w:ascii="Times New Roman" w:hAnsi="Times New Roman" w:eastAsia="宋体" w:cs="Times New Roman"/>
                        <w:kern w:val="2"/>
                        <w:sz w:val="24"/>
                        <w:szCs w:val="24"/>
                        <w:lang w:val="en-US" w:eastAsia="zh-CN" w:bidi="ar-SA"/>
                      </w:rPr>
                      <w:fldChar w:fldCharType="separate"/>
                    </w:r>
                    <w:r>
                      <w:rPr>
                        <w:rFonts w:hint="default" w:ascii="Times New Roman" w:hAnsi="Times New Roman" w:eastAsia="宋体" w:cs="Times New Roman"/>
                        <w:kern w:val="2"/>
                        <w:sz w:val="24"/>
                        <w:szCs w:val="24"/>
                        <w:lang w:val="en-US" w:eastAsia="zh-CN" w:bidi="ar-SA"/>
                      </w:rPr>
                      <w:t>1</w:t>
                    </w:r>
                    <w:r>
                      <w:rPr>
                        <w:rFonts w:hint="default" w:ascii="Times New Roman" w:hAnsi="Times New Roman" w:eastAsia="宋体" w:cs="Times New Roman"/>
                        <w:kern w:val="2"/>
                        <w:sz w:val="24"/>
                        <w:szCs w:val="24"/>
                        <w:lang w:val="en-US" w:eastAsia="zh-CN" w:bidi="ar-S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E805F1">
    <w:pPr>
      <w:widowControl w:val="0"/>
      <w:tabs>
        <w:tab w:val="center" w:pos="4153"/>
        <w:tab w:val="right" w:pos="8306"/>
      </w:tabs>
      <w:snapToGrid w:val="0"/>
      <w:jc w:val="left"/>
      <w:rPr>
        <w:rFonts w:ascii="Calibri" w:hAnsi="Calibri" w:eastAsia="宋体" w:cs="Times New Roman"/>
        <w:kern w:val="2"/>
        <w:sz w:val="18"/>
        <w:szCs w:val="24"/>
        <w:lang w:val="en-US" w:eastAsia="zh-CN" w:bidi="ar-SA"/>
      </w:rP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21336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21336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AD601E">
                          <w:pPr>
                            <w:pStyle w:val="15"/>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29</w:t>
                          </w:r>
                          <w:r>
                            <w:rPr>
                              <w:sz w:val="24"/>
                              <w:szCs w:val="24"/>
                            </w:rPr>
                            <w:fldChar w:fldCharType="end"/>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6.8pt;mso-position-horizontal:center;mso-position-horizontal-relative:margin;z-index:251669504;mso-width-relative:page;mso-height-relative:page;" filled="f" stroked="f" coordsize="21600,21600" o:gfxdata="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FCgBHUAAAABAEAAA8AAAAAAAAAAQAgAAAAIgAAAGRycy9kb3ducmV2&#10;LnhtbFBLAQIUABQAAAAIAIdO4kBZOcJ9OQIAAGQEAAAOAAAAAAAAAAEAIAAAACMBAABkcnMvZTJv&#10;RG9jLnhtbFBLBQYAAAAABgAGAFkBAADOBQAAAAA=&#10;">
              <v:fill on="f" focussize="0,0"/>
              <v:stroke on="f" weight="0.5pt"/>
              <v:imagedata o:title=""/>
              <o:lock v:ext="edit" aspectratio="f"/>
              <v:textbox inset="0mm,0mm,0mm,0mm" style="mso-fit-shape-to-text:t;">
                <w:txbxContent>
                  <w:p w14:paraId="3FAD601E">
                    <w:pPr>
                      <w:pStyle w:val="15"/>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29</w:t>
                    </w:r>
                    <w:r>
                      <w:rPr>
                        <w:sz w:val="24"/>
                        <w:szCs w:val="24"/>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4F00E6">
    <w:pPr>
      <w:widowControl w:val="0"/>
      <w:tabs>
        <w:tab w:val="center" w:pos="4153"/>
        <w:tab w:val="right" w:pos="8306"/>
      </w:tabs>
      <w:snapToGrid w:val="0"/>
      <w:jc w:val="left"/>
      <w:rPr>
        <w:rFonts w:ascii="Calibri" w:hAnsi="Calibri" w:eastAsia="宋体" w:cs="Times New Roman"/>
        <w:kern w:val="2"/>
        <w:sz w:val="18"/>
        <w:szCs w:val="24"/>
        <w:lang w:val="en-US" w:eastAsia="zh-CN" w:bidi="ar-SA"/>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0D921">
    <w:pPr>
      <w:pStyle w:val="15"/>
      <w:jc w:val="center"/>
    </w:pPr>
  </w:p>
  <w:p w14:paraId="4B0F2A0E">
    <w:pPr>
      <w:pStyle w:val="1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0565C">
    <w:pPr>
      <w:pStyle w:val="1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6E2E53">
    <w:pPr>
      <w:pStyle w:val="1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6B53CD">
    <w:pPr>
      <w:tabs>
        <w:tab w:val="left" w:pos="3120"/>
        <w:tab w:val="left" w:pos="9251"/>
      </w:tabs>
      <w:rPr>
        <w:rFonts w:hint="eastAsia" w:eastAsia="宋体"/>
        <w:lang w:eastAsia="zh-CN"/>
      </w:rPr>
    </w:pPr>
    <w:r>
      <w:rPr>
        <w:rFonts w:hint="eastAsia" w:eastAsia="宋体"/>
      </w:rPr>
      <w:t xml:space="preserve">                  </w:t>
    </w:r>
    <w:r>
      <w:tab/>
    </w:r>
    <w:r>
      <w:rPr>
        <w:rFonts w:hint="eastAsia" w:eastAsia="宋体"/>
        <w:lang w:eastAsia="zh-CN"/>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9ECBA8">
    <w:pPr>
      <w:pStyle w:val="1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CD87BB">
    <w:pPr>
      <w:pStyle w:val="1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DC61A0"/>
    <w:multiLevelType w:val="singleLevel"/>
    <w:tmpl w:val="8FDC61A0"/>
    <w:lvl w:ilvl="0" w:tentative="0">
      <w:start w:val="1"/>
      <w:numFmt w:val="decimal"/>
      <w:suff w:val="nothing"/>
      <w:lvlText w:val="%1、"/>
      <w:lvlJc w:val="left"/>
    </w:lvl>
  </w:abstractNum>
  <w:abstractNum w:abstractNumId="1">
    <w:nsid w:val="AAD1F237"/>
    <w:multiLevelType w:val="singleLevel"/>
    <w:tmpl w:val="AAD1F237"/>
    <w:lvl w:ilvl="0" w:tentative="0">
      <w:start w:val="2"/>
      <w:numFmt w:val="decimal"/>
      <w:suff w:val="nothing"/>
      <w:lvlText w:val="%1、"/>
      <w:lvlJc w:val="left"/>
    </w:lvl>
  </w:abstractNum>
  <w:abstractNum w:abstractNumId="2">
    <w:nsid w:val="EAA35697"/>
    <w:multiLevelType w:val="singleLevel"/>
    <w:tmpl w:val="EAA35697"/>
    <w:lvl w:ilvl="0" w:tentative="0">
      <w:start w:val="1"/>
      <w:numFmt w:val="decimal"/>
      <w:suff w:val="nothing"/>
      <w:lvlText w:val="%1、"/>
      <w:lvlJc w:val="left"/>
    </w:lvl>
  </w:abstractNum>
  <w:abstractNum w:abstractNumId="3">
    <w:nsid w:val="F2FEC0A6"/>
    <w:multiLevelType w:val="singleLevel"/>
    <w:tmpl w:val="F2FEC0A6"/>
    <w:lvl w:ilvl="0" w:tentative="0">
      <w:start w:val="1"/>
      <w:numFmt w:val="decimal"/>
      <w:suff w:val="nothing"/>
      <w:lvlText w:val="（%1）"/>
      <w:lvlJc w:val="left"/>
    </w:lvl>
  </w:abstractNum>
  <w:abstractNum w:abstractNumId="4">
    <w:nsid w:val="19C8C7B7"/>
    <w:multiLevelType w:val="singleLevel"/>
    <w:tmpl w:val="19C8C7B7"/>
    <w:lvl w:ilvl="0" w:tentative="0">
      <w:start w:val="8"/>
      <w:numFmt w:val="decimal"/>
      <w:suff w:val="nothing"/>
      <w:lvlText w:val="%1、"/>
      <w:lvlJc w:val="left"/>
    </w:lvl>
  </w:abstractNum>
  <w:abstractNum w:abstractNumId="5">
    <w:nsid w:val="288C283D"/>
    <w:multiLevelType w:val="singleLevel"/>
    <w:tmpl w:val="288C283D"/>
    <w:lvl w:ilvl="0" w:tentative="0">
      <w:start w:val="1"/>
      <w:numFmt w:val="decimal"/>
      <w:suff w:val="nothing"/>
      <w:lvlText w:val="（%1）"/>
      <w:lvlJc w:val="left"/>
    </w:lvl>
  </w:abstractNum>
  <w:abstractNum w:abstractNumId="6">
    <w:nsid w:val="4254B413"/>
    <w:multiLevelType w:val="singleLevel"/>
    <w:tmpl w:val="4254B413"/>
    <w:lvl w:ilvl="0" w:tentative="0">
      <w:start w:val="1"/>
      <w:numFmt w:val="chineseCounting"/>
      <w:suff w:val="nothing"/>
      <w:lvlText w:val="%1、"/>
      <w:lvlJc w:val="left"/>
      <w:rPr>
        <w:rFonts w:hint="eastAsia"/>
      </w:rPr>
    </w:lvl>
  </w:abstractNum>
  <w:abstractNum w:abstractNumId="7">
    <w:nsid w:val="6A0411CA"/>
    <w:multiLevelType w:val="singleLevel"/>
    <w:tmpl w:val="6A0411CA"/>
    <w:lvl w:ilvl="0" w:tentative="0">
      <w:start w:val="3"/>
      <w:numFmt w:val="decimal"/>
      <w:suff w:val="nothing"/>
      <w:lvlText w:val="%1、"/>
      <w:lvlJc w:val="left"/>
      <w:pPr>
        <w:ind w:left="-60"/>
      </w:pPr>
    </w:lvl>
  </w:abstractNum>
  <w:num w:numId="1">
    <w:abstractNumId w:val="5"/>
  </w:num>
  <w:num w:numId="2">
    <w:abstractNumId w:val="1"/>
  </w:num>
  <w:num w:numId="3">
    <w:abstractNumId w:val="7"/>
  </w:num>
  <w:num w:numId="4">
    <w:abstractNumId w:val="6"/>
  </w:num>
  <w:num w:numId="5">
    <w:abstractNumId w:val="4"/>
  </w:num>
  <w:num w:numId="6">
    <w:abstractNumId w:val="3"/>
  </w:num>
  <w:num w:numId="7">
    <w:abstractNumId w:val="0"/>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Q5ZThkYzQxODVjOWQ4MWE5ODBkZGUxMmVkZmFhYWQifQ=="/>
  </w:docVars>
  <w:rsids>
    <w:rsidRoot w:val="0837292D"/>
    <w:rsid w:val="00131D2B"/>
    <w:rsid w:val="00135135"/>
    <w:rsid w:val="00186578"/>
    <w:rsid w:val="001C4E57"/>
    <w:rsid w:val="00232C5C"/>
    <w:rsid w:val="00255887"/>
    <w:rsid w:val="0027279F"/>
    <w:rsid w:val="002C61F7"/>
    <w:rsid w:val="00381040"/>
    <w:rsid w:val="004436E0"/>
    <w:rsid w:val="00482762"/>
    <w:rsid w:val="004B0D73"/>
    <w:rsid w:val="00563274"/>
    <w:rsid w:val="005A2D64"/>
    <w:rsid w:val="005B7AC3"/>
    <w:rsid w:val="005E0AA6"/>
    <w:rsid w:val="007308A0"/>
    <w:rsid w:val="007A549C"/>
    <w:rsid w:val="008D313A"/>
    <w:rsid w:val="00912900"/>
    <w:rsid w:val="00995758"/>
    <w:rsid w:val="00A52506"/>
    <w:rsid w:val="00A641FB"/>
    <w:rsid w:val="00B00BD6"/>
    <w:rsid w:val="00C30909"/>
    <w:rsid w:val="00CD06F6"/>
    <w:rsid w:val="00D94DE1"/>
    <w:rsid w:val="00D9637F"/>
    <w:rsid w:val="00DE463A"/>
    <w:rsid w:val="00E6258D"/>
    <w:rsid w:val="00E81A1E"/>
    <w:rsid w:val="00ED403C"/>
    <w:rsid w:val="00ED7178"/>
    <w:rsid w:val="00F10618"/>
    <w:rsid w:val="00F52A8D"/>
    <w:rsid w:val="010F1DA1"/>
    <w:rsid w:val="011E1FE4"/>
    <w:rsid w:val="0124688F"/>
    <w:rsid w:val="012670EA"/>
    <w:rsid w:val="013206E4"/>
    <w:rsid w:val="01347A59"/>
    <w:rsid w:val="01357F39"/>
    <w:rsid w:val="013D6280"/>
    <w:rsid w:val="0140055C"/>
    <w:rsid w:val="01416ECD"/>
    <w:rsid w:val="01467CA6"/>
    <w:rsid w:val="01492656"/>
    <w:rsid w:val="014D7DF7"/>
    <w:rsid w:val="014E1CCF"/>
    <w:rsid w:val="014F0EDB"/>
    <w:rsid w:val="01523FA7"/>
    <w:rsid w:val="0156177E"/>
    <w:rsid w:val="015A390A"/>
    <w:rsid w:val="015C48BA"/>
    <w:rsid w:val="015F2725"/>
    <w:rsid w:val="01610122"/>
    <w:rsid w:val="01626374"/>
    <w:rsid w:val="01635C49"/>
    <w:rsid w:val="016B60E3"/>
    <w:rsid w:val="017011DD"/>
    <w:rsid w:val="01717EF5"/>
    <w:rsid w:val="017240DE"/>
    <w:rsid w:val="017605DA"/>
    <w:rsid w:val="0179546C"/>
    <w:rsid w:val="01804A4C"/>
    <w:rsid w:val="019E5DEF"/>
    <w:rsid w:val="01A4100B"/>
    <w:rsid w:val="01AB2BD6"/>
    <w:rsid w:val="01B86BBB"/>
    <w:rsid w:val="01B97F5E"/>
    <w:rsid w:val="01BC7E32"/>
    <w:rsid w:val="01CF7782"/>
    <w:rsid w:val="01D029AF"/>
    <w:rsid w:val="01D34903"/>
    <w:rsid w:val="01D37033"/>
    <w:rsid w:val="01E50D53"/>
    <w:rsid w:val="01ED7951"/>
    <w:rsid w:val="01F61BBE"/>
    <w:rsid w:val="01FD609D"/>
    <w:rsid w:val="01FD7E4B"/>
    <w:rsid w:val="020225C5"/>
    <w:rsid w:val="02054440"/>
    <w:rsid w:val="02076F1C"/>
    <w:rsid w:val="020A7FCA"/>
    <w:rsid w:val="020D747A"/>
    <w:rsid w:val="020F7D4F"/>
    <w:rsid w:val="021321D3"/>
    <w:rsid w:val="021653B1"/>
    <w:rsid w:val="021B47BF"/>
    <w:rsid w:val="022573A2"/>
    <w:rsid w:val="02283E61"/>
    <w:rsid w:val="022A49B8"/>
    <w:rsid w:val="022C0315"/>
    <w:rsid w:val="022E1342"/>
    <w:rsid w:val="022E44A8"/>
    <w:rsid w:val="023072D8"/>
    <w:rsid w:val="0237690F"/>
    <w:rsid w:val="02391724"/>
    <w:rsid w:val="023D0B8F"/>
    <w:rsid w:val="02454C5D"/>
    <w:rsid w:val="024B505A"/>
    <w:rsid w:val="024B6E08"/>
    <w:rsid w:val="02557C87"/>
    <w:rsid w:val="025832D1"/>
    <w:rsid w:val="025C1016"/>
    <w:rsid w:val="025D4D8E"/>
    <w:rsid w:val="025F429A"/>
    <w:rsid w:val="02647ECA"/>
    <w:rsid w:val="0267487E"/>
    <w:rsid w:val="02705A59"/>
    <w:rsid w:val="0275475B"/>
    <w:rsid w:val="027A76EE"/>
    <w:rsid w:val="027F4D04"/>
    <w:rsid w:val="02847B9A"/>
    <w:rsid w:val="0288005D"/>
    <w:rsid w:val="02913653"/>
    <w:rsid w:val="029379D8"/>
    <w:rsid w:val="02940E21"/>
    <w:rsid w:val="02954528"/>
    <w:rsid w:val="029C1412"/>
    <w:rsid w:val="029E3C92"/>
    <w:rsid w:val="02AB78A7"/>
    <w:rsid w:val="02B32C00"/>
    <w:rsid w:val="02BA5D3C"/>
    <w:rsid w:val="02BE3A7E"/>
    <w:rsid w:val="02CC17C0"/>
    <w:rsid w:val="02CE17E8"/>
    <w:rsid w:val="02D05560"/>
    <w:rsid w:val="02D40CB9"/>
    <w:rsid w:val="02E4100B"/>
    <w:rsid w:val="02E74952"/>
    <w:rsid w:val="02ED6091"/>
    <w:rsid w:val="02F12E93"/>
    <w:rsid w:val="02FB5283"/>
    <w:rsid w:val="02FC1D07"/>
    <w:rsid w:val="03000EB7"/>
    <w:rsid w:val="0302745F"/>
    <w:rsid w:val="03035935"/>
    <w:rsid w:val="030602CB"/>
    <w:rsid w:val="03070EB0"/>
    <w:rsid w:val="03195159"/>
    <w:rsid w:val="031C2C6B"/>
    <w:rsid w:val="031C3345"/>
    <w:rsid w:val="031C69F7"/>
    <w:rsid w:val="032029C3"/>
    <w:rsid w:val="032F04D8"/>
    <w:rsid w:val="03327FC8"/>
    <w:rsid w:val="03373831"/>
    <w:rsid w:val="033F0FBB"/>
    <w:rsid w:val="03401D5A"/>
    <w:rsid w:val="03475457"/>
    <w:rsid w:val="034F46D6"/>
    <w:rsid w:val="03555A65"/>
    <w:rsid w:val="035A4974"/>
    <w:rsid w:val="035F4ABA"/>
    <w:rsid w:val="036625F5"/>
    <w:rsid w:val="037B229F"/>
    <w:rsid w:val="038D5656"/>
    <w:rsid w:val="039212DF"/>
    <w:rsid w:val="03A42F63"/>
    <w:rsid w:val="03A74512"/>
    <w:rsid w:val="03AA4003"/>
    <w:rsid w:val="03B25314"/>
    <w:rsid w:val="03C36E72"/>
    <w:rsid w:val="03CB64CA"/>
    <w:rsid w:val="03D343E1"/>
    <w:rsid w:val="03DB240E"/>
    <w:rsid w:val="03DE7DBC"/>
    <w:rsid w:val="03E219EE"/>
    <w:rsid w:val="03E272F9"/>
    <w:rsid w:val="03F359AA"/>
    <w:rsid w:val="04097C69"/>
    <w:rsid w:val="040F1992"/>
    <w:rsid w:val="04187A9C"/>
    <w:rsid w:val="04193EC9"/>
    <w:rsid w:val="041D6583"/>
    <w:rsid w:val="041D7236"/>
    <w:rsid w:val="041F3C99"/>
    <w:rsid w:val="042518DB"/>
    <w:rsid w:val="042E69E2"/>
    <w:rsid w:val="04307166"/>
    <w:rsid w:val="04333FF8"/>
    <w:rsid w:val="04360A37"/>
    <w:rsid w:val="04377912"/>
    <w:rsid w:val="04393A43"/>
    <w:rsid w:val="043F668F"/>
    <w:rsid w:val="0442248D"/>
    <w:rsid w:val="0442423B"/>
    <w:rsid w:val="044D31A4"/>
    <w:rsid w:val="04531CAC"/>
    <w:rsid w:val="04542AD4"/>
    <w:rsid w:val="04581CB1"/>
    <w:rsid w:val="04596DB3"/>
    <w:rsid w:val="045B70AB"/>
    <w:rsid w:val="04611FF5"/>
    <w:rsid w:val="046B031B"/>
    <w:rsid w:val="046B5540"/>
    <w:rsid w:val="046C5DBC"/>
    <w:rsid w:val="04737615"/>
    <w:rsid w:val="04785EAF"/>
    <w:rsid w:val="047879D6"/>
    <w:rsid w:val="047B04A6"/>
    <w:rsid w:val="0481478A"/>
    <w:rsid w:val="0482259F"/>
    <w:rsid w:val="04874882"/>
    <w:rsid w:val="04893C18"/>
    <w:rsid w:val="048C54B6"/>
    <w:rsid w:val="048E56D2"/>
    <w:rsid w:val="048E7480"/>
    <w:rsid w:val="049727D9"/>
    <w:rsid w:val="04991816"/>
    <w:rsid w:val="049A0DB0"/>
    <w:rsid w:val="049F343C"/>
    <w:rsid w:val="04A37EC6"/>
    <w:rsid w:val="04A722F0"/>
    <w:rsid w:val="04A942BA"/>
    <w:rsid w:val="04BB6278"/>
    <w:rsid w:val="04BF2EAB"/>
    <w:rsid w:val="04D37589"/>
    <w:rsid w:val="04D65D54"/>
    <w:rsid w:val="04D74983"/>
    <w:rsid w:val="04E2157A"/>
    <w:rsid w:val="04E569F1"/>
    <w:rsid w:val="04F82B4C"/>
    <w:rsid w:val="04FE4606"/>
    <w:rsid w:val="05017C52"/>
    <w:rsid w:val="05045994"/>
    <w:rsid w:val="05177476"/>
    <w:rsid w:val="05241B93"/>
    <w:rsid w:val="052C01A3"/>
    <w:rsid w:val="05314BD5"/>
    <w:rsid w:val="05432019"/>
    <w:rsid w:val="05500BDA"/>
    <w:rsid w:val="05663F59"/>
    <w:rsid w:val="05685F23"/>
    <w:rsid w:val="056B1D18"/>
    <w:rsid w:val="05711A27"/>
    <w:rsid w:val="057228FE"/>
    <w:rsid w:val="057A17B3"/>
    <w:rsid w:val="057C377D"/>
    <w:rsid w:val="05882122"/>
    <w:rsid w:val="058C1C12"/>
    <w:rsid w:val="058D14E6"/>
    <w:rsid w:val="059804DC"/>
    <w:rsid w:val="05A200CB"/>
    <w:rsid w:val="05A86284"/>
    <w:rsid w:val="05AE697F"/>
    <w:rsid w:val="05BE1FE7"/>
    <w:rsid w:val="05BE5B43"/>
    <w:rsid w:val="05C23886"/>
    <w:rsid w:val="05C95424"/>
    <w:rsid w:val="05CA7B80"/>
    <w:rsid w:val="05CF1AFF"/>
    <w:rsid w:val="05D903CB"/>
    <w:rsid w:val="05E96551"/>
    <w:rsid w:val="05ED01D7"/>
    <w:rsid w:val="05F97E2C"/>
    <w:rsid w:val="06032AEB"/>
    <w:rsid w:val="060379FA"/>
    <w:rsid w:val="06064044"/>
    <w:rsid w:val="0616418E"/>
    <w:rsid w:val="0619006F"/>
    <w:rsid w:val="061A1115"/>
    <w:rsid w:val="06225E38"/>
    <w:rsid w:val="06231E4A"/>
    <w:rsid w:val="0627193B"/>
    <w:rsid w:val="062A67F6"/>
    <w:rsid w:val="063127B9"/>
    <w:rsid w:val="0633208D"/>
    <w:rsid w:val="06332D4F"/>
    <w:rsid w:val="06382740"/>
    <w:rsid w:val="063A056B"/>
    <w:rsid w:val="063D4CBA"/>
    <w:rsid w:val="06402D3F"/>
    <w:rsid w:val="064533E6"/>
    <w:rsid w:val="06475B39"/>
    <w:rsid w:val="0648365F"/>
    <w:rsid w:val="064E336B"/>
    <w:rsid w:val="06521373"/>
    <w:rsid w:val="065B15E4"/>
    <w:rsid w:val="065B3392"/>
    <w:rsid w:val="065E2E82"/>
    <w:rsid w:val="066528BB"/>
    <w:rsid w:val="067616DF"/>
    <w:rsid w:val="067803E8"/>
    <w:rsid w:val="067F1668"/>
    <w:rsid w:val="0684434C"/>
    <w:rsid w:val="06930D7E"/>
    <w:rsid w:val="06967ECC"/>
    <w:rsid w:val="06980E17"/>
    <w:rsid w:val="069A035E"/>
    <w:rsid w:val="06A302F4"/>
    <w:rsid w:val="06B34F7C"/>
    <w:rsid w:val="06B75C5D"/>
    <w:rsid w:val="06C929F2"/>
    <w:rsid w:val="06CD23C5"/>
    <w:rsid w:val="06D934E4"/>
    <w:rsid w:val="06DB44D3"/>
    <w:rsid w:val="06E33B5C"/>
    <w:rsid w:val="06EA6EE5"/>
    <w:rsid w:val="06ED0E04"/>
    <w:rsid w:val="06F2019A"/>
    <w:rsid w:val="06F7130D"/>
    <w:rsid w:val="07032356"/>
    <w:rsid w:val="07044910"/>
    <w:rsid w:val="07047ECE"/>
    <w:rsid w:val="071826C5"/>
    <w:rsid w:val="071E2D3E"/>
    <w:rsid w:val="071F7051"/>
    <w:rsid w:val="072635FB"/>
    <w:rsid w:val="073065CD"/>
    <w:rsid w:val="07350087"/>
    <w:rsid w:val="07380DC7"/>
    <w:rsid w:val="073C1416"/>
    <w:rsid w:val="07477301"/>
    <w:rsid w:val="0748600C"/>
    <w:rsid w:val="074D3623"/>
    <w:rsid w:val="074F2A4A"/>
    <w:rsid w:val="07524795"/>
    <w:rsid w:val="0754675F"/>
    <w:rsid w:val="07567689"/>
    <w:rsid w:val="0758241A"/>
    <w:rsid w:val="077741FC"/>
    <w:rsid w:val="078E110E"/>
    <w:rsid w:val="07916E25"/>
    <w:rsid w:val="07A13508"/>
    <w:rsid w:val="07AC5B24"/>
    <w:rsid w:val="07B16EB3"/>
    <w:rsid w:val="07B40FAC"/>
    <w:rsid w:val="07B5324C"/>
    <w:rsid w:val="07B70A9C"/>
    <w:rsid w:val="07B93C8A"/>
    <w:rsid w:val="07B9676E"/>
    <w:rsid w:val="07C22F76"/>
    <w:rsid w:val="07C47D53"/>
    <w:rsid w:val="07CC1A54"/>
    <w:rsid w:val="07CC506B"/>
    <w:rsid w:val="07D446AF"/>
    <w:rsid w:val="07D73067"/>
    <w:rsid w:val="07DF2EE1"/>
    <w:rsid w:val="07EE7E7A"/>
    <w:rsid w:val="08095DB0"/>
    <w:rsid w:val="080B1649"/>
    <w:rsid w:val="080D19C3"/>
    <w:rsid w:val="080D4B60"/>
    <w:rsid w:val="080E095B"/>
    <w:rsid w:val="08210512"/>
    <w:rsid w:val="082219A2"/>
    <w:rsid w:val="08343890"/>
    <w:rsid w:val="0837292D"/>
    <w:rsid w:val="08393BA7"/>
    <w:rsid w:val="083C693C"/>
    <w:rsid w:val="083E2F6B"/>
    <w:rsid w:val="08420CAE"/>
    <w:rsid w:val="08422801"/>
    <w:rsid w:val="08463BE7"/>
    <w:rsid w:val="084979BC"/>
    <w:rsid w:val="084A3AD0"/>
    <w:rsid w:val="0854453D"/>
    <w:rsid w:val="085A3656"/>
    <w:rsid w:val="0865499C"/>
    <w:rsid w:val="086B66B1"/>
    <w:rsid w:val="086C5FBC"/>
    <w:rsid w:val="086D16CA"/>
    <w:rsid w:val="086E7B4B"/>
    <w:rsid w:val="086F705C"/>
    <w:rsid w:val="087206FC"/>
    <w:rsid w:val="08775574"/>
    <w:rsid w:val="088968DD"/>
    <w:rsid w:val="08966904"/>
    <w:rsid w:val="089F1C5C"/>
    <w:rsid w:val="08A54D99"/>
    <w:rsid w:val="08AA0601"/>
    <w:rsid w:val="08AC6127"/>
    <w:rsid w:val="08B144C5"/>
    <w:rsid w:val="08BC0A60"/>
    <w:rsid w:val="08C6543B"/>
    <w:rsid w:val="08C97BCF"/>
    <w:rsid w:val="08D15B8E"/>
    <w:rsid w:val="08D8373B"/>
    <w:rsid w:val="08F024B8"/>
    <w:rsid w:val="08FA3336"/>
    <w:rsid w:val="08FA50E4"/>
    <w:rsid w:val="08FD4C24"/>
    <w:rsid w:val="08FE3363"/>
    <w:rsid w:val="090710C5"/>
    <w:rsid w:val="09075A53"/>
    <w:rsid w:val="09201BB2"/>
    <w:rsid w:val="09210597"/>
    <w:rsid w:val="092108C3"/>
    <w:rsid w:val="0924252D"/>
    <w:rsid w:val="09265ED9"/>
    <w:rsid w:val="092D370C"/>
    <w:rsid w:val="09306D58"/>
    <w:rsid w:val="0932121F"/>
    <w:rsid w:val="093E05F2"/>
    <w:rsid w:val="093F6F9B"/>
    <w:rsid w:val="0949606C"/>
    <w:rsid w:val="094D6FD8"/>
    <w:rsid w:val="094E3682"/>
    <w:rsid w:val="095F3DBE"/>
    <w:rsid w:val="09646A02"/>
    <w:rsid w:val="096A3BA5"/>
    <w:rsid w:val="097051CD"/>
    <w:rsid w:val="097053A7"/>
    <w:rsid w:val="09731214"/>
    <w:rsid w:val="09772106"/>
    <w:rsid w:val="09773D0A"/>
    <w:rsid w:val="097F1A8E"/>
    <w:rsid w:val="097F383C"/>
    <w:rsid w:val="09884EB1"/>
    <w:rsid w:val="098B7BCE"/>
    <w:rsid w:val="098D5F59"/>
    <w:rsid w:val="09900E2A"/>
    <w:rsid w:val="0992531D"/>
    <w:rsid w:val="09972933"/>
    <w:rsid w:val="099F42A3"/>
    <w:rsid w:val="09A908B8"/>
    <w:rsid w:val="09BC683E"/>
    <w:rsid w:val="09C273BB"/>
    <w:rsid w:val="09C851E3"/>
    <w:rsid w:val="09CA5472"/>
    <w:rsid w:val="09D465D2"/>
    <w:rsid w:val="09D9477D"/>
    <w:rsid w:val="09D95594"/>
    <w:rsid w:val="09D966DA"/>
    <w:rsid w:val="09DB3CA3"/>
    <w:rsid w:val="09DE67B4"/>
    <w:rsid w:val="09EC4FEF"/>
    <w:rsid w:val="09ED69F7"/>
    <w:rsid w:val="09EF276F"/>
    <w:rsid w:val="0A002AA2"/>
    <w:rsid w:val="0A0124A3"/>
    <w:rsid w:val="0A125DC0"/>
    <w:rsid w:val="0A12645E"/>
    <w:rsid w:val="0A186BD7"/>
    <w:rsid w:val="0A195A3E"/>
    <w:rsid w:val="0A206DCD"/>
    <w:rsid w:val="0A2148F3"/>
    <w:rsid w:val="0A227562"/>
    <w:rsid w:val="0A2C212A"/>
    <w:rsid w:val="0A2D35CF"/>
    <w:rsid w:val="0A2F5262"/>
    <w:rsid w:val="0A367255"/>
    <w:rsid w:val="0A3D555B"/>
    <w:rsid w:val="0A434869"/>
    <w:rsid w:val="0A441FB0"/>
    <w:rsid w:val="0A4D7496"/>
    <w:rsid w:val="0A585C70"/>
    <w:rsid w:val="0A586566"/>
    <w:rsid w:val="0A5C592B"/>
    <w:rsid w:val="0A605215"/>
    <w:rsid w:val="0A635CD8"/>
    <w:rsid w:val="0A6749FB"/>
    <w:rsid w:val="0A69020F"/>
    <w:rsid w:val="0A741FFD"/>
    <w:rsid w:val="0A7D2F03"/>
    <w:rsid w:val="0A7D684A"/>
    <w:rsid w:val="0A830604"/>
    <w:rsid w:val="0A886720"/>
    <w:rsid w:val="0A8E1F88"/>
    <w:rsid w:val="0A945ABF"/>
    <w:rsid w:val="0A97679E"/>
    <w:rsid w:val="0AAA2B3A"/>
    <w:rsid w:val="0AB27352"/>
    <w:rsid w:val="0AB273F1"/>
    <w:rsid w:val="0ACF19B1"/>
    <w:rsid w:val="0AD100C7"/>
    <w:rsid w:val="0ADD1FE5"/>
    <w:rsid w:val="0AE424A4"/>
    <w:rsid w:val="0AE71698"/>
    <w:rsid w:val="0AEB73DB"/>
    <w:rsid w:val="0AED7CDE"/>
    <w:rsid w:val="0AEF054D"/>
    <w:rsid w:val="0AF10769"/>
    <w:rsid w:val="0AF624CE"/>
    <w:rsid w:val="0AF708F6"/>
    <w:rsid w:val="0AF73FD1"/>
    <w:rsid w:val="0AFB5144"/>
    <w:rsid w:val="0B0009AC"/>
    <w:rsid w:val="0B020C6A"/>
    <w:rsid w:val="0B077F8D"/>
    <w:rsid w:val="0B0D762C"/>
    <w:rsid w:val="0B1509AA"/>
    <w:rsid w:val="0B242263"/>
    <w:rsid w:val="0B291CB1"/>
    <w:rsid w:val="0B2C5B50"/>
    <w:rsid w:val="0B2F6CB2"/>
    <w:rsid w:val="0B350656"/>
    <w:rsid w:val="0B3B53C6"/>
    <w:rsid w:val="0B3C7C36"/>
    <w:rsid w:val="0B4606A7"/>
    <w:rsid w:val="0B497F1C"/>
    <w:rsid w:val="0B4C07B0"/>
    <w:rsid w:val="0B505490"/>
    <w:rsid w:val="0B50723E"/>
    <w:rsid w:val="0B534F80"/>
    <w:rsid w:val="0B5C64B8"/>
    <w:rsid w:val="0B642CE9"/>
    <w:rsid w:val="0B684B25"/>
    <w:rsid w:val="0B6B1166"/>
    <w:rsid w:val="0B70275F"/>
    <w:rsid w:val="0B705B32"/>
    <w:rsid w:val="0B7078E0"/>
    <w:rsid w:val="0B78442A"/>
    <w:rsid w:val="0B833DAB"/>
    <w:rsid w:val="0B925AA8"/>
    <w:rsid w:val="0B9305E2"/>
    <w:rsid w:val="0B9C2483"/>
    <w:rsid w:val="0B9D664B"/>
    <w:rsid w:val="0B9E269F"/>
    <w:rsid w:val="0B9E444D"/>
    <w:rsid w:val="0BA66FA5"/>
    <w:rsid w:val="0BB05F2E"/>
    <w:rsid w:val="0BB31743"/>
    <w:rsid w:val="0BB81AD7"/>
    <w:rsid w:val="0BBC72E1"/>
    <w:rsid w:val="0BBE1A40"/>
    <w:rsid w:val="0BD0037E"/>
    <w:rsid w:val="0BD00C97"/>
    <w:rsid w:val="0BD75BB1"/>
    <w:rsid w:val="0BD84754"/>
    <w:rsid w:val="0BDA5870"/>
    <w:rsid w:val="0BE62EA1"/>
    <w:rsid w:val="0BF71DAF"/>
    <w:rsid w:val="0BF9033C"/>
    <w:rsid w:val="0C0128F7"/>
    <w:rsid w:val="0C0506F7"/>
    <w:rsid w:val="0C0A1165"/>
    <w:rsid w:val="0C0B43EA"/>
    <w:rsid w:val="0C0B585A"/>
    <w:rsid w:val="0C124BE8"/>
    <w:rsid w:val="0C144BB5"/>
    <w:rsid w:val="0C1636C2"/>
    <w:rsid w:val="0C182FEF"/>
    <w:rsid w:val="0C2825C0"/>
    <w:rsid w:val="0C360B29"/>
    <w:rsid w:val="0C360E8F"/>
    <w:rsid w:val="0C3E79DE"/>
    <w:rsid w:val="0C452B1A"/>
    <w:rsid w:val="0C480508"/>
    <w:rsid w:val="0C4916B0"/>
    <w:rsid w:val="0C585796"/>
    <w:rsid w:val="0C5B5DB1"/>
    <w:rsid w:val="0C5E046C"/>
    <w:rsid w:val="0C6236CC"/>
    <w:rsid w:val="0C635D0F"/>
    <w:rsid w:val="0C676F35"/>
    <w:rsid w:val="0C6B0883"/>
    <w:rsid w:val="0C6D2071"/>
    <w:rsid w:val="0C727688"/>
    <w:rsid w:val="0C814E7F"/>
    <w:rsid w:val="0CA534EF"/>
    <w:rsid w:val="0CA74283"/>
    <w:rsid w:val="0CAC4948"/>
    <w:rsid w:val="0CB35CD6"/>
    <w:rsid w:val="0CB40083"/>
    <w:rsid w:val="0CB51B00"/>
    <w:rsid w:val="0CCD48BE"/>
    <w:rsid w:val="0CD41852"/>
    <w:rsid w:val="0CDE7111"/>
    <w:rsid w:val="0CEA6BF1"/>
    <w:rsid w:val="0CF15077"/>
    <w:rsid w:val="0CFB142B"/>
    <w:rsid w:val="0D093B48"/>
    <w:rsid w:val="0D0D169F"/>
    <w:rsid w:val="0D146B8D"/>
    <w:rsid w:val="0D166265"/>
    <w:rsid w:val="0D1F15BD"/>
    <w:rsid w:val="0D20303B"/>
    <w:rsid w:val="0D215C12"/>
    <w:rsid w:val="0D264E20"/>
    <w:rsid w:val="0D3B3F1D"/>
    <w:rsid w:val="0D3B5CCB"/>
    <w:rsid w:val="0D3D1A44"/>
    <w:rsid w:val="0D447276"/>
    <w:rsid w:val="0D522256"/>
    <w:rsid w:val="0D531267"/>
    <w:rsid w:val="0D615DF4"/>
    <w:rsid w:val="0D682790"/>
    <w:rsid w:val="0D737495"/>
    <w:rsid w:val="0D786F20"/>
    <w:rsid w:val="0D7C07BE"/>
    <w:rsid w:val="0D8439D4"/>
    <w:rsid w:val="0D851F62"/>
    <w:rsid w:val="0D961154"/>
    <w:rsid w:val="0D9823B5"/>
    <w:rsid w:val="0D9D3375"/>
    <w:rsid w:val="0DA27AF9"/>
    <w:rsid w:val="0DA50DBC"/>
    <w:rsid w:val="0DAA049A"/>
    <w:rsid w:val="0DB461AA"/>
    <w:rsid w:val="0DB549BC"/>
    <w:rsid w:val="0DB6692C"/>
    <w:rsid w:val="0DC745CB"/>
    <w:rsid w:val="0DC932D7"/>
    <w:rsid w:val="0DCF0FCE"/>
    <w:rsid w:val="0DD95C10"/>
    <w:rsid w:val="0DDE3227"/>
    <w:rsid w:val="0DE70ADD"/>
    <w:rsid w:val="0DF73A45"/>
    <w:rsid w:val="0DFA7935"/>
    <w:rsid w:val="0E0673B8"/>
    <w:rsid w:val="0E107158"/>
    <w:rsid w:val="0E1327A4"/>
    <w:rsid w:val="0E173D19"/>
    <w:rsid w:val="0E1A3B33"/>
    <w:rsid w:val="0E2172DE"/>
    <w:rsid w:val="0E291BB5"/>
    <w:rsid w:val="0E3015A8"/>
    <w:rsid w:val="0E303356"/>
    <w:rsid w:val="0E306613"/>
    <w:rsid w:val="0E3746E5"/>
    <w:rsid w:val="0E3A5F83"/>
    <w:rsid w:val="0E4359DF"/>
    <w:rsid w:val="0E4546FF"/>
    <w:rsid w:val="0E470638"/>
    <w:rsid w:val="0E472CDC"/>
    <w:rsid w:val="0E4A41AA"/>
    <w:rsid w:val="0E524938"/>
    <w:rsid w:val="0E547045"/>
    <w:rsid w:val="0E56100F"/>
    <w:rsid w:val="0E567CF6"/>
    <w:rsid w:val="0E5B4EA0"/>
    <w:rsid w:val="0E5D04A5"/>
    <w:rsid w:val="0E625C06"/>
    <w:rsid w:val="0E887490"/>
    <w:rsid w:val="0E912435"/>
    <w:rsid w:val="0E975183"/>
    <w:rsid w:val="0E9E2BBC"/>
    <w:rsid w:val="0EA578A0"/>
    <w:rsid w:val="0EAA34F7"/>
    <w:rsid w:val="0EAB0ABC"/>
    <w:rsid w:val="0EAC50D3"/>
    <w:rsid w:val="0EAF4BC3"/>
    <w:rsid w:val="0EAF6971"/>
    <w:rsid w:val="0EB517BE"/>
    <w:rsid w:val="0EB65F51"/>
    <w:rsid w:val="0EBC7A87"/>
    <w:rsid w:val="0EBF47A7"/>
    <w:rsid w:val="0EC00B7E"/>
    <w:rsid w:val="0EC71E62"/>
    <w:rsid w:val="0EC87A33"/>
    <w:rsid w:val="0ED308B1"/>
    <w:rsid w:val="0ED424AB"/>
    <w:rsid w:val="0ED939EE"/>
    <w:rsid w:val="0EDB59B8"/>
    <w:rsid w:val="0EDC720A"/>
    <w:rsid w:val="0EDF7256"/>
    <w:rsid w:val="0EEE56EB"/>
    <w:rsid w:val="0EF147D3"/>
    <w:rsid w:val="0EF40406"/>
    <w:rsid w:val="0EF56A7A"/>
    <w:rsid w:val="0F0071CD"/>
    <w:rsid w:val="0F0559B6"/>
    <w:rsid w:val="0F074203"/>
    <w:rsid w:val="0F087E2F"/>
    <w:rsid w:val="0F0942D3"/>
    <w:rsid w:val="0F0B3B4B"/>
    <w:rsid w:val="0F0D5446"/>
    <w:rsid w:val="0F13129D"/>
    <w:rsid w:val="0F1B4006"/>
    <w:rsid w:val="0F1E5075"/>
    <w:rsid w:val="0F3A448D"/>
    <w:rsid w:val="0F3B4C95"/>
    <w:rsid w:val="0F452E31"/>
    <w:rsid w:val="0F51799E"/>
    <w:rsid w:val="0F551B81"/>
    <w:rsid w:val="0F567752"/>
    <w:rsid w:val="0F6479C8"/>
    <w:rsid w:val="0F6F678E"/>
    <w:rsid w:val="0F704352"/>
    <w:rsid w:val="0F710A3C"/>
    <w:rsid w:val="0F717B08"/>
    <w:rsid w:val="0F7D6958"/>
    <w:rsid w:val="0F7F4595"/>
    <w:rsid w:val="0F916077"/>
    <w:rsid w:val="0F960A93"/>
    <w:rsid w:val="0FA57C09"/>
    <w:rsid w:val="0FAD44FD"/>
    <w:rsid w:val="0FB43920"/>
    <w:rsid w:val="0FB631F2"/>
    <w:rsid w:val="0FC711B8"/>
    <w:rsid w:val="0FC93878"/>
    <w:rsid w:val="0FDA0ABA"/>
    <w:rsid w:val="0FDE3E60"/>
    <w:rsid w:val="0FE34B24"/>
    <w:rsid w:val="0FE83D53"/>
    <w:rsid w:val="0FE9775D"/>
    <w:rsid w:val="0FEB5776"/>
    <w:rsid w:val="0FED7751"/>
    <w:rsid w:val="0FFB7A5A"/>
    <w:rsid w:val="1001144E"/>
    <w:rsid w:val="10023027"/>
    <w:rsid w:val="10044A9B"/>
    <w:rsid w:val="1005225F"/>
    <w:rsid w:val="100920B1"/>
    <w:rsid w:val="10152804"/>
    <w:rsid w:val="101A2510"/>
    <w:rsid w:val="10374E2E"/>
    <w:rsid w:val="103A04BC"/>
    <w:rsid w:val="103A226A"/>
    <w:rsid w:val="103D051D"/>
    <w:rsid w:val="10437371"/>
    <w:rsid w:val="10446D89"/>
    <w:rsid w:val="10466E61"/>
    <w:rsid w:val="104E5967"/>
    <w:rsid w:val="105332C2"/>
    <w:rsid w:val="1061640E"/>
    <w:rsid w:val="10727C56"/>
    <w:rsid w:val="10737101"/>
    <w:rsid w:val="107666EB"/>
    <w:rsid w:val="10797237"/>
    <w:rsid w:val="107F252E"/>
    <w:rsid w:val="108856CC"/>
    <w:rsid w:val="109220A6"/>
    <w:rsid w:val="109C4CD3"/>
    <w:rsid w:val="109E225F"/>
    <w:rsid w:val="10A47DBB"/>
    <w:rsid w:val="10A87B1C"/>
    <w:rsid w:val="10BB15FD"/>
    <w:rsid w:val="10C32AC9"/>
    <w:rsid w:val="10C34096"/>
    <w:rsid w:val="10C55FD8"/>
    <w:rsid w:val="10CE691D"/>
    <w:rsid w:val="10D70136"/>
    <w:rsid w:val="10DD670C"/>
    <w:rsid w:val="10E21B3A"/>
    <w:rsid w:val="10EE01ED"/>
    <w:rsid w:val="10F1487A"/>
    <w:rsid w:val="10F3343D"/>
    <w:rsid w:val="11031AF2"/>
    <w:rsid w:val="110765F0"/>
    <w:rsid w:val="1111746F"/>
    <w:rsid w:val="111C4BA1"/>
    <w:rsid w:val="111D4066"/>
    <w:rsid w:val="112C4F66"/>
    <w:rsid w:val="112C6057"/>
    <w:rsid w:val="11323006"/>
    <w:rsid w:val="11423ACC"/>
    <w:rsid w:val="11472E91"/>
    <w:rsid w:val="114930F1"/>
    <w:rsid w:val="115A4615"/>
    <w:rsid w:val="115B693C"/>
    <w:rsid w:val="11603F53"/>
    <w:rsid w:val="116040A7"/>
    <w:rsid w:val="11641C95"/>
    <w:rsid w:val="11651569"/>
    <w:rsid w:val="1168265D"/>
    <w:rsid w:val="11683FEB"/>
    <w:rsid w:val="11691532"/>
    <w:rsid w:val="117E0391"/>
    <w:rsid w:val="118063A3"/>
    <w:rsid w:val="118C032C"/>
    <w:rsid w:val="11991213"/>
    <w:rsid w:val="119C760F"/>
    <w:rsid w:val="11AC0F46"/>
    <w:rsid w:val="11AE50A3"/>
    <w:rsid w:val="11B01B7C"/>
    <w:rsid w:val="11B7460F"/>
    <w:rsid w:val="11BA6B97"/>
    <w:rsid w:val="11BB2863"/>
    <w:rsid w:val="11C20769"/>
    <w:rsid w:val="11C70DDE"/>
    <w:rsid w:val="11CF3451"/>
    <w:rsid w:val="11DF4652"/>
    <w:rsid w:val="11E6549A"/>
    <w:rsid w:val="11E86A43"/>
    <w:rsid w:val="11E93F48"/>
    <w:rsid w:val="11FB2957"/>
    <w:rsid w:val="11FC1ECD"/>
    <w:rsid w:val="120174E4"/>
    <w:rsid w:val="120D40DA"/>
    <w:rsid w:val="1218203B"/>
    <w:rsid w:val="12192A7F"/>
    <w:rsid w:val="121F5BBC"/>
    <w:rsid w:val="122338FE"/>
    <w:rsid w:val="12380A2C"/>
    <w:rsid w:val="123F625E"/>
    <w:rsid w:val="1246139A"/>
    <w:rsid w:val="12477B58"/>
    <w:rsid w:val="124B0F24"/>
    <w:rsid w:val="124B1799"/>
    <w:rsid w:val="124F7CFA"/>
    <w:rsid w:val="125515DD"/>
    <w:rsid w:val="12575356"/>
    <w:rsid w:val="125C6E10"/>
    <w:rsid w:val="126B4658"/>
    <w:rsid w:val="127557DC"/>
    <w:rsid w:val="127C300E"/>
    <w:rsid w:val="128679E9"/>
    <w:rsid w:val="12961C4D"/>
    <w:rsid w:val="12977E23"/>
    <w:rsid w:val="12A55D81"/>
    <w:rsid w:val="12A9626B"/>
    <w:rsid w:val="12AB2CA4"/>
    <w:rsid w:val="12B40148"/>
    <w:rsid w:val="12B409FA"/>
    <w:rsid w:val="12B46304"/>
    <w:rsid w:val="12BE2A1C"/>
    <w:rsid w:val="12D15280"/>
    <w:rsid w:val="12DD24BA"/>
    <w:rsid w:val="12DE15D3"/>
    <w:rsid w:val="12E60F8B"/>
    <w:rsid w:val="12EC7D9D"/>
    <w:rsid w:val="12EE6A61"/>
    <w:rsid w:val="13084D2A"/>
    <w:rsid w:val="130A69F3"/>
    <w:rsid w:val="130E535B"/>
    <w:rsid w:val="13101E4E"/>
    <w:rsid w:val="13255454"/>
    <w:rsid w:val="13331944"/>
    <w:rsid w:val="133B4C77"/>
    <w:rsid w:val="13446B20"/>
    <w:rsid w:val="134F2888"/>
    <w:rsid w:val="1360023A"/>
    <w:rsid w:val="136A4889"/>
    <w:rsid w:val="13714EF1"/>
    <w:rsid w:val="1373569C"/>
    <w:rsid w:val="13737CC5"/>
    <w:rsid w:val="13754410"/>
    <w:rsid w:val="13777481"/>
    <w:rsid w:val="13826520"/>
    <w:rsid w:val="13862F37"/>
    <w:rsid w:val="13870F63"/>
    <w:rsid w:val="138A12A5"/>
    <w:rsid w:val="139879D4"/>
    <w:rsid w:val="13A008A1"/>
    <w:rsid w:val="13A27B91"/>
    <w:rsid w:val="13A62514"/>
    <w:rsid w:val="13A91BE1"/>
    <w:rsid w:val="13B011C1"/>
    <w:rsid w:val="13BA3DEE"/>
    <w:rsid w:val="13BC29C0"/>
    <w:rsid w:val="13CC58CF"/>
    <w:rsid w:val="13D405D2"/>
    <w:rsid w:val="13DC1FB6"/>
    <w:rsid w:val="13DE0296"/>
    <w:rsid w:val="13E42C19"/>
    <w:rsid w:val="13F1411F"/>
    <w:rsid w:val="13F15336"/>
    <w:rsid w:val="13F71741"/>
    <w:rsid w:val="140305DF"/>
    <w:rsid w:val="14064678"/>
    <w:rsid w:val="14071F31"/>
    <w:rsid w:val="14092680"/>
    <w:rsid w:val="141334FE"/>
    <w:rsid w:val="14157B8B"/>
    <w:rsid w:val="141C1100"/>
    <w:rsid w:val="141C15BA"/>
    <w:rsid w:val="141C6857"/>
    <w:rsid w:val="141F6347"/>
    <w:rsid w:val="14236012"/>
    <w:rsid w:val="14237BE5"/>
    <w:rsid w:val="142501B7"/>
    <w:rsid w:val="142932E7"/>
    <w:rsid w:val="142F28F1"/>
    <w:rsid w:val="1438200F"/>
    <w:rsid w:val="14382F65"/>
    <w:rsid w:val="143B3063"/>
    <w:rsid w:val="143C33B0"/>
    <w:rsid w:val="144B251D"/>
    <w:rsid w:val="1461070D"/>
    <w:rsid w:val="14641FAC"/>
    <w:rsid w:val="14661880"/>
    <w:rsid w:val="146B158C"/>
    <w:rsid w:val="146B5A2C"/>
    <w:rsid w:val="14740441"/>
    <w:rsid w:val="147468F9"/>
    <w:rsid w:val="14777F31"/>
    <w:rsid w:val="14787365"/>
    <w:rsid w:val="148F6282"/>
    <w:rsid w:val="14946D53"/>
    <w:rsid w:val="149D101A"/>
    <w:rsid w:val="14A10B0A"/>
    <w:rsid w:val="14A2682D"/>
    <w:rsid w:val="14AE702D"/>
    <w:rsid w:val="14B15AB4"/>
    <w:rsid w:val="14B80EA6"/>
    <w:rsid w:val="14B922F8"/>
    <w:rsid w:val="14BA6C4F"/>
    <w:rsid w:val="14BB66CD"/>
    <w:rsid w:val="14CB3716"/>
    <w:rsid w:val="14CF5677"/>
    <w:rsid w:val="14E07884"/>
    <w:rsid w:val="14F50D8F"/>
    <w:rsid w:val="15003A82"/>
    <w:rsid w:val="15023C9F"/>
    <w:rsid w:val="15096F1B"/>
    <w:rsid w:val="150D43F1"/>
    <w:rsid w:val="150F4DD9"/>
    <w:rsid w:val="15267261"/>
    <w:rsid w:val="15490E90"/>
    <w:rsid w:val="154938BF"/>
    <w:rsid w:val="154A3B02"/>
    <w:rsid w:val="154C0F75"/>
    <w:rsid w:val="154D47EE"/>
    <w:rsid w:val="15512530"/>
    <w:rsid w:val="155362A8"/>
    <w:rsid w:val="155B11BD"/>
    <w:rsid w:val="156779A3"/>
    <w:rsid w:val="156A67F2"/>
    <w:rsid w:val="156F29B6"/>
    <w:rsid w:val="1573694A"/>
    <w:rsid w:val="15884E79"/>
    <w:rsid w:val="15895853"/>
    <w:rsid w:val="158A72EB"/>
    <w:rsid w:val="158B3597"/>
    <w:rsid w:val="158F12AA"/>
    <w:rsid w:val="158F3058"/>
    <w:rsid w:val="15966195"/>
    <w:rsid w:val="159F4876"/>
    <w:rsid w:val="15A24919"/>
    <w:rsid w:val="15A30C01"/>
    <w:rsid w:val="15A9411A"/>
    <w:rsid w:val="15C3750F"/>
    <w:rsid w:val="15D4457B"/>
    <w:rsid w:val="15E2587E"/>
    <w:rsid w:val="15E7548B"/>
    <w:rsid w:val="15E75E32"/>
    <w:rsid w:val="15E92769"/>
    <w:rsid w:val="15EC5A42"/>
    <w:rsid w:val="15EE5D52"/>
    <w:rsid w:val="15F76D67"/>
    <w:rsid w:val="16005405"/>
    <w:rsid w:val="160C6ECC"/>
    <w:rsid w:val="160D0D84"/>
    <w:rsid w:val="16117F11"/>
    <w:rsid w:val="161A5018"/>
    <w:rsid w:val="161C59A8"/>
    <w:rsid w:val="161F21DB"/>
    <w:rsid w:val="1627767B"/>
    <w:rsid w:val="162E0AC3"/>
    <w:rsid w:val="16315EBE"/>
    <w:rsid w:val="163927C9"/>
    <w:rsid w:val="163A422A"/>
    <w:rsid w:val="164B51D1"/>
    <w:rsid w:val="164D0F49"/>
    <w:rsid w:val="16551CB4"/>
    <w:rsid w:val="1666025D"/>
    <w:rsid w:val="166B7621"/>
    <w:rsid w:val="1674297A"/>
    <w:rsid w:val="16781D3E"/>
    <w:rsid w:val="16783AEC"/>
    <w:rsid w:val="168253BB"/>
    <w:rsid w:val="168801D3"/>
    <w:rsid w:val="1690163D"/>
    <w:rsid w:val="16911024"/>
    <w:rsid w:val="16A843D2"/>
    <w:rsid w:val="16B014D8"/>
    <w:rsid w:val="16B40D6D"/>
    <w:rsid w:val="16B670C2"/>
    <w:rsid w:val="16BC7326"/>
    <w:rsid w:val="16BE1B59"/>
    <w:rsid w:val="16BF34C9"/>
    <w:rsid w:val="16C76DDF"/>
    <w:rsid w:val="16CB1E6E"/>
    <w:rsid w:val="16CE195E"/>
    <w:rsid w:val="16DC051F"/>
    <w:rsid w:val="16DD3A3E"/>
    <w:rsid w:val="16E2350D"/>
    <w:rsid w:val="16E47151"/>
    <w:rsid w:val="16ED1BE3"/>
    <w:rsid w:val="16EF022E"/>
    <w:rsid w:val="16F5338F"/>
    <w:rsid w:val="16F77107"/>
    <w:rsid w:val="170424E3"/>
    <w:rsid w:val="17115F60"/>
    <w:rsid w:val="171833A6"/>
    <w:rsid w:val="17263548"/>
    <w:rsid w:val="17334214"/>
    <w:rsid w:val="17400AAE"/>
    <w:rsid w:val="1740460A"/>
    <w:rsid w:val="17410382"/>
    <w:rsid w:val="174A5489"/>
    <w:rsid w:val="175834B5"/>
    <w:rsid w:val="175D45C7"/>
    <w:rsid w:val="17606F78"/>
    <w:rsid w:val="17614581"/>
    <w:rsid w:val="17650515"/>
    <w:rsid w:val="176A116E"/>
    <w:rsid w:val="176E7E14"/>
    <w:rsid w:val="177C2095"/>
    <w:rsid w:val="177C20A5"/>
    <w:rsid w:val="17887D5F"/>
    <w:rsid w:val="178D1819"/>
    <w:rsid w:val="178E7A6B"/>
    <w:rsid w:val="179130B8"/>
    <w:rsid w:val="17942BA8"/>
    <w:rsid w:val="17982698"/>
    <w:rsid w:val="179872B3"/>
    <w:rsid w:val="179D08B0"/>
    <w:rsid w:val="17A821AF"/>
    <w:rsid w:val="17B1375A"/>
    <w:rsid w:val="17BB43EA"/>
    <w:rsid w:val="17BF7EF1"/>
    <w:rsid w:val="17C0574B"/>
    <w:rsid w:val="17CC0594"/>
    <w:rsid w:val="17D3547E"/>
    <w:rsid w:val="17DD776B"/>
    <w:rsid w:val="17E17EB7"/>
    <w:rsid w:val="17E21B65"/>
    <w:rsid w:val="17E65B91"/>
    <w:rsid w:val="17EE050A"/>
    <w:rsid w:val="17FD074D"/>
    <w:rsid w:val="180003F6"/>
    <w:rsid w:val="18003D99"/>
    <w:rsid w:val="18033588"/>
    <w:rsid w:val="180460C9"/>
    <w:rsid w:val="18062DCE"/>
    <w:rsid w:val="18133ACD"/>
    <w:rsid w:val="18143933"/>
    <w:rsid w:val="18173A71"/>
    <w:rsid w:val="181B0BD3"/>
    <w:rsid w:val="181F06C4"/>
    <w:rsid w:val="18245CDA"/>
    <w:rsid w:val="18277578"/>
    <w:rsid w:val="182B5993"/>
    <w:rsid w:val="182E3D48"/>
    <w:rsid w:val="1830753E"/>
    <w:rsid w:val="184525A3"/>
    <w:rsid w:val="18485060"/>
    <w:rsid w:val="185B75E9"/>
    <w:rsid w:val="186235DE"/>
    <w:rsid w:val="186C142F"/>
    <w:rsid w:val="18741962"/>
    <w:rsid w:val="188C1B7B"/>
    <w:rsid w:val="188D5986"/>
    <w:rsid w:val="189C2603"/>
    <w:rsid w:val="18A46A59"/>
    <w:rsid w:val="18AE4EDA"/>
    <w:rsid w:val="18BB41BF"/>
    <w:rsid w:val="18BD3736"/>
    <w:rsid w:val="18C07672"/>
    <w:rsid w:val="18C474BD"/>
    <w:rsid w:val="18C570C9"/>
    <w:rsid w:val="18D20055"/>
    <w:rsid w:val="18DB2066"/>
    <w:rsid w:val="18E13BCB"/>
    <w:rsid w:val="18E16793"/>
    <w:rsid w:val="18E44B39"/>
    <w:rsid w:val="19044E77"/>
    <w:rsid w:val="190C2EB6"/>
    <w:rsid w:val="190D42E2"/>
    <w:rsid w:val="191D4229"/>
    <w:rsid w:val="192671D7"/>
    <w:rsid w:val="19277699"/>
    <w:rsid w:val="19287A4C"/>
    <w:rsid w:val="192B489D"/>
    <w:rsid w:val="192C753C"/>
    <w:rsid w:val="193E10FF"/>
    <w:rsid w:val="194C0F6C"/>
    <w:rsid w:val="194E6458"/>
    <w:rsid w:val="19566367"/>
    <w:rsid w:val="195C5947"/>
    <w:rsid w:val="19616ABA"/>
    <w:rsid w:val="196324EA"/>
    <w:rsid w:val="196842EC"/>
    <w:rsid w:val="196F11D7"/>
    <w:rsid w:val="19760FDF"/>
    <w:rsid w:val="19832ED4"/>
    <w:rsid w:val="19884F85"/>
    <w:rsid w:val="19932A28"/>
    <w:rsid w:val="1998697F"/>
    <w:rsid w:val="19991C57"/>
    <w:rsid w:val="19995BDB"/>
    <w:rsid w:val="199A7A37"/>
    <w:rsid w:val="199D770B"/>
    <w:rsid w:val="19A215AC"/>
    <w:rsid w:val="19C239FC"/>
    <w:rsid w:val="19C96316"/>
    <w:rsid w:val="19DE010A"/>
    <w:rsid w:val="19E14285"/>
    <w:rsid w:val="19E4168D"/>
    <w:rsid w:val="19E9328C"/>
    <w:rsid w:val="19F84A44"/>
    <w:rsid w:val="19F940CB"/>
    <w:rsid w:val="19FB7011"/>
    <w:rsid w:val="19FD2C86"/>
    <w:rsid w:val="1A0F2F78"/>
    <w:rsid w:val="1A11228E"/>
    <w:rsid w:val="1A13040E"/>
    <w:rsid w:val="1A1B135F"/>
    <w:rsid w:val="1A1F14F9"/>
    <w:rsid w:val="1A204D0E"/>
    <w:rsid w:val="1A3146DE"/>
    <w:rsid w:val="1A387A77"/>
    <w:rsid w:val="1A3F504D"/>
    <w:rsid w:val="1A423CA5"/>
    <w:rsid w:val="1A4A57A0"/>
    <w:rsid w:val="1A4B1793"/>
    <w:rsid w:val="1A4B2A21"/>
    <w:rsid w:val="1A5B175B"/>
    <w:rsid w:val="1A5C5ADE"/>
    <w:rsid w:val="1A6E7C6C"/>
    <w:rsid w:val="1A7534B4"/>
    <w:rsid w:val="1A784672"/>
    <w:rsid w:val="1A785F0D"/>
    <w:rsid w:val="1A8210FC"/>
    <w:rsid w:val="1A852133"/>
    <w:rsid w:val="1A930EF5"/>
    <w:rsid w:val="1A954C6D"/>
    <w:rsid w:val="1A9D6217"/>
    <w:rsid w:val="1AA17AB6"/>
    <w:rsid w:val="1AA2738A"/>
    <w:rsid w:val="1AAA1AC2"/>
    <w:rsid w:val="1AAE3F81"/>
    <w:rsid w:val="1AB44A00"/>
    <w:rsid w:val="1AC70248"/>
    <w:rsid w:val="1AC704E3"/>
    <w:rsid w:val="1AC76DF0"/>
    <w:rsid w:val="1ADA02D8"/>
    <w:rsid w:val="1ADD2CBD"/>
    <w:rsid w:val="1ADF238C"/>
    <w:rsid w:val="1AE2533C"/>
    <w:rsid w:val="1AE83075"/>
    <w:rsid w:val="1AE832A0"/>
    <w:rsid w:val="1AEC68C5"/>
    <w:rsid w:val="1AF82610"/>
    <w:rsid w:val="1AFC6A9A"/>
    <w:rsid w:val="1AFD0FB2"/>
    <w:rsid w:val="1AFE64BE"/>
    <w:rsid w:val="1B0765CF"/>
    <w:rsid w:val="1B0818E3"/>
    <w:rsid w:val="1B171E6E"/>
    <w:rsid w:val="1B293607"/>
    <w:rsid w:val="1B2C48AD"/>
    <w:rsid w:val="1B2F50C2"/>
    <w:rsid w:val="1B324C48"/>
    <w:rsid w:val="1B3950CA"/>
    <w:rsid w:val="1B413411"/>
    <w:rsid w:val="1B4F57C2"/>
    <w:rsid w:val="1B55264E"/>
    <w:rsid w:val="1B56689D"/>
    <w:rsid w:val="1B682381"/>
    <w:rsid w:val="1B6C7284"/>
    <w:rsid w:val="1B704700"/>
    <w:rsid w:val="1B794434"/>
    <w:rsid w:val="1B8A22F8"/>
    <w:rsid w:val="1B9273FE"/>
    <w:rsid w:val="1B9B2757"/>
    <w:rsid w:val="1BA10D09"/>
    <w:rsid w:val="1BA17641"/>
    <w:rsid w:val="1BAA299A"/>
    <w:rsid w:val="1BB630ED"/>
    <w:rsid w:val="1BBD7433"/>
    <w:rsid w:val="1BC21F3A"/>
    <w:rsid w:val="1BC3580A"/>
    <w:rsid w:val="1BC51582"/>
    <w:rsid w:val="1BCF2401"/>
    <w:rsid w:val="1BEB6BDD"/>
    <w:rsid w:val="1BF63E31"/>
    <w:rsid w:val="1BF65BDF"/>
    <w:rsid w:val="1BF90546"/>
    <w:rsid w:val="1BF95F1A"/>
    <w:rsid w:val="1C0D58D1"/>
    <w:rsid w:val="1C113DCB"/>
    <w:rsid w:val="1C116575"/>
    <w:rsid w:val="1C131881"/>
    <w:rsid w:val="1C132E2E"/>
    <w:rsid w:val="1C1C27D6"/>
    <w:rsid w:val="1C1D316C"/>
    <w:rsid w:val="1C1E028A"/>
    <w:rsid w:val="1C220782"/>
    <w:rsid w:val="1C252021"/>
    <w:rsid w:val="1C290FDE"/>
    <w:rsid w:val="1C297D63"/>
    <w:rsid w:val="1C2C1334"/>
    <w:rsid w:val="1C3005C0"/>
    <w:rsid w:val="1C35201E"/>
    <w:rsid w:val="1C387FA6"/>
    <w:rsid w:val="1C42319D"/>
    <w:rsid w:val="1C450915"/>
    <w:rsid w:val="1C4E5A1B"/>
    <w:rsid w:val="1C50124F"/>
    <w:rsid w:val="1C565A10"/>
    <w:rsid w:val="1C590F97"/>
    <w:rsid w:val="1C6C40F3"/>
    <w:rsid w:val="1C6D0077"/>
    <w:rsid w:val="1C6E5776"/>
    <w:rsid w:val="1C717246"/>
    <w:rsid w:val="1C7A6810"/>
    <w:rsid w:val="1C8B457A"/>
    <w:rsid w:val="1C8F312E"/>
    <w:rsid w:val="1C9D24FF"/>
    <w:rsid w:val="1CA13D9D"/>
    <w:rsid w:val="1CA70C88"/>
    <w:rsid w:val="1CB3587E"/>
    <w:rsid w:val="1CBF2475"/>
    <w:rsid w:val="1CC23B86"/>
    <w:rsid w:val="1CD438BF"/>
    <w:rsid w:val="1CD6156D"/>
    <w:rsid w:val="1CD77B2B"/>
    <w:rsid w:val="1CE11DDF"/>
    <w:rsid w:val="1CEF456B"/>
    <w:rsid w:val="1CF13FD3"/>
    <w:rsid w:val="1CF53FC4"/>
    <w:rsid w:val="1CF62545"/>
    <w:rsid w:val="1CF75C8D"/>
    <w:rsid w:val="1CFB6682"/>
    <w:rsid w:val="1D043628"/>
    <w:rsid w:val="1D091942"/>
    <w:rsid w:val="1D0D3789"/>
    <w:rsid w:val="1D19735C"/>
    <w:rsid w:val="1D1A58FD"/>
    <w:rsid w:val="1D1F367D"/>
    <w:rsid w:val="1D210A3A"/>
    <w:rsid w:val="1D24052A"/>
    <w:rsid w:val="1D281CF6"/>
    <w:rsid w:val="1D2F4C3E"/>
    <w:rsid w:val="1D37290B"/>
    <w:rsid w:val="1D412E8A"/>
    <w:rsid w:val="1D6131F2"/>
    <w:rsid w:val="1D656883"/>
    <w:rsid w:val="1D681CCB"/>
    <w:rsid w:val="1D6C0EA7"/>
    <w:rsid w:val="1D7040C5"/>
    <w:rsid w:val="1D7512D3"/>
    <w:rsid w:val="1D7812B0"/>
    <w:rsid w:val="1D790876"/>
    <w:rsid w:val="1D815CEE"/>
    <w:rsid w:val="1D843DB9"/>
    <w:rsid w:val="1D8D60CF"/>
    <w:rsid w:val="1D90796E"/>
    <w:rsid w:val="1D954F84"/>
    <w:rsid w:val="1D9A259A"/>
    <w:rsid w:val="1DA46AC7"/>
    <w:rsid w:val="1DAB29F9"/>
    <w:rsid w:val="1DB00010"/>
    <w:rsid w:val="1DB83859"/>
    <w:rsid w:val="1DC9034C"/>
    <w:rsid w:val="1DD0420E"/>
    <w:rsid w:val="1DD563AA"/>
    <w:rsid w:val="1DE026A3"/>
    <w:rsid w:val="1DE32193"/>
    <w:rsid w:val="1DF246F1"/>
    <w:rsid w:val="1DF4614E"/>
    <w:rsid w:val="1DFB4D49"/>
    <w:rsid w:val="1E164456"/>
    <w:rsid w:val="1E166F0F"/>
    <w:rsid w:val="1E1B192D"/>
    <w:rsid w:val="1E1E4F79"/>
    <w:rsid w:val="1E23519B"/>
    <w:rsid w:val="1E2524D6"/>
    <w:rsid w:val="1E36042F"/>
    <w:rsid w:val="1E3B002F"/>
    <w:rsid w:val="1E42736D"/>
    <w:rsid w:val="1E463D59"/>
    <w:rsid w:val="1E4A2212"/>
    <w:rsid w:val="1E4C1AE7"/>
    <w:rsid w:val="1E4E1D03"/>
    <w:rsid w:val="1E543091"/>
    <w:rsid w:val="1E58492F"/>
    <w:rsid w:val="1E601A36"/>
    <w:rsid w:val="1E674B72"/>
    <w:rsid w:val="1E731769"/>
    <w:rsid w:val="1E796654"/>
    <w:rsid w:val="1E8A0861"/>
    <w:rsid w:val="1E97312B"/>
    <w:rsid w:val="1E9A5521"/>
    <w:rsid w:val="1EA637C5"/>
    <w:rsid w:val="1EAF004C"/>
    <w:rsid w:val="1EB17AB5"/>
    <w:rsid w:val="1EB63404"/>
    <w:rsid w:val="1EB83620"/>
    <w:rsid w:val="1EB86A30"/>
    <w:rsid w:val="1EB8717C"/>
    <w:rsid w:val="1EBC4DD3"/>
    <w:rsid w:val="1EC10726"/>
    <w:rsid w:val="1EC33952"/>
    <w:rsid w:val="1EC5042D"/>
    <w:rsid w:val="1ED0270D"/>
    <w:rsid w:val="1EDB10BC"/>
    <w:rsid w:val="1EDE58F5"/>
    <w:rsid w:val="1EE371AA"/>
    <w:rsid w:val="1EF1268E"/>
    <w:rsid w:val="1EF3707C"/>
    <w:rsid w:val="1EF81C6E"/>
    <w:rsid w:val="1F114ADE"/>
    <w:rsid w:val="1F136AA8"/>
    <w:rsid w:val="1F152820"/>
    <w:rsid w:val="1F2111C5"/>
    <w:rsid w:val="1F226F7F"/>
    <w:rsid w:val="1F285E71"/>
    <w:rsid w:val="1F2E38E2"/>
    <w:rsid w:val="1F2E743E"/>
    <w:rsid w:val="1F3F164B"/>
    <w:rsid w:val="1F3F5F10"/>
    <w:rsid w:val="1F43738D"/>
    <w:rsid w:val="1F4D3EAD"/>
    <w:rsid w:val="1F5275D0"/>
    <w:rsid w:val="1F66518D"/>
    <w:rsid w:val="1F7D0B22"/>
    <w:rsid w:val="1F9140AC"/>
    <w:rsid w:val="1FA12306"/>
    <w:rsid w:val="1FB776FD"/>
    <w:rsid w:val="1FBF028E"/>
    <w:rsid w:val="1FC91294"/>
    <w:rsid w:val="1FD224BF"/>
    <w:rsid w:val="1FD46237"/>
    <w:rsid w:val="1FE40C4E"/>
    <w:rsid w:val="1FEB3581"/>
    <w:rsid w:val="1FED10A7"/>
    <w:rsid w:val="1FEF6BCD"/>
    <w:rsid w:val="1FF02946"/>
    <w:rsid w:val="1FF35C5B"/>
    <w:rsid w:val="1FF42436"/>
    <w:rsid w:val="1FFE79E6"/>
    <w:rsid w:val="2003588A"/>
    <w:rsid w:val="200D13EB"/>
    <w:rsid w:val="201725C8"/>
    <w:rsid w:val="201D27FE"/>
    <w:rsid w:val="2024684F"/>
    <w:rsid w:val="20356F10"/>
    <w:rsid w:val="204038CD"/>
    <w:rsid w:val="20421C31"/>
    <w:rsid w:val="20426816"/>
    <w:rsid w:val="20436F19"/>
    <w:rsid w:val="20496F6A"/>
    <w:rsid w:val="204D7D98"/>
    <w:rsid w:val="204E5502"/>
    <w:rsid w:val="20515ADA"/>
    <w:rsid w:val="20547378"/>
    <w:rsid w:val="20636ADA"/>
    <w:rsid w:val="20640664"/>
    <w:rsid w:val="20651585"/>
    <w:rsid w:val="20653333"/>
    <w:rsid w:val="206C2914"/>
    <w:rsid w:val="207277FE"/>
    <w:rsid w:val="207E43F5"/>
    <w:rsid w:val="208328D1"/>
    <w:rsid w:val="20874083"/>
    <w:rsid w:val="208F215E"/>
    <w:rsid w:val="209158BF"/>
    <w:rsid w:val="20971013"/>
    <w:rsid w:val="2097179A"/>
    <w:rsid w:val="209B7061"/>
    <w:rsid w:val="20B87907"/>
    <w:rsid w:val="20C223A0"/>
    <w:rsid w:val="20C55B80"/>
    <w:rsid w:val="20C7507D"/>
    <w:rsid w:val="20CA5D3E"/>
    <w:rsid w:val="20CB2EE3"/>
    <w:rsid w:val="20CD2732"/>
    <w:rsid w:val="20CE712B"/>
    <w:rsid w:val="20DE03B8"/>
    <w:rsid w:val="20E56222"/>
    <w:rsid w:val="20F3093F"/>
    <w:rsid w:val="20F85F56"/>
    <w:rsid w:val="21020B82"/>
    <w:rsid w:val="21040F3B"/>
    <w:rsid w:val="21051AFB"/>
    <w:rsid w:val="211B179B"/>
    <w:rsid w:val="21205545"/>
    <w:rsid w:val="21230D1E"/>
    <w:rsid w:val="21254871"/>
    <w:rsid w:val="21376332"/>
    <w:rsid w:val="213F3B84"/>
    <w:rsid w:val="214747E7"/>
    <w:rsid w:val="215A451A"/>
    <w:rsid w:val="215F244B"/>
    <w:rsid w:val="21621621"/>
    <w:rsid w:val="216463DD"/>
    <w:rsid w:val="2167273C"/>
    <w:rsid w:val="216D7D29"/>
    <w:rsid w:val="2177331E"/>
    <w:rsid w:val="2178563E"/>
    <w:rsid w:val="217952E8"/>
    <w:rsid w:val="217D645B"/>
    <w:rsid w:val="217F21D3"/>
    <w:rsid w:val="21843C8D"/>
    <w:rsid w:val="218B35BD"/>
    <w:rsid w:val="218B501C"/>
    <w:rsid w:val="218B7722"/>
    <w:rsid w:val="21957C48"/>
    <w:rsid w:val="219D6461"/>
    <w:rsid w:val="219F086E"/>
    <w:rsid w:val="21B04A82"/>
    <w:rsid w:val="21B93937"/>
    <w:rsid w:val="21C50DFB"/>
    <w:rsid w:val="21C916A0"/>
    <w:rsid w:val="21CE7D5F"/>
    <w:rsid w:val="21D56297"/>
    <w:rsid w:val="21DB3A08"/>
    <w:rsid w:val="21DE6247"/>
    <w:rsid w:val="21DF17AC"/>
    <w:rsid w:val="21E40288"/>
    <w:rsid w:val="21E62252"/>
    <w:rsid w:val="21F04E7F"/>
    <w:rsid w:val="21F65675"/>
    <w:rsid w:val="21F77FBB"/>
    <w:rsid w:val="21FC01FD"/>
    <w:rsid w:val="21FE134A"/>
    <w:rsid w:val="2201782D"/>
    <w:rsid w:val="220947A6"/>
    <w:rsid w:val="222057EB"/>
    <w:rsid w:val="22241F3A"/>
    <w:rsid w:val="22444F1F"/>
    <w:rsid w:val="22494FF3"/>
    <w:rsid w:val="224C2CC3"/>
    <w:rsid w:val="224E4CEF"/>
    <w:rsid w:val="224F429B"/>
    <w:rsid w:val="22557968"/>
    <w:rsid w:val="22673393"/>
    <w:rsid w:val="22745AB0"/>
    <w:rsid w:val="22783716"/>
    <w:rsid w:val="22871B7A"/>
    <w:rsid w:val="228F37ED"/>
    <w:rsid w:val="2294423D"/>
    <w:rsid w:val="229B60CA"/>
    <w:rsid w:val="22A06ABF"/>
    <w:rsid w:val="22AC150A"/>
    <w:rsid w:val="22B06C3A"/>
    <w:rsid w:val="22B37F0A"/>
    <w:rsid w:val="22B45EAC"/>
    <w:rsid w:val="22B60126"/>
    <w:rsid w:val="22B717AA"/>
    <w:rsid w:val="22BD7457"/>
    <w:rsid w:val="22C500B9"/>
    <w:rsid w:val="22C5501C"/>
    <w:rsid w:val="22D80C0E"/>
    <w:rsid w:val="22D93B65"/>
    <w:rsid w:val="22E07116"/>
    <w:rsid w:val="22E27C9B"/>
    <w:rsid w:val="22EC1AEA"/>
    <w:rsid w:val="22F83FEB"/>
    <w:rsid w:val="22FE1E90"/>
    <w:rsid w:val="22FF5EF5"/>
    <w:rsid w:val="2309269C"/>
    <w:rsid w:val="230B6414"/>
    <w:rsid w:val="230C3637"/>
    <w:rsid w:val="23124243"/>
    <w:rsid w:val="23147F1E"/>
    <w:rsid w:val="231A6657"/>
    <w:rsid w:val="231A6D7C"/>
    <w:rsid w:val="23272B22"/>
    <w:rsid w:val="232C11D2"/>
    <w:rsid w:val="232D78BA"/>
    <w:rsid w:val="232F5E42"/>
    <w:rsid w:val="234D304A"/>
    <w:rsid w:val="234F0CBD"/>
    <w:rsid w:val="23554D74"/>
    <w:rsid w:val="23566F63"/>
    <w:rsid w:val="235A7FE6"/>
    <w:rsid w:val="235D7DF9"/>
    <w:rsid w:val="23617134"/>
    <w:rsid w:val="23675615"/>
    <w:rsid w:val="23700025"/>
    <w:rsid w:val="2375388E"/>
    <w:rsid w:val="23771350"/>
    <w:rsid w:val="237E0ABA"/>
    <w:rsid w:val="238910E7"/>
    <w:rsid w:val="238B1303"/>
    <w:rsid w:val="238C0BD7"/>
    <w:rsid w:val="239522B1"/>
    <w:rsid w:val="23A70F27"/>
    <w:rsid w:val="23AD7671"/>
    <w:rsid w:val="23AF4E05"/>
    <w:rsid w:val="23B12480"/>
    <w:rsid w:val="23B762EA"/>
    <w:rsid w:val="23BA3996"/>
    <w:rsid w:val="23BC770E"/>
    <w:rsid w:val="23C013D8"/>
    <w:rsid w:val="23CA5574"/>
    <w:rsid w:val="23CD2828"/>
    <w:rsid w:val="23D13268"/>
    <w:rsid w:val="23D66647"/>
    <w:rsid w:val="23D809F1"/>
    <w:rsid w:val="23DC5358"/>
    <w:rsid w:val="23DF7BD6"/>
    <w:rsid w:val="23E17175"/>
    <w:rsid w:val="23ED401F"/>
    <w:rsid w:val="23EE3640"/>
    <w:rsid w:val="23F21382"/>
    <w:rsid w:val="23F5677C"/>
    <w:rsid w:val="23F92711"/>
    <w:rsid w:val="23FC7B0B"/>
    <w:rsid w:val="240B2B0A"/>
    <w:rsid w:val="2415687F"/>
    <w:rsid w:val="241E5CD3"/>
    <w:rsid w:val="24207C9D"/>
    <w:rsid w:val="242542F3"/>
    <w:rsid w:val="242A0B1C"/>
    <w:rsid w:val="242C2571"/>
    <w:rsid w:val="2435126F"/>
    <w:rsid w:val="24353BD9"/>
    <w:rsid w:val="2436215C"/>
    <w:rsid w:val="24482D50"/>
    <w:rsid w:val="244871F4"/>
    <w:rsid w:val="244A4D1A"/>
    <w:rsid w:val="2454722D"/>
    <w:rsid w:val="245A7265"/>
    <w:rsid w:val="24681644"/>
    <w:rsid w:val="246A53BC"/>
    <w:rsid w:val="24762DA6"/>
    <w:rsid w:val="24780825"/>
    <w:rsid w:val="247A6A38"/>
    <w:rsid w:val="2485348A"/>
    <w:rsid w:val="24853FA4"/>
    <w:rsid w:val="24857A62"/>
    <w:rsid w:val="24973571"/>
    <w:rsid w:val="24973CD7"/>
    <w:rsid w:val="24A12CAF"/>
    <w:rsid w:val="24A81A41"/>
    <w:rsid w:val="24AA3A0B"/>
    <w:rsid w:val="24B108F5"/>
    <w:rsid w:val="24B30B11"/>
    <w:rsid w:val="24B939FF"/>
    <w:rsid w:val="24BB5C18"/>
    <w:rsid w:val="24CC3981"/>
    <w:rsid w:val="24CD5EC1"/>
    <w:rsid w:val="24D10F97"/>
    <w:rsid w:val="24D26ABE"/>
    <w:rsid w:val="24D5082A"/>
    <w:rsid w:val="24E567F1"/>
    <w:rsid w:val="24EE6A29"/>
    <w:rsid w:val="24F20F0E"/>
    <w:rsid w:val="24FD7FDE"/>
    <w:rsid w:val="24FE71FC"/>
    <w:rsid w:val="24FE78B3"/>
    <w:rsid w:val="2500187D"/>
    <w:rsid w:val="2505173A"/>
    <w:rsid w:val="25096983"/>
    <w:rsid w:val="250F7D12"/>
    <w:rsid w:val="25137802"/>
    <w:rsid w:val="251470D6"/>
    <w:rsid w:val="251A293E"/>
    <w:rsid w:val="251E730D"/>
    <w:rsid w:val="25205A7B"/>
    <w:rsid w:val="252217F3"/>
    <w:rsid w:val="25253091"/>
    <w:rsid w:val="25290DD3"/>
    <w:rsid w:val="25311138"/>
    <w:rsid w:val="25313462"/>
    <w:rsid w:val="25315087"/>
    <w:rsid w:val="25382DC5"/>
    <w:rsid w:val="253B28B5"/>
    <w:rsid w:val="254E2DD5"/>
    <w:rsid w:val="25573F6E"/>
    <w:rsid w:val="25585215"/>
    <w:rsid w:val="25652B59"/>
    <w:rsid w:val="256911D0"/>
    <w:rsid w:val="256E13AF"/>
    <w:rsid w:val="256E2C8A"/>
    <w:rsid w:val="257760D2"/>
    <w:rsid w:val="257F6C45"/>
    <w:rsid w:val="258723F7"/>
    <w:rsid w:val="25902C01"/>
    <w:rsid w:val="2593624D"/>
    <w:rsid w:val="259C5774"/>
    <w:rsid w:val="259F37A3"/>
    <w:rsid w:val="25A641D2"/>
    <w:rsid w:val="25A86641"/>
    <w:rsid w:val="25A970BB"/>
    <w:rsid w:val="25B1778B"/>
    <w:rsid w:val="25B34B41"/>
    <w:rsid w:val="25BA5ED0"/>
    <w:rsid w:val="25BC0EAB"/>
    <w:rsid w:val="25BC39F6"/>
    <w:rsid w:val="25BF5294"/>
    <w:rsid w:val="25DF1492"/>
    <w:rsid w:val="25E07CD6"/>
    <w:rsid w:val="25E42F4C"/>
    <w:rsid w:val="25E46AA9"/>
    <w:rsid w:val="25E642F8"/>
    <w:rsid w:val="25F5515A"/>
    <w:rsid w:val="260F0B72"/>
    <w:rsid w:val="26213859"/>
    <w:rsid w:val="262607C4"/>
    <w:rsid w:val="262B2929"/>
    <w:rsid w:val="263E265D"/>
    <w:rsid w:val="26402C29"/>
    <w:rsid w:val="2649466B"/>
    <w:rsid w:val="264D28A0"/>
    <w:rsid w:val="26527989"/>
    <w:rsid w:val="26534100"/>
    <w:rsid w:val="2657371E"/>
    <w:rsid w:val="26633E71"/>
    <w:rsid w:val="266542BC"/>
    <w:rsid w:val="26712A32"/>
    <w:rsid w:val="267252A2"/>
    <w:rsid w:val="267D5B79"/>
    <w:rsid w:val="26962499"/>
    <w:rsid w:val="26962A5E"/>
    <w:rsid w:val="269B185D"/>
    <w:rsid w:val="26A82166"/>
    <w:rsid w:val="26AE5C66"/>
    <w:rsid w:val="26B5427E"/>
    <w:rsid w:val="26B563C9"/>
    <w:rsid w:val="26B741BD"/>
    <w:rsid w:val="26BD1A51"/>
    <w:rsid w:val="26BE379D"/>
    <w:rsid w:val="26C20D91"/>
    <w:rsid w:val="26C64400"/>
    <w:rsid w:val="26CD4786"/>
    <w:rsid w:val="26CE734E"/>
    <w:rsid w:val="26D20FF7"/>
    <w:rsid w:val="26E33204"/>
    <w:rsid w:val="26E34FB2"/>
    <w:rsid w:val="26EC0D00"/>
    <w:rsid w:val="26EC771C"/>
    <w:rsid w:val="26F1147D"/>
    <w:rsid w:val="26F61BE2"/>
    <w:rsid w:val="26F759DA"/>
    <w:rsid w:val="26FB3D55"/>
    <w:rsid w:val="26FB67A0"/>
    <w:rsid w:val="27072CB4"/>
    <w:rsid w:val="270814A5"/>
    <w:rsid w:val="271E423C"/>
    <w:rsid w:val="27291164"/>
    <w:rsid w:val="273258E3"/>
    <w:rsid w:val="27383550"/>
    <w:rsid w:val="273B4E9A"/>
    <w:rsid w:val="273D3956"/>
    <w:rsid w:val="273E043A"/>
    <w:rsid w:val="27457A1B"/>
    <w:rsid w:val="27702CEA"/>
    <w:rsid w:val="277B57A8"/>
    <w:rsid w:val="27832E69"/>
    <w:rsid w:val="279A67E8"/>
    <w:rsid w:val="279D76B2"/>
    <w:rsid w:val="27A91D58"/>
    <w:rsid w:val="27A961FC"/>
    <w:rsid w:val="27AE55C0"/>
    <w:rsid w:val="27BE3CFB"/>
    <w:rsid w:val="27BF77CD"/>
    <w:rsid w:val="27C4285D"/>
    <w:rsid w:val="27C44DE4"/>
    <w:rsid w:val="27C61896"/>
    <w:rsid w:val="27D019DA"/>
    <w:rsid w:val="27D13F50"/>
    <w:rsid w:val="27D278A8"/>
    <w:rsid w:val="27D47092"/>
    <w:rsid w:val="27D56FF1"/>
    <w:rsid w:val="27D668C5"/>
    <w:rsid w:val="27DE0A53"/>
    <w:rsid w:val="27DF5779"/>
    <w:rsid w:val="27E56B08"/>
    <w:rsid w:val="27ED3738"/>
    <w:rsid w:val="27ED55FA"/>
    <w:rsid w:val="27F20330"/>
    <w:rsid w:val="27F27D86"/>
    <w:rsid w:val="27F41FDE"/>
    <w:rsid w:val="27F8683B"/>
    <w:rsid w:val="27FF7B21"/>
    <w:rsid w:val="28072F22"/>
    <w:rsid w:val="28081174"/>
    <w:rsid w:val="28123DA1"/>
    <w:rsid w:val="281317BC"/>
    <w:rsid w:val="28185254"/>
    <w:rsid w:val="281C4C20"/>
    <w:rsid w:val="282B09BF"/>
    <w:rsid w:val="28335AC5"/>
    <w:rsid w:val="283A50A6"/>
    <w:rsid w:val="283C7E0F"/>
    <w:rsid w:val="283F26BC"/>
    <w:rsid w:val="28441A80"/>
    <w:rsid w:val="28444A4F"/>
    <w:rsid w:val="28491DA7"/>
    <w:rsid w:val="285543BA"/>
    <w:rsid w:val="285C19C9"/>
    <w:rsid w:val="285C6094"/>
    <w:rsid w:val="286E76B0"/>
    <w:rsid w:val="28704ADC"/>
    <w:rsid w:val="287158E1"/>
    <w:rsid w:val="2879797C"/>
    <w:rsid w:val="287E31E4"/>
    <w:rsid w:val="28804AE4"/>
    <w:rsid w:val="288362DB"/>
    <w:rsid w:val="288B3B53"/>
    <w:rsid w:val="28904CC6"/>
    <w:rsid w:val="289144E1"/>
    <w:rsid w:val="28926C90"/>
    <w:rsid w:val="289904EC"/>
    <w:rsid w:val="28991DCC"/>
    <w:rsid w:val="289F315B"/>
    <w:rsid w:val="28B23B7C"/>
    <w:rsid w:val="28B44CFD"/>
    <w:rsid w:val="28B5472C"/>
    <w:rsid w:val="28B7027D"/>
    <w:rsid w:val="28C0118B"/>
    <w:rsid w:val="28C66CF1"/>
    <w:rsid w:val="28D21782"/>
    <w:rsid w:val="28D728F5"/>
    <w:rsid w:val="28DC7F0B"/>
    <w:rsid w:val="28E21AAC"/>
    <w:rsid w:val="28EB115F"/>
    <w:rsid w:val="28ED61D9"/>
    <w:rsid w:val="28F11C08"/>
    <w:rsid w:val="28F25980"/>
    <w:rsid w:val="28F506B3"/>
    <w:rsid w:val="28F923F7"/>
    <w:rsid w:val="28FE60D3"/>
    <w:rsid w:val="290033B3"/>
    <w:rsid w:val="29004840"/>
    <w:rsid w:val="29053906"/>
    <w:rsid w:val="290840CD"/>
    <w:rsid w:val="29127DD1"/>
    <w:rsid w:val="2916341D"/>
    <w:rsid w:val="291E6775"/>
    <w:rsid w:val="29201C2E"/>
    <w:rsid w:val="29275FFD"/>
    <w:rsid w:val="29332221"/>
    <w:rsid w:val="29336405"/>
    <w:rsid w:val="29345F99"/>
    <w:rsid w:val="2936693A"/>
    <w:rsid w:val="29375A84"/>
    <w:rsid w:val="29433873"/>
    <w:rsid w:val="294D27D5"/>
    <w:rsid w:val="294E705B"/>
    <w:rsid w:val="294F692F"/>
    <w:rsid w:val="295959FF"/>
    <w:rsid w:val="2963369C"/>
    <w:rsid w:val="29741A99"/>
    <w:rsid w:val="29796366"/>
    <w:rsid w:val="29846CC8"/>
    <w:rsid w:val="29986528"/>
    <w:rsid w:val="299C7BC6"/>
    <w:rsid w:val="29AE18A7"/>
    <w:rsid w:val="29AE5D4B"/>
    <w:rsid w:val="29B63ACC"/>
    <w:rsid w:val="29C520B6"/>
    <w:rsid w:val="29C63095"/>
    <w:rsid w:val="29C94933"/>
    <w:rsid w:val="29C976D6"/>
    <w:rsid w:val="29CC4268"/>
    <w:rsid w:val="29CE5AA6"/>
    <w:rsid w:val="29D8326B"/>
    <w:rsid w:val="29DA08EE"/>
    <w:rsid w:val="29E057D9"/>
    <w:rsid w:val="29EE7A91"/>
    <w:rsid w:val="29EF67CC"/>
    <w:rsid w:val="29F01908"/>
    <w:rsid w:val="29F9654E"/>
    <w:rsid w:val="2A02059F"/>
    <w:rsid w:val="2A023E19"/>
    <w:rsid w:val="2A0400B7"/>
    <w:rsid w:val="2A067935"/>
    <w:rsid w:val="2A0E67EA"/>
    <w:rsid w:val="2A180ED9"/>
    <w:rsid w:val="2A1F72B0"/>
    <w:rsid w:val="2A2E27CB"/>
    <w:rsid w:val="2A30050E"/>
    <w:rsid w:val="2A3E6603"/>
    <w:rsid w:val="2A41096D"/>
    <w:rsid w:val="2A43591D"/>
    <w:rsid w:val="2A475858"/>
    <w:rsid w:val="2A4A0E2C"/>
    <w:rsid w:val="2A4A56FF"/>
    <w:rsid w:val="2A4E3BC1"/>
    <w:rsid w:val="2A6C52BE"/>
    <w:rsid w:val="2A753999"/>
    <w:rsid w:val="2A7C19A5"/>
    <w:rsid w:val="2A7D36CB"/>
    <w:rsid w:val="2A7D7DA8"/>
    <w:rsid w:val="2A830F86"/>
    <w:rsid w:val="2A8E1AE7"/>
    <w:rsid w:val="2A9C6891"/>
    <w:rsid w:val="2AC60E73"/>
    <w:rsid w:val="2AC84BEB"/>
    <w:rsid w:val="2ACF7D27"/>
    <w:rsid w:val="2AD27817"/>
    <w:rsid w:val="2AE00215"/>
    <w:rsid w:val="2AE277C9"/>
    <w:rsid w:val="2AE75FBA"/>
    <w:rsid w:val="2AE91CF0"/>
    <w:rsid w:val="2AEB2687"/>
    <w:rsid w:val="2AED38D4"/>
    <w:rsid w:val="2AFA50E7"/>
    <w:rsid w:val="2AFE7BD8"/>
    <w:rsid w:val="2B0627EA"/>
    <w:rsid w:val="2B073965"/>
    <w:rsid w:val="2B086ABE"/>
    <w:rsid w:val="2B1020EE"/>
    <w:rsid w:val="2B12230A"/>
    <w:rsid w:val="2B141BDE"/>
    <w:rsid w:val="2B142426"/>
    <w:rsid w:val="2B1429D4"/>
    <w:rsid w:val="2B167A33"/>
    <w:rsid w:val="2B1B11A7"/>
    <w:rsid w:val="2B1C5C3D"/>
    <w:rsid w:val="2B2154CC"/>
    <w:rsid w:val="2B2661BB"/>
    <w:rsid w:val="2B271557"/>
    <w:rsid w:val="2B2A7653"/>
    <w:rsid w:val="2B3109E2"/>
    <w:rsid w:val="2B3202B6"/>
    <w:rsid w:val="2B411449"/>
    <w:rsid w:val="2B471FB3"/>
    <w:rsid w:val="2B522706"/>
    <w:rsid w:val="2B533EDE"/>
    <w:rsid w:val="2B604E23"/>
    <w:rsid w:val="2B6F150A"/>
    <w:rsid w:val="2B754A67"/>
    <w:rsid w:val="2B7F3DEB"/>
    <w:rsid w:val="2B992AB6"/>
    <w:rsid w:val="2BA20671"/>
    <w:rsid w:val="2BA750FC"/>
    <w:rsid w:val="2BB84C5F"/>
    <w:rsid w:val="2BB94533"/>
    <w:rsid w:val="2BBB64FD"/>
    <w:rsid w:val="2BC76C50"/>
    <w:rsid w:val="2BC91363"/>
    <w:rsid w:val="2BC96E6C"/>
    <w:rsid w:val="2BD24CB4"/>
    <w:rsid w:val="2BD55811"/>
    <w:rsid w:val="2BD9773F"/>
    <w:rsid w:val="2BDA12A6"/>
    <w:rsid w:val="2BE041B6"/>
    <w:rsid w:val="2BEE68D3"/>
    <w:rsid w:val="2BF13AA4"/>
    <w:rsid w:val="2BF437BD"/>
    <w:rsid w:val="2BF65788"/>
    <w:rsid w:val="2BFA5278"/>
    <w:rsid w:val="2BFD0751"/>
    <w:rsid w:val="2BFD3113"/>
    <w:rsid w:val="2BFE2E9B"/>
    <w:rsid w:val="2BFE4851"/>
    <w:rsid w:val="2C0B1233"/>
    <w:rsid w:val="2C0F23A5"/>
    <w:rsid w:val="2C105AEE"/>
    <w:rsid w:val="2C1A62A7"/>
    <w:rsid w:val="2C2312A7"/>
    <w:rsid w:val="2C293467"/>
    <w:rsid w:val="2C2F66DC"/>
    <w:rsid w:val="2C302A48"/>
    <w:rsid w:val="2C3342E6"/>
    <w:rsid w:val="2C3F2C8B"/>
    <w:rsid w:val="2C4402A1"/>
    <w:rsid w:val="2C4936A5"/>
    <w:rsid w:val="2C4A51F1"/>
    <w:rsid w:val="2C583D4C"/>
    <w:rsid w:val="2C605035"/>
    <w:rsid w:val="2C634F02"/>
    <w:rsid w:val="2C63728C"/>
    <w:rsid w:val="2C7072E8"/>
    <w:rsid w:val="2C714E0E"/>
    <w:rsid w:val="2C7217DF"/>
    <w:rsid w:val="2C730B86"/>
    <w:rsid w:val="2C747981"/>
    <w:rsid w:val="2C772424"/>
    <w:rsid w:val="2C8B4122"/>
    <w:rsid w:val="2C947767"/>
    <w:rsid w:val="2C9C00DD"/>
    <w:rsid w:val="2CA451E4"/>
    <w:rsid w:val="2CA46F92"/>
    <w:rsid w:val="2CA90A4C"/>
    <w:rsid w:val="2CAC2720"/>
    <w:rsid w:val="2CB949DE"/>
    <w:rsid w:val="2CBD6331"/>
    <w:rsid w:val="2CBE62A5"/>
    <w:rsid w:val="2CBF1B0C"/>
    <w:rsid w:val="2CC55886"/>
    <w:rsid w:val="2CCD64E8"/>
    <w:rsid w:val="2CDE06F5"/>
    <w:rsid w:val="2CE65982"/>
    <w:rsid w:val="2CE83FFC"/>
    <w:rsid w:val="2CE90E48"/>
    <w:rsid w:val="2CEB632C"/>
    <w:rsid w:val="2CEF2903"/>
    <w:rsid w:val="2CF6459B"/>
    <w:rsid w:val="2CFC09AC"/>
    <w:rsid w:val="2D0068BE"/>
    <w:rsid w:val="2D013765"/>
    <w:rsid w:val="2D04536F"/>
    <w:rsid w:val="2D087520"/>
    <w:rsid w:val="2D0F6B01"/>
    <w:rsid w:val="2D1265F1"/>
    <w:rsid w:val="2D17379E"/>
    <w:rsid w:val="2D1F2E0E"/>
    <w:rsid w:val="2D2E6FF3"/>
    <w:rsid w:val="2D304EE2"/>
    <w:rsid w:val="2D360D83"/>
    <w:rsid w:val="2D382F2D"/>
    <w:rsid w:val="2D3B4E80"/>
    <w:rsid w:val="2D3F4DB3"/>
    <w:rsid w:val="2D447E18"/>
    <w:rsid w:val="2D4C395C"/>
    <w:rsid w:val="2D5108D1"/>
    <w:rsid w:val="2D572256"/>
    <w:rsid w:val="2D6411E3"/>
    <w:rsid w:val="2D654973"/>
    <w:rsid w:val="2D797D6E"/>
    <w:rsid w:val="2D80355B"/>
    <w:rsid w:val="2D855E7E"/>
    <w:rsid w:val="2D952E00"/>
    <w:rsid w:val="2D9A6E2B"/>
    <w:rsid w:val="2D9B0395"/>
    <w:rsid w:val="2DB96A6D"/>
    <w:rsid w:val="2DBE22D5"/>
    <w:rsid w:val="2DC91269"/>
    <w:rsid w:val="2DCA0C7A"/>
    <w:rsid w:val="2DCB7A40"/>
    <w:rsid w:val="2DCE076A"/>
    <w:rsid w:val="2DD6761F"/>
    <w:rsid w:val="2DD85145"/>
    <w:rsid w:val="2DE33AEA"/>
    <w:rsid w:val="2DEC308B"/>
    <w:rsid w:val="2E0529EF"/>
    <w:rsid w:val="2E150147"/>
    <w:rsid w:val="2E1F2D74"/>
    <w:rsid w:val="2E205BAC"/>
    <w:rsid w:val="2E252E46"/>
    <w:rsid w:val="2E271C28"/>
    <w:rsid w:val="2E27400A"/>
    <w:rsid w:val="2E304F81"/>
    <w:rsid w:val="2E331801"/>
    <w:rsid w:val="2E3D769E"/>
    <w:rsid w:val="2E402CEA"/>
    <w:rsid w:val="2E422F06"/>
    <w:rsid w:val="2E425882"/>
    <w:rsid w:val="2E5844D8"/>
    <w:rsid w:val="2E5B7B24"/>
    <w:rsid w:val="2E647C32"/>
    <w:rsid w:val="2E6902AC"/>
    <w:rsid w:val="2E692241"/>
    <w:rsid w:val="2E6D248F"/>
    <w:rsid w:val="2E6F7DEA"/>
    <w:rsid w:val="2E887E23"/>
    <w:rsid w:val="2E9848D4"/>
    <w:rsid w:val="2E9C43C4"/>
    <w:rsid w:val="2EA27501"/>
    <w:rsid w:val="2EA51E5C"/>
    <w:rsid w:val="2EB56A6B"/>
    <w:rsid w:val="2EBD7AB2"/>
    <w:rsid w:val="2EC456C9"/>
    <w:rsid w:val="2ED56AF0"/>
    <w:rsid w:val="2ED97739"/>
    <w:rsid w:val="2EE074AD"/>
    <w:rsid w:val="2EEA15D4"/>
    <w:rsid w:val="2EEB31F3"/>
    <w:rsid w:val="2EED10C4"/>
    <w:rsid w:val="2EF36DB4"/>
    <w:rsid w:val="2EF44200"/>
    <w:rsid w:val="2EF628CE"/>
    <w:rsid w:val="2F0272DC"/>
    <w:rsid w:val="2F05133D"/>
    <w:rsid w:val="2F0A4E19"/>
    <w:rsid w:val="2F0B4215"/>
    <w:rsid w:val="2F133C00"/>
    <w:rsid w:val="2F1A13B4"/>
    <w:rsid w:val="2F2B79FC"/>
    <w:rsid w:val="2F325824"/>
    <w:rsid w:val="2F422421"/>
    <w:rsid w:val="2F550514"/>
    <w:rsid w:val="2F590507"/>
    <w:rsid w:val="2F7377FA"/>
    <w:rsid w:val="2F793A1F"/>
    <w:rsid w:val="2F7E1D1C"/>
    <w:rsid w:val="2F817453"/>
    <w:rsid w:val="2F8B4FD7"/>
    <w:rsid w:val="2F8F5CD7"/>
    <w:rsid w:val="2F9239AB"/>
    <w:rsid w:val="2F954ADA"/>
    <w:rsid w:val="2F9652B7"/>
    <w:rsid w:val="2F9E23BE"/>
    <w:rsid w:val="2FA72591"/>
    <w:rsid w:val="2FAE108D"/>
    <w:rsid w:val="2FB35E69"/>
    <w:rsid w:val="2FBB2F70"/>
    <w:rsid w:val="2FC212AA"/>
    <w:rsid w:val="2FC310CC"/>
    <w:rsid w:val="2FCE2B17"/>
    <w:rsid w:val="2FCE2CA3"/>
    <w:rsid w:val="2FDB3309"/>
    <w:rsid w:val="30006BD5"/>
    <w:rsid w:val="300A387F"/>
    <w:rsid w:val="300C37CC"/>
    <w:rsid w:val="30134B5A"/>
    <w:rsid w:val="301A5EE8"/>
    <w:rsid w:val="301D4801"/>
    <w:rsid w:val="302C7F17"/>
    <w:rsid w:val="3030524E"/>
    <w:rsid w:val="30335868"/>
    <w:rsid w:val="30391C23"/>
    <w:rsid w:val="304A7E50"/>
    <w:rsid w:val="30515BCB"/>
    <w:rsid w:val="305D5DD5"/>
    <w:rsid w:val="305F4F6B"/>
    <w:rsid w:val="306E0012"/>
    <w:rsid w:val="307938EF"/>
    <w:rsid w:val="307B625B"/>
    <w:rsid w:val="307E391A"/>
    <w:rsid w:val="30843362"/>
    <w:rsid w:val="30894E1C"/>
    <w:rsid w:val="309612E7"/>
    <w:rsid w:val="309F69E9"/>
    <w:rsid w:val="30A068C2"/>
    <w:rsid w:val="30A16B37"/>
    <w:rsid w:val="30A47560"/>
    <w:rsid w:val="30A52836"/>
    <w:rsid w:val="30A92DC8"/>
    <w:rsid w:val="30B0300C"/>
    <w:rsid w:val="30BF083E"/>
    <w:rsid w:val="30C329C2"/>
    <w:rsid w:val="30C61BCC"/>
    <w:rsid w:val="30C73085"/>
    <w:rsid w:val="30CC5916"/>
    <w:rsid w:val="30D065A7"/>
    <w:rsid w:val="30D16C82"/>
    <w:rsid w:val="30DE5976"/>
    <w:rsid w:val="30E031F7"/>
    <w:rsid w:val="30EC6D90"/>
    <w:rsid w:val="30EE4C7F"/>
    <w:rsid w:val="30EF5B45"/>
    <w:rsid w:val="30F34DF7"/>
    <w:rsid w:val="30F83911"/>
    <w:rsid w:val="30FC4B24"/>
    <w:rsid w:val="3106021B"/>
    <w:rsid w:val="310E5FC1"/>
    <w:rsid w:val="311566B0"/>
    <w:rsid w:val="311741D6"/>
    <w:rsid w:val="311C7A3E"/>
    <w:rsid w:val="311E5564"/>
    <w:rsid w:val="312406A1"/>
    <w:rsid w:val="31274C86"/>
    <w:rsid w:val="313528AE"/>
    <w:rsid w:val="31490108"/>
    <w:rsid w:val="314F5F4B"/>
    <w:rsid w:val="3159659D"/>
    <w:rsid w:val="31632304"/>
    <w:rsid w:val="31723B02"/>
    <w:rsid w:val="31737FFF"/>
    <w:rsid w:val="31796C3F"/>
    <w:rsid w:val="317C672F"/>
    <w:rsid w:val="318D5E54"/>
    <w:rsid w:val="318F3009"/>
    <w:rsid w:val="31994BEB"/>
    <w:rsid w:val="319B4E07"/>
    <w:rsid w:val="319D7F08"/>
    <w:rsid w:val="31A31F0E"/>
    <w:rsid w:val="31A35A6A"/>
    <w:rsid w:val="31A7675B"/>
    <w:rsid w:val="31A903D5"/>
    <w:rsid w:val="31AC4B2F"/>
    <w:rsid w:val="31AD4B3A"/>
    <w:rsid w:val="31AE2DEE"/>
    <w:rsid w:val="31B22151"/>
    <w:rsid w:val="31B71515"/>
    <w:rsid w:val="31B71E96"/>
    <w:rsid w:val="31C67CD6"/>
    <w:rsid w:val="31CA56EC"/>
    <w:rsid w:val="31D125D7"/>
    <w:rsid w:val="31D9148B"/>
    <w:rsid w:val="31DA33CD"/>
    <w:rsid w:val="31F6175D"/>
    <w:rsid w:val="31FB2FAA"/>
    <w:rsid w:val="31FF3017"/>
    <w:rsid w:val="320A7897"/>
    <w:rsid w:val="320C5FF0"/>
    <w:rsid w:val="320C7AB3"/>
    <w:rsid w:val="321D406A"/>
    <w:rsid w:val="32221084"/>
    <w:rsid w:val="322235AE"/>
    <w:rsid w:val="32242162"/>
    <w:rsid w:val="32344F29"/>
    <w:rsid w:val="32444F55"/>
    <w:rsid w:val="324A2389"/>
    <w:rsid w:val="32566F80"/>
    <w:rsid w:val="325B42F1"/>
    <w:rsid w:val="3262382C"/>
    <w:rsid w:val="326571C3"/>
    <w:rsid w:val="32685DAE"/>
    <w:rsid w:val="326A2A2B"/>
    <w:rsid w:val="326A47D9"/>
    <w:rsid w:val="32721AD6"/>
    <w:rsid w:val="32862C0A"/>
    <w:rsid w:val="32891103"/>
    <w:rsid w:val="32895479"/>
    <w:rsid w:val="3291620A"/>
    <w:rsid w:val="32943604"/>
    <w:rsid w:val="329D695D"/>
    <w:rsid w:val="32A41A99"/>
    <w:rsid w:val="32A4489C"/>
    <w:rsid w:val="32B504B0"/>
    <w:rsid w:val="32BA306B"/>
    <w:rsid w:val="32D22AAA"/>
    <w:rsid w:val="32D81743"/>
    <w:rsid w:val="32DA370D"/>
    <w:rsid w:val="32DD454A"/>
    <w:rsid w:val="32DF2AD1"/>
    <w:rsid w:val="32E75E2A"/>
    <w:rsid w:val="32ED371D"/>
    <w:rsid w:val="32F27017"/>
    <w:rsid w:val="32F81DE5"/>
    <w:rsid w:val="32FB3B53"/>
    <w:rsid w:val="32FB6E6E"/>
    <w:rsid w:val="33030EB6"/>
    <w:rsid w:val="330E1609"/>
    <w:rsid w:val="3312040E"/>
    <w:rsid w:val="3315773D"/>
    <w:rsid w:val="33185976"/>
    <w:rsid w:val="331A1DFB"/>
    <w:rsid w:val="332130EA"/>
    <w:rsid w:val="33291F9F"/>
    <w:rsid w:val="332B3AC7"/>
    <w:rsid w:val="332E3A59"/>
    <w:rsid w:val="332E5589"/>
    <w:rsid w:val="33305834"/>
    <w:rsid w:val="3333106F"/>
    <w:rsid w:val="334119DE"/>
    <w:rsid w:val="33456D4E"/>
    <w:rsid w:val="334868C9"/>
    <w:rsid w:val="334B3C08"/>
    <w:rsid w:val="335214F5"/>
    <w:rsid w:val="335A65FC"/>
    <w:rsid w:val="335C0F7B"/>
    <w:rsid w:val="335E71D1"/>
    <w:rsid w:val="33670B41"/>
    <w:rsid w:val="336F6BC3"/>
    <w:rsid w:val="337A0A4C"/>
    <w:rsid w:val="337E0E26"/>
    <w:rsid w:val="338E62A6"/>
    <w:rsid w:val="33912011"/>
    <w:rsid w:val="33916E47"/>
    <w:rsid w:val="33941B0E"/>
    <w:rsid w:val="33A53D1B"/>
    <w:rsid w:val="33A81058"/>
    <w:rsid w:val="33A8793A"/>
    <w:rsid w:val="33AD2BD0"/>
    <w:rsid w:val="33AE717E"/>
    <w:rsid w:val="33B26438"/>
    <w:rsid w:val="33BE7EEE"/>
    <w:rsid w:val="33C31432"/>
    <w:rsid w:val="33C5616B"/>
    <w:rsid w:val="33CA3272"/>
    <w:rsid w:val="33CB462F"/>
    <w:rsid w:val="33CD5020"/>
    <w:rsid w:val="33D26ADA"/>
    <w:rsid w:val="33D30C84"/>
    <w:rsid w:val="33DC21B8"/>
    <w:rsid w:val="33DC34B5"/>
    <w:rsid w:val="33E03FA6"/>
    <w:rsid w:val="33E23CF5"/>
    <w:rsid w:val="33E7791C"/>
    <w:rsid w:val="33E83C08"/>
    <w:rsid w:val="33F10B11"/>
    <w:rsid w:val="33FA6C21"/>
    <w:rsid w:val="34003796"/>
    <w:rsid w:val="340F388A"/>
    <w:rsid w:val="341D2ED3"/>
    <w:rsid w:val="341D3908"/>
    <w:rsid w:val="343B01DB"/>
    <w:rsid w:val="343C5323"/>
    <w:rsid w:val="34582D37"/>
    <w:rsid w:val="34594B05"/>
    <w:rsid w:val="34595BFB"/>
    <w:rsid w:val="34596234"/>
    <w:rsid w:val="345E211C"/>
    <w:rsid w:val="34630246"/>
    <w:rsid w:val="34684D49"/>
    <w:rsid w:val="346A6D13"/>
    <w:rsid w:val="346F2DFD"/>
    <w:rsid w:val="3478676F"/>
    <w:rsid w:val="348222AE"/>
    <w:rsid w:val="34874081"/>
    <w:rsid w:val="34926BC4"/>
    <w:rsid w:val="34992104"/>
    <w:rsid w:val="34A915E9"/>
    <w:rsid w:val="34AC10D9"/>
    <w:rsid w:val="34B06113"/>
    <w:rsid w:val="34B9521D"/>
    <w:rsid w:val="34BA6F91"/>
    <w:rsid w:val="34BB30CA"/>
    <w:rsid w:val="34BC380B"/>
    <w:rsid w:val="34BE0AF2"/>
    <w:rsid w:val="34BF1DD5"/>
    <w:rsid w:val="34BF705E"/>
    <w:rsid w:val="34C75F13"/>
    <w:rsid w:val="34CA36DC"/>
    <w:rsid w:val="34CB012C"/>
    <w:rsid w:val="34CE72A2"/>
    <w:rsid w:val="34D13C4A"/>
    <w:rsid w:val="34E1251E"/>
    <w:rsid w:val="34E84184"/>
    <w:rsid w:val="34EE34A0"/>
    <w:rsid w:val="34F14D3E"/>
    <w:rsid w:val="34F52A80"/>
    <w:rsid w:val="34FB5BBD"/>
    <w:rsid w:val="3507355A"/>
    <w:rsid w:val="350C7DCA"/>
    <w:rsid w:val="35143D98"/>
    <w:rsid w:val="351A6043"/>
    <w:rsid w:val="35223E7A"/>
    <w:rsid w:val="352A3AB6"/>
    <w:rsid w:val="352E1AEE"/>
    <w:rsid w:val="35325E8E"/>
    <w:rsid w:val="35344914"/>
    <w:rsid w:val="35380683"/>
    <w:rsid w:val="35424081"/>
    <w:rsid w:val="35441312"/>
    <w:rsid w:val="354C01C6"/>
    <w:rsid w:val="355C665B"/>
    <w:rsid w:val="35612ABD"/>
    <w:rsid w:val="35646BA9"/>
    <w:rsid w:val="35662227"/>
    <w:rsid w:val="3566572C"/>
    <w:rsid w:val="35674C0A"/>
    <w:rsid w:val="35680769"/>
    <w:rsid w:val="35725E7F"/>
    <w:rsid w:val="357A2F85"/>
    <w:rsid w:val="358520ED"/>
    <w:rsid w:val="3586192A"/>
    <w:rsid w:val="358714F1"/>
    <w:rsid w:val="358931C8"/>
    <w:rsid w:val="358A6950"/>
    <w:rsid w:val="35951B6D"/>
    <w:rsid w:val="35956B5C"/>
    <w:rsid w:val="35967BAE"/>
    <w:rsid w:val="35974BB8"/>
    <w:rsid w:val="3598059E"/>
    <w:rsid w:val="359F29EC"/>
    <w:rsid w:val="35AB762B"/>
    <w:rsid w:val="35AC48E8"/>
    <w:rsid w:val="35B24050"/>
    <w:rsid w:val="35C4335A"/>
    <w:rsid w:val="35CE3B2F"/>
    <w:rsid w:val="35D408E8"/>
    <w:rsid w:val="35D73F34"/>
    <w:rsid w:val="35D97CAC"/>
    <w:rsid w:val="35DF15F3"/>
    <w:rsid w:val="35E938D2"/>
    <w:rsid w:val="35EA21B8"/>
    <w:rsid w:val="35ED162D"/>
    <w:rsid w:val="35FC0710"/>
    <w:rsid w:val="3600792F"/>
    <w:rsid w:val="360B0081"/>
    <w:rsid w:val="36203B2D"/>
    <w:rsid w:val="362058DB"/>
    <w:rsid w:val="36310B5F"/>
    <w:rsid w:val="36323860"/>
    <w:rsid w:val="3632641D"/>
    <w:rsid w:val="364211F9"/>
    <w:rsid w:val="364E0056"/>
    <w:rsid w:val="36525CB0"/>
    <w:rsid w:val="365D22BC"/>
    <w:rsid w:val="365E4655"/>
    <w:rsid w:val="366854D4"/>
    <w:rsid w:val="366A2FFA"/>
    <w:rsid w:val="366D4898"/>
    <w:rsid w:val="36794FEB"/>
    <w:rsid w:val="367F6AB9"/>
    <w:rsid w:val="368045CB"/>
    <w:rsid w:val="368A369C"/>
    <w:rsid w:val="368A544A"/>
    <w:rsid w:val="368A71F8"/>
    <w:rsid w:val="368E25BE"/>
    <w:rsid w:val="369040CE"/>
    <w:rsid w:val="36927B64"/>
    <w:rsid w:val="36A574E6"/>
    <w:rsid w:val="36A91581"/>
    <w:rsid w:val="36A9410B"/>
    <w:rsid w:val="36AB2E58"/>
    <w:rsid w:val="36D13079"/>
    <w:rsid w:val="36DC2F6E"/>
    <w:rsid w:val="36E8639A"/>
    <w:rsid w:val="36ED5E55"/>
    <w:rsid w:val="36F823B4"/>
    <w:rsid w:val="36FB27F4"/>
    <w:rsid w:val="36FC5244"/>
    <w:rsid w:val="370E6B63"/>
    <w:rsid w:val="37152F66"/>
    <w:rsid w:val="3727030B"/>
    <w:rsid w:val="37367CC9"/>
    <w:rsid w:val="37436C8E"/>
    <w:rsid w:val="37476E97"/>
    <w:rsid w:val="37517D16"/>
    <w:rsid w:val="375C0B95"/>
    <w:rsid w:val="37684B66"/>
    <w:rsid w:val="376B0DD8"/>
    <w:rsid w:val="376B446C"/>
    <w:rsid w:val="37791D02"/>
    <w:rsid w:val="377B131A"/>
    <w:rsid w:val="377B1E30"/>
    <w:rsid w:val="378400EB"/>
    <w:rsid w:val="37930739"/>
    <w:rsid w:val="379B79CC"/>
    <w:rsid w:val="379C3687"/>
    <w:rsid w:val="379F4F25"/>
    <w:rsid w:val="37A61E10"/>
    <w:rsid w:val="37B207B5"/>
    <w:rsid w:val="37B3277F"/>
    <w:rsid w:val="37B54ECB"/>
    <w:rsid w:val="37C14E9C"/>
    <w:rsid w:val="37C4498C"/>
    <w:rsid w:val="37C711F5"/>
    <w:rsid w:val="37CD25D5"/>
    <w:rsid w:val="37D20E57"/>
    <w:rsid w:val="37D83F93"/>
    <w:rsid w:val="37E1553E"/>
    <w:rsid w:val="37F26DB9"/>
    <w:rsid w:val="37FE39FA"/>
    <w:rsid w:val="380134EA"/>
    <w:rsid w:val="3802363B"/>
    <w:rsid w:val="3805122C"/>
    <w:rsid w:val="38064FA4"/>
    <w:rsid w:val="38066D52"/>
    <w:rsid w:val="38082ACA"/>
    <w:rsid w:val="380C6B14"/>
    <w:rsid w:val="3814321D"/>
    <w:rsid w:val="381E5E4A"/>
    <w:rsid w:val="38200ED0"/>
    <w:rsid w:val="382B67B9"/>
    <w:rsid w:val="38353194"/>
    <w:rsid w:val="383B53FB"/>
    <w:rsid w:val="3842422E"/>
    <w:rsid w:val="38556F3D"/>
    <w:rsid w:val="38600426"/>
    <w:rsid w:val="38663FD8"/>
    <w:rsid w:val="386D0B7F"/>
    <w:rsid w:val="386F3554"/>
    <w:rsid w:val="386F7273"/>
    <w:rsid w:val="388A7983"/>
    <w:rsid w:val="388C54AA"/>
    <w:rsid w:val="388F6D48"/>
    <w:rsid w:val="38917282"/>
    <w:rsid w:val="389820A0"/>
    <w:rsid w:val="389E342F"/>
    <w:rsid w:val="38A55393"/>
    <w:rsid w:val="38A70CEC"/>
    <w:rsid w:val="38B12242"/>
    <w:rsid w:val="38B50FB2"/>
    <w:rsid w:val="38C10223"/>
    <w:rsid w:val="38C17F8F"/>
    <w:rsid w:val="38D34E86"/>
    <w:rsid w:val="38D86941"/>
    <w:rsid w:val="38DE55D9"/>
    <w:rsid w:val="38E52E0C"/>
    <w:rsid w:val="38E863FC"/>
    <w:rsid w:val="38E946AA"/>
    <w:rsid w:val="39027C33"/>
    <w:rsid w:val="39060F0B"/>
    <w:rsid w:val="390A4620"/>
    <w:rsid w:val="390E79A4"/>
    <w:rsid w:val="390E7C00"/>
    <w:rsid w:val="390E7EF7"/>
    <w:rsid w:val="391A0437"/>
    <w:rsid w:val="391A30B9"/>
    <w:rsid w:val="391D07F7"/>
    <w:rsid w:val="39382F3B"/>
    <w:rsid w:val="393E0ED7"/>
    <w:rsid w:val="39404259"/>
    <w:rsid w:val="3942200C"/>
    <w:rsid w:val="394C6B49"/>
    <w:rsid w:val="394F02CB"/>
    <w:rsid w:val="39545CE6"/>
    <w:rsid w:val="396739D0"/>
    <w:rsid w:val="396F26D5"/>
    <w:rsid w:val="397B3627"/>
    <w:rsid w:val="397C599B"/>
    <w:rsid w:val="39822D2D"/>
    <w:rsid w:val="398760D0"/>
    <w:rsid w:val="398D62E7"/>
    <w:rsid w:val="399565E0"/>
    <w:rsid w:val="39967C92"/>
    <w:rsid w:val="399E6039"/>
    <w:rsid w:val="399F156C"/>
    <w:rsid w:val="39B50A30"/>
    <w:rsid w:val="39B53ACA"/>
    <w:rsid w:val="39BA7DF4"/>
    <w:rsid w:val="39BF27BE"/>
    <w:rsid w:val="39C21A1C"/>
    <w:rsid w:val="39C64560"/>
    <w:rsid w:val="39C7591E"/>
    <w:rsid w:val="39CD5D7A"/>
    <w:rsid w:val="39D07618"/>
    <w:rsid w:val="39D318E6"/>
    <w:rsid w:val="39E44E71"/>
    <w:rsid w:val="39F5080F"/>
    <w:rsid w:val="39FC21BB"/>
    <w:rsid w:val="39FC7338"/>
    <w:rsid w:val="39FC7653"/>
    <w:rsid w:val="3A006663"/>
    <w:rsid w:val="3A07462F"/>
    <w:rsid w:val="3A157A6B"/>
    <w:rsid w:val="3A164EE9"/>
    <w:rsid w:val="3A194A87"/>
    <w:rsid w:val="3A255BB6"/>
    <w:rsid w:val="3A287454"/>
    <w:rsid w:val="3A325BDD"/>
    <w:rsid w:val="3A3E6C77"/>
    <w:rsid w:val="3A414072"/>
    <w:rsid w:val="3A4C495F"/>
    <w:rsid w:val="3A53487F"/>
    <w:rsid w:val="3A543DA5"/>
    <w:rsid w:val="3A554EC7"/>
    <w:rsid w:val="3A57226A"/>
    <w:rsid w:val="3A59585F"/>
    <w:rsid w:val="3A5C70FE"/>
    <w:rsid w:val="3A5D1C41"/>
    <w:rsid w:val="3A661E0F"/>
    <w:rsid w:val="3A6628B9"/>
    <w:rsid w:val="3A685AA2"/>
    <w:rsid w:val="3A6C5593"/>
    <w:rsid w:val="3A8013C4"/>
    <w:rsid w:val="3A8337F8"/>
    <w:rsid w:val="3A903D3F"/>
    <w:rsid w:val="3A992100"/>
    <w:rsid w:val="3A9C74FA"/>
    <w:rsid w:val="3AA0523C"/>
    <w:rsid w:val="3AA976C2"/>
    <w:rsid w:val="3AAD1707"/>
    <w:rsid w:val="3AB605BC"/>
    <w:rsid w:val="3ACD1DA9"/>
    <w:rsid w:val="3ACF1A43"/>
    <w:rsid w:val="3ACF489C"/>
    <w:rsid w:val="3AE10910"/>
    <w:rsid w:val="3AF83A6A"/>
    <w:rsid w:val="3B023801"/>
    <w:rsid w:val="3B084B8F"/>
    <w:rsid w:val="3B0D2C85"/>
    <w:rsid w:val="3B141786"/>
    <w:rsid w:val="3B161768"/>
    <w:rsid w:val="3B1B01EC"/>
    <w:rsid w:val="3B1D4ADF"/>
    <w:rsid w:val="3B28022C"/>
    <w:rsid w:val="3B3140E6"/>
    <w:rsid w:val="3B385475"/>
    <w:rsid w:val="3B3911ED"/>
    <w:rsid w:val="3B4756B8"/>
    <w:rsid w:val="3B484F58"/>
    <w:rsid w:val="3B610B15"/>
    <w:rsid w:val="3B620744"/>
    <w:rsid w:val="3B637E13"/>
    <w:rsid w:val="3B6C15C2"/>
    <w:rsid w:val="3B6E533A"/>
    <w:rsid w:val="3B6E70E8"/>
    <w:rsid w:val="3B716E79"/>
    <w:rsid w:val="3B7C711E"/>
    <w:rsid w:val="3B7D732B"/>
    <w:rsid w:val="3B824942"/>
    <w:rsid w:val="3B844B5E"/>
    <w:rsid w:val="3B90705F"/>
    <w:rsid w:val="3B9D274C"/>
    <w:rsid w:val="3BA35387"/>
    <w:rsid w:val="3BA51A67"/>
    <w:rsid w:val="3BAB70A6"/>
    <w:rsid w:val="3BAC2BEF"/>
    <w:rsid w:val="3BB0680E"/>
    <w:rsid w:val="3BB75988"/>
    <w:rsid w:val="3BB96F01"/>
    <w:rsid w:val="3BB970C6"/>
    <w:rsid w:val="3BC35686"/>
    <w:rsid w:val="3BC907C3"/>
    <w:rsid w:val="3BCA72A7"/>
    <w:rsid w:val="3BD0083F"/>
    <w:rsid w:val="3BF240A4"/>
    <w:rsid w:val="3BF932E3"/>
    <w:rsid w:val="3BFA5529"/>
    <w:rsid w:val="3C0F0B65"/>
    <w:rsid w:val="3C1B52C4"/>
    <w:rsid w:val="3C1C6B44"/>
    <w:rsid w:val="3C1D5637"/>
    <w:rsid w:val="3C3B7B0F"/>
    <w:rsid w:val="3C430575"/>
    <w:rsid w:val="3C485B8B"/>
    <w:rsid w:val="3C5067EE"/>
    <w:rsid w:val="3C5207B8"/>
    <w:rsid w:val="3C553E04"/>
    <w:rsid w:val="3C563AC5"/>
    <w:rsid w:val="3C5806CF"/>
    <w:rsid w:val="3C6D0D22"/>
    <w:rsid w:val="3C722C08"/>
    <w:rsid w:val="3C7544A7"/>
    <w:rsid w:val="3C7C3ABB"/>
    <w:rsid w:val="3C7E77FF"/>
    <w:rsid w:val="3C814BF9"/>
    <w:rsid w:val="3C824680"/>
    <w:rsid w:val="3C834E15"/>
    <w:rsid w:val="3C886784"/>
    <w:rsid w:val="3C997D43"/>
    <w:rsid w:val="3C997D6F"/>
    <w:rsid w:val="3C9C64EF"/>
    <w:rsid w:val="3C9F32D2"/>
    <w:rsid w:val="3CA54D8C"/>
    <w:rsid w:val="3CAB424D"/>
    <w:rsid w:val="3CAB7EC8"/>
    <w:rsid w:val="3CBE6046"/>
    <w:rsid w:val="3CC05722"/>
    <w:rsid w:val="3CCD4781"/>
    <w:rsid w:val="3CD1792F"/>
    <w:rsid w:val="3CD4741F"/>
    <w:rsid w:val="3CD63197"/>
    <w:rsid w:val="3CD66FBE"/>
    <w:rsid w:val="3CD72A6B"/>
    <w:rsid w:val="3CD76F0F"/>
    <w:rsid w:val="3CEC75DF"/>
    <w:rsid w:val="3CEF6007"/>
    <w:rsid w:val="3CF1131A"/>
    <w:rsid w:val="3CF25AF7"/>
    <w:rsid w:val="3CF96E86"/>
    <w:rsid w:val="3D0A2E41"/>
    <w:rsid w:val="3D0F66A9"/>
    <w:rsid w:val="3D1141CF"/>
    <w:rsid w:val="3D18555E"/>
    <w:rsid w:val="3D1A758B"/>
    <w:rsid w:val="3D2154CE"/>
    <w:rsid w:val="3D2E033A"/>
    <w:rsid w:val="3D2F298E"/>
    <w:rsid w:val="3D2F616E"/>
    <w:rsid w:val="3D31747C"/>
    <w:rsid w:val="3D36127C"/>
    <w:rsid w:val="3D3B76A6"/>
    <w:rsid w:val="3D3F6F8E"/>
    <w:rsid w:val="3D430E4D"/>
    <w:rsid w:val="3D477BF1"/>
    <w:rsid w:val="3D4E5423"/>
    <w:rsid w:val="3D4E7E17"/>
    <w:rsid w:val="3D66188F"/>
    <w:rsid w:val="3D676681"/>
    <w:rsid w:val="3D6C36CC"/>
    <w:rsid w:val="3D6E01C7"/>
    <w:rsid w:val="3D711112"/>
    <w:rsid w:val="3D7E0386"/>
    <w:rsid w:val="3D7F7048"/>
    <w:rsid w:val="3D874491"/>
    <w:rsid w:val="3D934BE4"/>
    <w:rsid w:val="3DA07301"/>
    <w:rsid w:val="3DA81B6D"/>
    <w:rsid w:val="3DA97CED"/>
    <w:rsid w:val="3DB159B2"/>
    <w:rsid w:val="3DC47494"/>
    <w:rsid w:val="3DD2254E"/>
    <w:rsid w:val="3DD41F66"/>
    <w:rsid w:val="3DF633C5"/>
    <w:rsid w:val="3DFD4305"/>
    <w:rsid w:val="3E021D6A"/>
    <w:rsid w:val="3E0D61A2"/>
    <w:rsid w:val="3E0E7953"/>
    <w:rsid w:val="3E132963"/>
    <w:rsid w:val="3E18418D"/>
    <w:rsid w:val="3E1D6BA4"/>
    <w:rsid w:val="3E1E157A"/>
    <w:rsid w:val="3E276B7F"/>
    <w:rsid w:val="3E2919ED"/>
    <w:rsid w:val="3E2E71BA"/>
    <w:rsid w:val="3E300685"/>
    <w:rsid w:val="3E375EB7"/>
    <w:rsid w:val="3E3C527C"/>
    <w:rsid w:val="3E451546"/>
    <w:rsid w:val="3E49119D"/>
    <w:rsid w:val="3E524A9F"/>
    <w:rsid w:val="3E554590"/>
    <w:rsid w:val="3E5D51F2"/>
    <w:rsid w:val="3E5E1E25"/>
    <w:rsid w:val="3E687F2F"/>
    <w:rsid w:val="3E6E73FF"/>
    <w:rsid w:val="3E6F5651"/>
    <w:rsid w:val="3E7C1B1C"/>
    <w:rsid w:val="3E82485B"/>
    <w:rsid w:val="3E834C59"/>
    <w:rsid w:val="3E8E5BEE"/>
    <w:rsid w:val="3E9926CE"/>
    <w:rsid w:val="3EA51E12"/>
    <w:rsid w:val="3EBA0082"/>
    <w:rsid w:val="3ECD3031"/>
    <w:rsid w:val="3ED035B2"/>
    <w:rsid w:val="3ED71449"/>
    <w:rsid w:val="3ED74FA5"/>
    <w:rsid w:val="3ED7590C"/>
    <w:rsid w:val="3EED6576"/>
    <w:rsid w:val="3EF76CA4"/>
    <w:rsid w:val="3F087854"/>
    <w:rsid w:val="3F0F4990"/>
    <w:rsid w:val="3F2B709E"/>
    <w:rsid w:val="3F380870"/>
    <w:rsid w:val="3F427F66"/>
    <w:rsid w:val="3F4D18C5"/>
    <w:rsid w:val="3F4D34B9"/>
    <w:rsid w:val="3F4E4DF1"/>
    <w:rsid w:val="3F536D21"/>
    <w:rsid w:val="3F5B534D"/>
    <w:rsid w:val="3F5E1222"/>
    <w:rsid w:val="3F60143E"/>
    <w:rsid w:val="3F674BEE"/>
    <w:rsid w:val="3F6E5ECD"/>
    <w:rsid w:val="3F724CCD"/>
    <w:rsid w:val="3F746091"/>
    <w:rsid w:val="3F7A2500"/>
    <w:rsid w:val="3F7F10DC"/>
    <w:rsid w:val="3F842354"/>
    <w:rsid w:val="3F88660A"/>
    <w:rsid w:val="3F9202CF"/>
    <w:rsid w:val="3F9359AB"/>
    <w:rsid w:val="3FA369A9"/>
    <w:rsid w:val="3FA74A33"/>
    <w:rsid w:val="3FA75889"/>
    <w:rsid w:val="3FA7706D"/>
    <w:rsid w:val="3FAA090B"/>
    <w:rsid w:val="3FB35A12"/>
    <w:rsid w:val="3FB6105E"/>
    <w:rsid w:val="3FB965EE"/>
    <w:rsid w:val="3FBD419A"/>
    <w:rsid w:val="3FBF43B6"/>
    <w:rsid w:val="3FC65745"/>
    <w:rsid w:val="3FD424E6"/>
    <w:rsid w:val="3FD73E6F"/>
    <w:rsid w:val="3FE01E10"/>
    <w:rsid w:val="3FEB7F87"/>
    <w:rsid w:val="3FF102E8"/>
    <w:rsid w:val="3FF841E3"/>
    <w:rsid w:val="4004626D"/>
    <w:rsid w:val="401134BA"/>
    <w:rsid w:val="401228BE"/>
    <w:rsid w:val="40175EED"/>
    <w:rsid w:val="40243B3A"/>
    <w:rsid w:val="40282574"/>
    <w:rsid w:val="40291830"/>
    <w:rsid w:val="402E71EB"/>
    <w:rsid w:val="402F4CE7"/>
    <w:rsid w:val="40414DCB"/>
    <w:rsid w:val="40417902"/>
    <w:rsid w:val="40467D64"/>
    <w:rsid w:val="404C551E"/>
    <w:rsid w:val="405961A0"/>
    <w:rsid w:val="405C39B3"/>
    <w:rsid w:val="406B009A"/>
    <w:rsid w:val="406D545F"/>
    <w:rsid w:val="4071391F"/>
    <w:rsid w:val="40736372"/>
    <w:rsid w:val="40750F19"/>
    <w:rsid w:val="40780D70"/>
    <w:rsid w:val="40A057D5"/>
    <w:rsid w:val="40A168DA"/>
    <w:rsid w:val="40A67324"/>
    <w:rsid w:val="40AC30CB"/>
    <w:rsid w:val="40B421E9"/>
    <w:rsid w:val="40B76E3C"/>
    <w:rsid w:val="40BB2DD0"/>
    <w:rsid w:val="40C1415E"/>
    <w:rsid w:val="40C770F8"/>
    <w:rsid w:val="40D0076F"/>
    <w:rsid w:val="40D233C0"/>
    <w:rsid w:val="40D36C1F"/>
    <w:rsid w:val="40D479EE"/>
    <w:rsid w:val="40D62653"/>
    <w:rsid w:val="40D75730"/>
    <w:rsid w:val="40D914A8"/>
    <w:rsid w:val="40DB597F"/>
    <w:rsid w:val="40DC2D46"/>
    <w:rsid w:val="40E0701F"/>
    <w:rsid w:val="40FE7948"/>
    <w:rsid w:val="41006A35"/>
    <w:rsid w:val="410A78B3"/>
    <w:rsid w:val="41115F4D"/>
    <w:rsid w:val="41126768"/>
    <w:rsid w:val="411B3D1C"/>
    <w:rsid w:val="411C75E7"/>
    <w:rsid w:val="4129230D"/>
    <w:rsid w:val="41320BB8"/>
    <w:rsid w:val="413756F0"/>
    <w:rsid w:val="413F6971"/>
    <w:rsid w:val="414C3A28"/>
    <w:rsid w:val="414F176A"/>
    <w:rsid w:val="4164455B"/>
    <w:rsid w:val="41693436"/>
    <w:rsid w:val="41731F6D"/>
    <w:rsid w:val="41760AA5"/>
    <w:rsid w:val="417D5BFE"/>
    <w:rsid w:val="41850CE8"/>
    <w:rsid w:val="419413BB"/>
    <w:rsid w:val="419D0727"/>
    <w:rsid w:val="419E4392"/>
    <w:rsid w:val="41AC44C7"/>
    <w:rsid w:val="41B17CFD"/>
    <w:rsid w:val="41BC0BAB"/>
    <w:rsid w:val="41C072C4"/>
    <w:rsid w:val="41D028AB"/>
    <w:rsid w:val="41DA2A3C"/>
    <w:rsid w:val="41DC1E8E"/>
    <w:rsid w:val="41E2613A"/>
    <w:rsid w:val="41E95A34"/>
    <w:rsid w:val="41EC6FB9"/>
    <w:rsid w:val="41FC5B6C"/>
    <w:rsid w:val="420B6984"/>
    <w:rsid w:val="420D6D5B"/>
    <w:rsid w:val="420F20E8"/>
    <w:rsid w:val="420F4A55"/>
    <w:rsid w:val="42134546"/>
    <w:rsid w:val="4218760A"/>
    <w:rsid w:val="42220C2D"/>
    <w:rsid w:val="42295B17"/>
    <w:rsid w:val="422C031F"/>
    <w:rsid w:val="42366486"/>
    <w:rsid w:val="423C03A6"/>
    <w:rsid w:val="42415557"/>
    <w:rsid w:val="42450FAB"/>
    <w:rsid w:val="424741EF"/>
    <w:rsid w:val="424B0183"/>
    <w:rsid w:val="425608D6"/>
    <w:rsid w:val="425B2C84"/>
    <w:rsid w:val="42641245"/>
    <w:rsid w:val="42750D5C"/>
    <w:rsid w:val="427620CF"/>
    <w:rsid w:val="427A6373"/>
    <w:rsid w:val="4284438E"/>
    <w:rsid w:val="42845443"/>
    <w:rsid w:val="42864D18"/>
    <w:rsid w:val="428E62C2"/>
    <w:rsid w:val="429531AD"/>
    <w:rsid w:val="42975177"/>
    <w:rsid w:val="429D02B3"/>
    <w:rsid w:val="42B353CA"/>
    <w:rsid w:val="42BF1091"/>
    <w:rsid w:val="42C35F6C"/>
    <w:rsid w:val="42D57A4D"/>
    <w:rsid w:val="42D75573"/>
    <w:rsid w:val="42E44660"/>
    <w:rsid w:val="42E47C90"/>
    <w:rsid w:val="42EF31B0"/>
    <w:rsid w:val="42EF5D44"/>
    <w:rsid w:val="42F51177"/>
    <w:rsid w:val="430239C6"/>
    <w:rsid w:val="430640AA"/>
    <w:rsid w:val="43081A3C"/>
    <w:rsid w:val="43087293"/>
    <w:rsid w:val="43112F73"/>
    <w:rsid w:val="43122A4F"/>
    <w:rsid w:val="43147B68"/>
    <w:rsid w:val="431C567C"/>
    <w:rsid w:val="43235FEE"/>
    <w:rsid w:val="432F3601"/>
    <w:rsid w:val="43301127"/>
    <w:rsid w:val="43321D92"/>
    <w:rsid w:val="433B1FA6"/>
    <w:rsid w:val="433D47ED"/>
    <w:rsid w:val="434150E2"/>
    <w:rsid w:val="43456981"/>
    <w:rsid w:val="434C14BE"/>
    <w:rsid w:val="434F15AD"/>
    <w:rsid w:val="43551F1B"/>
    <w:rsid w:val="4355293C"/>
    <w:rsid w:val="435F4407"/>
    <w:rsid w:val="43680CE6"/>
    <w:rsid w:val="43707776"/>
    <w:rsid w:val="43721740"/>
    <w:rsid w:val="43775DEF"/>
    <w:rsid w:val="43784FA8"/>
    <w:rsid w:val="437B05F4"/>
    <w:rsid w:val="437E00E5"/>
    <w:rsid w:val="438A1C9C"/>
    <w:rsid w:val="439113E9"/>
    <w:rsid w:val="4391606A"/>
    <w:rsid w:val="439358EF"/>
    <w:rsid w:val="439D67BD"/>
    <w:rsid w:val="439E3F70"/>
    <w:rsid w:val="43A04BAD"/>
    <w:rsid w:val="43AE4585"/>
    <w:rsid w:val="43B05954"/>
    <w:rsid w:val="43B86616"/>
    <w:rsid w:val="43BC29BB"/>
    <w:rsid w:val="43BD4B3C"/>
    <w:rsid w:val="43C401ED"/>
    <w:rsid w:val="43CE1F51"/>
    <w:rsid w:val="43D32908"/>
    <w:rsid w:val="43DF18CE"/>
    <w:rsid w:val="43E0106C"/>
    <w:rsid w:val="43EA567C"/>
    <w:rsid w:val="43EE6A01"/>
    <w:rsid w:val="43F44872"/>
    <w:rsid w:val="43F62371"/>
    <w:rsid w:val="43F72D2F"/>
    <w:rsid w:val="43FB120E"/>
    <w:rsid w:val="440354F3"/>
    <w:rsid w:val="44095137"/>
    <w:rsid w:val="440E1469"/>
    <w:rsid w:val="440F1EED"/>
    <w:rsid w:val="4417643D"/>
    <w:rsid w:val="44185E43"/>
    <w:rsid w:val="44186718"/>
    <w:rsid w:val="44190BD9"/>
    <w:rsid w:val="441D78FE"/>
    <w:rsid w:val="441F5424"/>
    <w:rsid w:val="44201A0C"/>
    <w:rsid w:val="44223166"/>
    <w:rsid w:val="442254E3"/>
    <w:rsid w:val="44240C8C"/>
    <w:rsid w:val="4427252A"/>
    <w:rsid w:val="442C7B41"/>
    <w:rsid w:val="44316F05"/>
    <w:rsid w:val="44337121"/>
    <w:rsid w:val="443D216F"/>
    <w:rsid w:val="4441232F"/>
    <w:rsid w:val="444400F4"/>
    <w:rsid w:val="4449108F"/>
    <w:rsid w:val="44501A81"/>
    <w:rsid w:val="4467501D"/>
    <w:rsid w:val="44724F88"/>
    <w:rsid w:val="44727C49"/>
    <w:rsid w:val="44937C2B"/>
    <w:rsid w:val="449C4DF5"/>
    <w:rsid w:val="44A42999"/>
    <w:rsid w:val="44AB4F09"/>
    <w:rsid w:val="44AB6CB7"/>
    <w:rsid w:val="44AE0556"/>
    <w:rsid w:val="44B0259C"/>
    <w:rsid w:val="44B33DBE"/>
    <w:rsid w:val="44D6018D"/>
    <w:rsid w:val="44DC1567"/>
    <w:rsid w:val="44E6598E"/>
    <w:rsid w:val="44F52628"/>
    <w:rsid w:val="44F91B42"/>
    <w:rsid w:val="44F93EC7"/>
    <w:rsid w:val="45010FCD"/>
    <w:rsid w:val="4501393D"/>
    <w:rsid w:val="45017AD9"/>
    <w:rsid w:val="450E3EAC"/>
    <w:rsid w:val="451E31DE"/>
    <w:rsid w:val="451F1453"/>
    <w:rsid w:val="45272910"/>
    <w:rsid w:val="452E1696"/>
    <w:rsid w:val="452F2BCF"/>
    <w:rsid w:val="45322F35"/>
    <w:rsid w:val="45346030"/>
    <w:rsid w:val="45350C77"/>
    <w:rsid w:val="453F5652"/>
    <w:rsid w:val="454809AA"/>
    <w:rsid w:val="45494759"/>
    <w:rsid w:val="45620534"/>
    <w:rsid w:val="456357E4"/>
    <w:rsid w:val="45694C39"/>
    <w:rsid w:val="456D0411"/>
    <w:rsid w:val="4585575A"/>
    <w:rsid w:val="458C1DF2"/>
    <w:rsid w:val="458C4D3B"/>
    <w:rsid w:val="458D460F"/>
    <w:rsid w:val="459040FF"/>
    <w:rsid w:val="45957ED9"/>
    <w:rsid w:val="45963C6A"/>
    <w:rsid w:val="45AA3413"/>
    <w:rsid w:val="45AD43FD"/>
    <w:rsid w:val="45B37EB8"/>
    <w:rsid w:val="45C27C11"/>
    <w:rsid w:val="45D47AE1"/>
    <w:rsid w:val="45EE1552"/>
    <w:rsid w:val="45F34DBA"/>
    <w:rsid w:val="45F8259A"/>
    <w:rsid w:val="45F919CF"/>
    <w:rsid w:val="45FC791D"/>
    <w:rsid w:val="46020B59"/>
    <w:rsid w:val="4605689B"/>
    <w:rsid w:val="460F14C8"/>
    <w:rsid w:val="46116FEE"/>
    <w:rsid w:val="46130FB8"/>
    <w:rsid w:val="461B4702"/>
    <w:rsid w:val="462137C2"/>
    <w:rsid w:val="4626652C"/>
    <w:rsid w:val="4629258A"/>
    <w:rsid w:val="462C207A"/>
    <w:rsid w:val="462D256F"/>
    <w:rsid w:val="46317690"/>
    <w:rsid w:val="463827CD"/>
    <w:rsid w:val="464B009F"/>
    <w:rsid w:val="464C6278"/>
    <w:rsid w:val="464E3D8C"/>
    <w:rsid w:val="4651444D"/>
    <w:rsid w:val="465503CA"/>
    <w:rsid w:val="4659191C"/>
    <w:rsid w:val="46735D44"/>
    <w:rsid w:val="467C5365"/>
    <w:rsid w:val="467F664E"/>
    <w:rsid w:val="46802234"/>
    <w:rsid w:val="468A0B4E"/>
    <w:rsid w:val="468E0809"/>
    <w:rsid w:val="469B2D5C"/>
    <w:rsid w:val="469C7200"/>
    <w:rsid w:val="469D6AD4"/>
    <w:rsid w:val="46A676CF"/>
    <w:rsid w:val="46AC58E1"/>
    <w:rsid w:val="46B67B95"/>
    <w:rsid w:val="46BD0F24"/>
    <w:rsid w:val="46BD1C7F"/>
    <w:rsid w:val="46C2478C"/>
    <w:rsid w:val="46D02A05"/>
    <w:rsid w:val="46D079AF"/>
    <w:rsid w:val="46DB602E"/>
    <w:rsid w:val="46DF774E"/>
    <w:rsid w:val="46E9213C"/>
    <w:rsid w:val="46EE10DD"/>
    <w:rsid w:val="46EF4277"/>
    <w:rsid w:val="46F30DEA"/>
    <w:rsid w:val="47064679"/>
    <w:rsid w:val="4709664D"/>
    <w:rsid w:val="47104FA4"/>
    <w:rsid w:val="47256E27"/>
    <w:rsid w:val="47257EE5"/>
    <w:rsid w:val="47261187"/>
    <w:rsid w:val="47264F1F"/>
    <w:rsid w:val="47272B42"/>
    <w:rsid w:val="472B40E0"/>
    <w:rsid w:val="47321912"/>
    <w:rsid w:val="47333478"/>
    <w:rsid w:val="47342F4E"/>
    <w:rsid w:val="47351C08"/>
    <w:rsid w:val="473B716E"/>
    <w:rsid w:val="474451A1"/>
    <w:rsid w:val="474F4272"/>
    <w:rsid w:val="475278BE"/>
    <w:rsid w:val="47555600"/>
    <w:rsid w:val="4758270A"/>
    <w:rsid w:val="475963B2"/>
    <w:rsid w:val="475C7131"/>
    <w:rsid w:val="47692E0B"/>
    <w:rsid w:val="47713CB6"/>
    <w:rsid w:val="47743CD8"/>
    <w:rsid w:val="47797541"/>
    <w:rsid w:val="477D6184"/>
    <w:rsid w:val="477E6905"/>
    <w:rsid w:val="47835F66"/>
    <w:rsid w:val="478A52AA"/>
    <w:rsid w:val="47961EA1"/>
    <w:rsid w:val="47984030"/>
    <w:rsid w:val="47A3636C"/>
    <w:rsid w:val="47A5001C"/>
    <w:rsid w:val="47A61A9C"/>
    <w:rsid w:val="47A67F81"/>
    <w:rsid w:val="47BD2299"/>
    <w:rsid w:val="47BE2F18"/>
    <w:rsid w:val="47C3256A"/>
    <w:rsid w:val="47CA723E"/>
    <w:rsid w:val="47CE6904"/>
    <w:rsid w:val="47DA13F6"/>
    <w:rsid w:val="47DF2B0B"/>
    <w:rsid w:val="47E44B7B"/>
    <w:rsid w:val="47EA62F1"/>
    <w:rsid w:val="47F73290"/>
    <w:rsid w:val="47FB7BD7"/>
    <w:rsid w:val="4800731A"/>
    <w:rsid w:val="481172BA"/>
    <w:rsid w:val="481C50E8"/>
    <w:rsid w:val="481E3C44"/>
    <w:rsid w:val="48203706"/>
    <w:rsid w:val="48214736"/>
    <w:rsid w:val="48217291"/>
    <w:rsid w:val="48233009"/>
    <w:rsid w:val="48270D4B"/>
    <w:rsid w:val="482A083B"/>
    <w:rsid w:val="48301F99"/>
    <w:rsid w:val="483702BB"/>
    <w:rsid w:val="483D45DA"/>
    <w:rsid w:val="483E5612"/>
    <w:rsid w:val="483F3D74"/>
    <w:rsid w:val="484C692D"/>
    <w:rsid w:val="484D62D8"/>
    <w:rsid w:val="484E45BF"/>
    <w:rsid w:val="48657AC5"/>
    <w:rsid w:val="48691E38"/>
    <w:rsid w:val="48742397"/>
    <w:rsid w:val="4879128B"/>
    <w:rsid w:val="487B740D"/>
    <w:rsid w:val="48866E85"/>
    <w:rsid w:val="489029A3"/>
    <w:rsid w:val="48912F79"/>
    <w:rsid w:val="48973DF7"/>
    <w:rsid w:val="48A26623"/>
    <w:rsid w:val="48BB02CE"/>
    <w:rsid w:val="48BF2953"/>
    <w:rsid w:val="48C04CFB"/>
    <w:rsid w:val="48C741CB"/>
    <w:rsid w:val="48CC0F5A"/>
    <w:rsid w:val="48CE3C89"/>
    <w:rsid w:val="48D04F3E"/>
    <w:rsid w:val="48D345B7"/>
    <w:rsid w:val="48D70381"/>
    <w:rsid w:val="48EB1D78"/>
    <w:rsid w:val="48EB5367"/>
    <w:rsid w:val="48F35503"/>
    <w:rsid w:val="49066BB2"/>
    <w:rsid w:val="49091CFC"/>
    <w:rsid w:val="4917745F"/>
    <w:rsid w:val="491C63D6"/>
    <w:rsid w:val="4931214B"/>
    <w:rsid w:val="49325BF9"/>
    <w:rsid w:val="49431BB4"/>
    <w:rsid w:val="49434868"/>
    <w:rsid w:val="494616A5"/>
    <w:rsid w:val="49480447"/>
    <w:rsid w:val="49496A9F"/>
    <w:rsid w:val="494E2307"/>
    <w:rsid w:val="495A6EFE"/>
    <w:rsid w:val="49755AE6"/>
    <w:rsid w:val="49766A34"/>
    <w:rsid w:val="497A1155"/>
    <w:rsid w:val="497D3BDC"/>
    <w:rsid w:val="49887B92"/>
    <w:rsid w:val="498A6A6C"/>
    <w:rsid w:val="498B70B7"/>
    <w:rsid w:val="499D14E6"/>
    <w:rsid w:val="49A07007"/>
    <w:rsid w:val="49AB42C2"/>
    <w:rsid w:val="49AD38FD"/>
    <w:rsid w:val="49AD702E"/>
    <w:rsid w:val="49B22896"/>
    <w:rsid w:val="49B2578D"/>
    <w:rsid w:val="49B93C25"/>
    <w:rsid w:val="49BB334A"/>
    <w:rsid w:val="49BB5BEF"/>
    <w:rsid w:val="49BE3B4B"/>
    <w:rsid w:val="49C542AB"/>
    <w:rsid w:val="49C600F0"/>
    <w:rsid w:val="49CB233B"/>
    <w:rsid w:val="49CC7DFC"/>
    <w:rsid w:val="49CF169A"/>
    <w:rsid w:val="49D00F6E"/>
    <w:rsid w:val="49DC4C62"/>
    <w:rsid w:val="49DF0227"/>
    <w:rsid w:val="49E04860"/>
    <w:rsid w:val="49ED7D72"/>
    <w:rsid w:val="49EF55BD"/>
    <w:rsid w:val="49F11610"/>
    <w:rsid w:val="49F31E39"/>
    <w:rsid w:val="49F509D5"/>
    <w:rsid w:val="49FB484A"/>
    <w:rsid w:val="49FC1D63"/>
    <w:rsid w:val="4A0352B3"/>
    <w:rsid w:val="4A0A0924"/>
    <w:rsid w:val="4A111CB3"/>
    <w:rsid w:val="4A120FF2"/>
    <w:rsid w:val="4A2C305F"/>
    <w:rsid w:val="4A2F2501"/>
    <w:rsid w:val="4A370FED"/>
    <w:rsid w:val="4A410842"/>
    <w:rsid w:val="4A411361"/>
    <w:rsid w:val="4A413C1A"/>
    <w:rsid w:val="4A425412"/>
    <w:rsid w:val="4A45195C"/>
    <w:rsid w:val="4A4553E5"/>
    <w:rsid w:val="4A4E6A63"/>
    <w:rsid w:val="4A632580"/>
    <w:rsid w:val="4A69389D"/>
    <w:rsid w:val="4A87562A"/>
    <w:rsid w:val="4A8D175A"/>
    <w:rsid w:val="4A8F1690"/>
    <w:rsid w:val="4A90286E"/>
    <w:rsid w:val="4A982C74"/>
    <w:rsid w:val="4A987A36"/>
    <w:rsid w:val="4A9F72BE"/>
    <w:rsid w:val="4AA0030A"/>
    <w:rsid w:val="4AB60988"/>
    <w:rsid w:val="4AB76AF4"/>
    <w:rsid w:val="4AC22FAD"/>
    <w:rsid w:val="4AC72371"/>
    <w:rsid w:val="4AC960E9"/>
    <w:rsid w:val="4ACA7A7F"/>
    <w:rsid w:val="4AD131F0"/>
    <w:rsid w:val="4AEA579E"/>
    <w:rsid w:val="4AF13892"/>
    <w:rsid w:val="4AF56458"/>
    <w:rsid w:val="4B0435C5"/>
    <w:rsid w:val="4B0615B6"/>
    <w:rsid w:val="4B08477A"/>
    <w:rsid w:val="4B0D3B3B"/>
    <w:rsid w:val="4B131B19"/>
    <w:rsid w:val="4B1537E7"/>
    <w:rsid w:val="4B1F5D09"/>
    <w:rsid w:val="4B2149CB"/>
    <w:rsid w:val="4B306168"/>
    <w:rsid w:val="4B3A2B43"/>
    <w:rsid w:val="4B412124"/>
    <w:rsid w:val="4B501DBF"/>
    <w:rsid w:val="4B5540E3"/>
    <w:rsid w:val="4B594200"/>
    <w:rsid w:val="4B5A4F93"/>
    <w:rsid w:val="4B5D226C"/>
    <w:rsid w:val="4B661B8A"/>
    <w:rsid w:val="4B6A35F4"/>
    <w:rsid w:val="4B6B53F2"/>
    <w:rsid w:val="4B7D0C82"/>
    <w:rsid w:val="4B7F5871"/>
    <w:rsid w:val="4B863FDA"/>
    <w:rsid w:val="4B88024C"/>
    <w:rsid w:val="4B8A1D1C"/>
    <w:rsid w:val="4B8B7843"/>
    <w:rsid w:val="4B920BD1"/>
    <w:rsid w:val="4B92297F"/>
    <w:rsid w:val="4B95421D"/>
    <w:rsid w:val="4B9C55AC"/>
    <w:rsid w:val="4B9F28EF"/>
    <w:rsid w:val="4BA23128"/>
    <w:rsid w:val="4BB072A9"/>
    <w:rsid w:val="4BB26B7D"/>
    <w:rsid w:val="4BB478BB"/>
    <w:rsid w:val="4BB548C0"/>
    <w:rsid w:val="4BC0573E"/>
    <w:rsid w:val="4BC13264"/>
    <w:rsid w:val="4BC55809"/>
    <w:rsid w:val="4BD10796"/>
    <w:rsid w:val="4BDD5AE8"/>
    <w:rsid w:val="4BE40D01"/>
    <w:rsid w:val="4BEA27BB"/>
    <w:rsid w:val="4BF2311E"/>
    <w:rsid w:val="4BF54CBC"/>
    <w:rsid w:val="4BF6668D"/>
    <w:rsid w:val="4BF75153"/>
    <w:rsid w:val="4C0218BC"/>
    <w:rsid w:val="4C047F70"/>
    <w:rsid w:val="4C0E4EC1"/>
    <w:rsid w:val="4C0F2222"/>
    <w:rsid w:val="4C1710D6"/>
    <w:rsid w:val="4C19213E"/>
    <w:rsid w:val="4C1F5B24"/>
    <w:rsid w:val="4C210301"/>
    <w:rsid w:val="4C285091"/>
    <w:rsid w:val="4C2A6E26"/>
    <w:rsid w:val="4C2C510E"/>
    <w:rsid w:val="4C327CBE"/>
    <w:rsid w:val="4C400831"/>
    <w:rsid w:val="4C416EA2"/>
    <w:rsid w:val="4C490778"/>
    <w:rsid w:val="4C4E03D8"/>
    <w:rsid w:val="4C52210E"/>
    <w:rsid w:val="4C583BC9"/>
    <w:rsid w:val="4C5A0B3C"/>
    <w:rsid w:val="4C5B0FC3"/>
    <w:rsid w:val="4C5B5467"/>
    <w:rsid w:val="4C5C4F93"/>
    <w:rsid w:val="4C651E42"/>
    <w:rsid w:val="4C733652"/>
    <w:rsid w:val="4C7533C8"/>
    <w:rsid w:val="4C771B75"/>
    <w:rsid w:val="4C7877F9"/>
    <w:rsid w:val="4C8370DD"/>
    <w:rsid w:val="4C8A7AFA"/>
    <w:rsid w:val="4C8D08C5"/>
    <w:rsid w:val="4C961129"/>
    <w:rsid w:val="4C972917"/>
    <w:rsid w:val="4C977DD2"/>
    <w:rsid w:val="4CA23096"/>
    <w:rsid w:val="4CB052E1"/>
    <w:rsid w:val="4CB35111"/>
    <w:rsid w:val="4CC052CA"/>
    <w:rsid w:val="4CCE79E7"/>
    <w:rsid w:val="4CCF0870"/>
    <w:rsid w:val="4CE30FB8"/>
    <w:rsid w:val="4CE4545C"/>
    <w:rsid w:val="4CEF795D"/>
    <w:rsid w:val="4CF2311D"/>
    <w:rsid w:val="4CF338F1"/>
    <w:rsid w:val="4CF57BD4"/>
    <w:rsid w:val="4CF70C34"/>
    <w:rsid w:val="4CFB4554"/>
    <w:rsid w:val="4D021D86"/>
    <w:rsid w:val="4D023B34"/>
    <w:rsid w:val="4D051DBB"/>
    <w:rsid w:val="4D072EF9"/>
    <w:rsid w:val="4D090A1F"/>
    <w:rsid w:val="4D0C49B3"/>
    <w:rsid w:val="4D203FBB"/>
    <w:rsid w:val="4D241CFD"/>
    <w:rsid w:val="4D2B6E50"/>
    <w:rsid w:val="4D2C295F"/>
    <w:rsid w:val="4D30432D"/>
    <w:rsid w:val="4D447CA9"/>
    <w:rsid w:val="4D456F20"/>
    <w:rsid w:val="4D4B1874"/>
    <w:rsid w:val="4D4E0B28"/>
    <w:rsid w:val="4D525435"/>
    <w:rsid w:val="4D594F19"/>
    <w:rsid w:val="4D620553"/>
    <w:rsid w:val="4D6D36A4"/>
    <w:rsid w:val="4D73058E"/>
    <w:rsid w:val="4D7732D6"/>
    <w:rsid w:val="4D811EF7"/>
    <w:rsid w:val="4D824C3F"/>
    <w:rsid w:val="4D871483"/>
    <w:rsid w:val="4D984CC2"/>
    <w:rsid w:val="4DA82EE5"/>
    <w:rsid w:val="4DAB1AD6"/>
    <w:rsid w:val="4DAE15C6"/>
    <w:rsid w:val="4DB07781"/>
    <w:rsid w:val="4DB27309"/>
    <w:rsid w:val="4DB54227"/>
    <w:rsid w:val="4DB779E3"/>
    <w:rsid w:val="4DBC2D39"/>
    <w:rsid w:val="4DBD13A2"/>
    <w:rsid w:val="4DBF786B"/>
    <w:rsid w:val="4DC808DA"/>
    <w:rsid w:val="4DCB03CA"/>
    <w:rsid w:val="4DCD18D6"/>
    <w:rsid w:val="4DCE3A17"/>
    <w:rsid w:val="4DDA66D5"/>
    <w:rsid w:val="4DDB58BE"/>
    <w:rsid w:val="4DDC6134"/>
    <w:rsid w:val="4DDC79D2"/>
    <w:rsid w:val="4DE036E5"/>
    <w:rsid w:val="4DEF7B81"/>
    <w:rsid w:val="4DF42975"/>
    <w:rsid w:val="4E0F1B45"/>
    <w:rsid w:val="4E1F24C4"/>
    <w:rsid w:val="4E2147CA"/>
    <w:rsid w:val="4E2C5A34"/>
    <w:rsid w:val="4E2D2E33"/>
    <w:rsid w:val="4E3C3076"/>
    <w:rsid w:val="4E416545"/>
    <w:rsid w:val="4E453CD9"/>
    <w:rsid w:val="4E4A3249"/>
    <w:rsid w:val="4E4D0DDF"/>
    <w:rsid w:val="4E4F60C8"/>
    <w:rsid w:val="4E56280F"/>
    <w:rsid w:val="4E5B174E"/>
    <w:rsid w:val="4E5F74BD"/>
    <w:rsid w:val="4E60237B"/>
    <w:rsid w:val="4E630603"/>
    <w:rsid w:val="4E6904D4"/>
    <w:rsid w:val="4E704ACE"/>
    <w:rsid w:val="4E7B3B9E"/>
    <w:rsid w:val="4E832B97"/>
    <w:rsid w:val="4E8F31A6"/>
    <w:rsid w:val="4E9D1D67"/>
    <w:rsid w:val="4E9F46AF"/>
    <w:rsid w:val="4EA21AFA"/>
    <w:rsid w:val="4EAC2181"/>
    <w:rsid w:val="4EB64BD7"/>
    <w:rsid w:val="4EB86BA1"/>
    <w:rsid w:val="4ECA68D4"/>
    <w:rsid w:val="4ECB7DF8"/>
    <w:rsid w:val="4ED54BE0"/>
    <w:rsid w:val="4ED67027"/>
    <w:rsid w:val="4ED908C5"/>
    <w:rsid w:val="4EF25F48"/>
    <w:rsid w:val="4EF36A61"/>
    <w:rsid w:val="4EF536B0"/>
    <w:rsid w:val="4EFE2C71"/>
    <w:rsid w:val="4F051B3A"/>
    <w:rsid w:val="4F086E9B"/>
    <w:rsid w:val="4F105EA1"/>
    <w:rsid w:val="4F131D95"/>
    <w:rsid w:val="4F18319B"/>
    <w:rsid w:val="4F1D6A04"/>
    <w:rsid w:val="4F2042E0"/>
    <w:rsid w:val="4F212E33"/>
    <w:rsid w:val="4F277882"/>
    <w:rsid w:val="4F351B2A"/>
    <w:rsid w:val="4F3B50DC"/>
    <w:rsid w:val="4F443F90"/>
    <w:rsid w:val="4F55367B"/>
    <w:rsid w:val="4F5A37B4"/>
    <w:rsid w:val="4F604B42"/>
    <w:rsid w:val="4F626B0C"/>
    <w:rsid w:val="4F627261"/>
    <w:rsid w:val="4F651131"/>
    <w:rsid w:val="4F666509"/>
    <w:rsid w:val="4F691C49"/>
    <w:rsid w:val="4F6B59C1"/>
    <w:rsid w:val="4F710AFD"/>
    <w:rsid w:val="4F7F5300"/>
    <w:rsid w:val="4F8545A9"/>
    <w:rsid w:val="4F976728"/>
    <w:rsid w:val="4F9A1314"/>
    <w:rsid w:val="4F9C3DCC"/>
    <w:rsid w:val="4FA15887"/>
    <w:rsid w:val="4FA40ED3"/>
    <w:rsid w:val="4FA43CD4"/>
    <w:rsid w:val="4FAA2095"/>
    <w:rsid w:val="4FB629B4"/>
    <w:rsid w:val="4FB82BD0"/>
    <w:rsid w:val="4FB871EC"/>
    <w:rsid w:val="4FBC621D"/>
    <w:rsid w:val="4FC0763C"/>
    <w:rsid w:val="4FC133A4"/>
    <w:rsid w:val="4FC275AB"/>
    <w:rsid w:val="4FC96DF4"/>
    <w:rsid w:val="4FD42BF3"/>
    <w:rsid w:val="4FDA2B47"/>
    <w:rsid w:val="4FE112AF"/>
    <w:rsid w:val="4FF04F7F"/>
    <w:rsid w:val="4FF12FAF"/>
    <w:rsid w:val="4FF15096"/>
    <w:rsid w:val="500100D3"/>
    <w:rsid w:val="50033E4B"/>
    <w:rsid w:val="500478DE"/>
    <w:rsid w:val="500656EA"/>
    <w:rsid w:val="500F5860"/>
    <w:rsid w:val="501222E0"/>
    <w:rsid w:val="50153B7F"/>
    <w:rsid w:val="50166E02"/>
    <w:rsid w:val="50294171"/>
    <w:rsid w:val="503A0E3C"/>
    <w:rsid w:val="503C3652"/>
    <w:rsid w:val="503F0BFC"/>
    <w:rsid w:val="504712EB"/>
    <w:rsid w:val="50577CF3"/>
    <w:rsid w:val="505B3C87"/>
    <w:rsid w:val="50616DC4"/>
    <w:rsid w:val="506B37D7"/>
    <w:rsid w:val="506E67CB"/>
    <w:rsid w:val="50712CC3"/>
    <w:rsid w:val="5075461D"/>
    <w:rsid w:val="507B7E86"/>
    <w:rsid w:val="507C1E50"/>
    <w:rsid w:val="50836D3A"/>
    <w:rsid w:val="50875367"/>
    <w:rsid w:val="508A480F"/>
    <w:rsid w:val="508D1967"/>
    <w:rsid w:val="508F3931"/>
    <w:rsid w:val="509203FA"/>
    <w:rsid w:val="509360AB"/>
    <w:rsid w:val="50966556"/>
    <w:rsid w:val="5099030C"/>
    <w:rsid w:val="509C4580"/>
    <w:rsid w:val="50A13664"/>
    <w:rsid w:val="50A16E11"/>
    <w:rsid w:val="50A44B08"/>
    <w:rsid w:val="50AD0301"/>
    <w:rsid w:val="50B82E88"/>
    <w:rsid w:val="50BB2978"/>
    <w:rsid w:val="50BC224C"/>
    <w:rsid w:val="50BC2F20"/>
    <w:rsid w:val="50CF01D2"/>
    <w:rsid w:val="50CF1156"/>
    <w:rsid w:val="50D92DFE"/>
    <w:rsid w:val="50DD0C1D"/>
    <w:rsid w:val="50E0418D"/>
    <w:rsid w:val="50F1639A"/>
    <w:rsid w:val="51136310"/>
    <w:rsid w:val="511D18A1"/>
    <w:rsid w:val="511F2F07"/>
    <w:rsid w:val="512A17CB"/>
    <w:rsid w:val="513F5357"/>
    <w:rsid w:val="51417A03"/>
    <w:rsid w:val="515248D7"/>
    <w:rsid w:val="515406D7"/>
    <w:rsid w:val="515B19F1"/>
    <w:rsid w:val="515E27BB"/>
    <w:rsid w:val="515E50B1"/>
    <w:rsid w:val="51604E00"/>
    <w:rsid w:val="51622DF4"/>
    <w:rsid w:val="51643EE7"/>
    <w:rsid w:val="51644DBE"/>
    <w:rsid w:val="516901AF"/>
    <w:rsid w:val="516D7E41"/>
    <w:rsid w:val="516F2AA6"/>
    <w:rsid w:val="51701D94"/>
    <w:rsid w:val="51714DE5"/>
    <w:rsid w:val="51782617"/>
    <w:rsid w:val="518014CC"/>
    <w:rsid w:val="518342FC"/>
    <w:rsid w:val="51853A44"/>
    <w:rsid w:val="51874608"/>
    <w:rsid w:val="519A433C"/>
    <w:rsid w:val="51A0391C"/>
    <w:rsid w:val="51BC69A8"/>
    <w:rsid w:val="51BD114D"/>
    <w:rsid w:val="51C15D6C"/>
    <w:rsid w:val="51C21086"/>
    <w:rsid w:val="51CC4711"/>
    <w:rsid w:val="51CD2963"/>
    <w:rsid w:val="51D32AE5"/>
    <w:rsid w:val="51D535C6"/>
    <w:rsid w:val="51DA0248"/>
    <w:rsid w:val="51DA0BDC"/>
    <w:rsid w:val="51DD247A"/>
    <w:rsid w:val="51DD5A0B"/>
    <w:rsid w:val="51FB0B52"/>
    <w:rsid w:val="521265C8"/>
    <w:rsid w:val="52187956"/>
    <w:rsid w:val="521F0B5C"/>
    <w:rsid w:val="52231825"/>
    <w:rsid w:val="52296455"/>
    <w:rsid w:val="522A26AA"/>
    <w:rsid w:val="522F17F8"/>
    <w:rsid w:val="52332B25"/>
    <w:rsid w:val="523A78CD"/>
    <w:rsid w:val="523E73BD"/>
    <w:rsid w:val="524B1ADA"/>
    <w:rsid w:val="52522E68"/>
    <w:rsid w:val="5253273C"/>
    <w:rsid w:val="52574BB9"/>
    <w:rsid w:val="5257556D"/>
    <w:rsid w:val="52615257"/>
    <w:rsid w:val="528A3575"/>
    <w:rsid w:val="528C3D87"/>
    <w:rsid w:val="529671F9"/>
    <w:rsid w:val="529E60AD"/>
    <w:rsid w:val="52A03BD4"/>
    <w:rsid w:val="52A631B4"/>
    <w:rsid w:val="52A67A89"/>
    <w:rsid w:val="52AD62F0"/>
    <w:rsid w:val="52B21B59"/>
    <w:rsid w:val="52B23907"/>
    <w:rsid w:val="52B72144"/>
    <w:rsid w:val="52BA33E5"/>
    <w:rsid w:val="52BD4DF2"/>
    <w:rsid w:val="52D17D3B"/>
    <w:rsid w:val="52D4387D"/>
    <w:rsid w:val="52D970E6"/>
    <w:rsid w:val="52E11A7E"/>
    <w:rsid w:val="52F21F55"/>
    <w:rsid w:val="52F263F9"/>
    <w:rsid w:val="52F61A46"/>
    <w:rsid w:val="52F757BE"/>
    <w:rsid w:val="52FA35D4"/>
    <w:rsid w:val="52FB3500"/>
    <w:rsid w:val="53016063"/>
    <w:rsid w:val="53024216"/>
    <w:rsid w:val="530323D9"/>
    <w:rsid w:val="530E2B6B"/>
    <w:rsid w:val="530F6FAB"/>
    <w:rsid w:val="53193C5A"/>
    <w:rsid w:val="531D7565"/>
    <w:rsid w:val="532F2D81"/>
    <w:rsid w:val="53346A12"/>
    <w:rsid w:val="533A4B08"/>
    <w:rsid w:val="533E519B"/>
    <w:rsid w:val="534C3D5B"/>
    <w:rsid w:val="53513D1E"/>
    <w:rsid w:val="535E0D70"/>
    <w:rsid w:val="53695235"/>
    <w:rsid w:val="536E3CD2"/>
    <w:rsid w:val="536F17F8"/>
    <w:rsid w:val="53740BBC"/>
    <w:rsid w:val="538C23AA"/>
    <w:rsid w:val="5394300C"/>
    <w:rsid w:val="53974E39"/>
    <w:rsid w:val="53986FA1"/>
    <w:rsid w:val="539B083F"/>
    <w:rsid w:val="539D5939"/>
    <w:rsid w:val="539E5689"/>
    <w:rsid w:val="53B67427"/>
    <w:rsid w:val="53C102A5"/>
    <w:rsid w:val="53C66FFA"/>
    <w:rsid w:val="53C946C6"/>
    <w:rsid w:val="53CD71B7"/>
    <w:rsid w:val="53D204E8"/>
    <w:rsid w:val="53D41B01"/>
    <w:rsid w:val="53DE1E7C"/>
    <w:rsid w:val="53EB5322"/>
    <w:rsid w:val="53FD32A8"/>
    <w:rsid w:val="540B32CF"/>
    <w:rsid w:val="541A5C08"/>
    <w:rsid w:val="541B65C2"/>
    <w:rsid w:val="542400C6"/>
    <w:rsid w:val="542A6B84"/>
    <w:rsid w:val="542B3971"/>
    <w:rsid w:val="542B45EC"/>
    <w:rsid w:val="54344DF1"/>
    <w:rsid w:val="543C749A"/>
    <w:rsid w:val="543F741C"/>
    <w:rsid w:val="544607AB"/>
    <w:rsid w:val="544A09AD"/>
    <w:rsid w:val="544B5DC1"/>
    <w:rsid w:val="544C7269"/>
    <w:rsid w:val="54507259"/>
    <w:rsid w:val="54520EFE"/>
    <w:rsid w:val="54534C76"/>
    <w:rsid w:val="54640C31"/>
    <w:rsid w:val="54646E83"/>
    <w:rsid w:val="546A07A5"/>
    <w:rsid w:val="546E7D01"/>
    <w:rsid w:val="546F6837"/>
    <w:rsid w:val="547370C6"/>
    <w:rsid w:val="547A1578"/>
    <w:rsid w:val="54843083"/>
    <w:rsid w:val="548B1BE8"/>
    <w:rsid w:val="549B53E2"/>
    <w:rsid w:val="549C5163"/>
    <w:rsid w:val="549E6B15"/>
    <w:rsid w:val="549F173E"/>
    <w:rsid w:val="54A11E85"/>
    <w:rsid w:val="54A30D71"/>
    <w:rsid w:val="54AA0D3A"/>
    <w:rsid w:val="54AE6F27"/>
    <w:rsid w:val="54B41BB8"/>
    <w:rsid w:val="54B716A8"/>
    <w:rsid w:val="54B9175B"/>
    <w:rsid w:val="54BD01B0"/>
    <w:rsid w:val="54C1029C"/>
    <w:rsid w:val="54D27137"/>
    <w:rsid w:val="54DA2688"/>
    <w:rsid w:val="54DB3CF7"/>
    <w:rsid w:val="54E029AD"/>
    <w:rsid w:val="54E463D5"/>
    <w:rsid w:val="54EB3100"/>
    <w:rsid w:val="54EF0E42"/>
    <w:rsid w:val="550348EE"/>
    <w:rsid w:val="550A3685"/>
    <w:rsid w:val="550D580E"/>
    <w:rsid w:val="550F23E8"/>
    <w:rsid w:val="55136880"/>
    <w:rsid w:val="55347F10"/>
    <w:rsid w:val="553A11C5"/>
    <w:rsid w:val="553B7DE4"/>
    <w:rsid w:val="553D3D10"/>
    <w:rsid w:val="55451F74"/>
    <w:rsid w:val="55582054"/>
    <w:rsid w:val="555869E7"/>
    <w:rsid w:val="555C7B5A"/>
    <w:rsid w:val="555E1B24"/>
    <w:rsid w:val="555F30A6"/>
    <w:rsid w:val="55611771"/>
    <w:rsid w:val="5563713A"/>
    <w:rsid w:val="55654C60"/>
    <w:rsid w:val="5569337A"/>
    <w:rsid w:val="557343AD"/>
    <w:rsid w:val="55744268"/>
    <w:rsid w:val="557B3584"/>
    <w:rsid w:val="55893CEF"/>
    <w:rsid w:val="558E065B"/>
    <w:rsid w:val="559172EA"/>
    <w:rsid w:val="5594109E"/>
    <w:rsid w:val="55983E3F"/>
    <w:rsid w:val="559A1DFE"/>
    <w:rsid w:val="559D264C"/>
    <w:rsid w:val="559E63C4"/>
    <w:rsid w:val="55A30A11"/>
    <w:rsid w:val="55A6665D"/>
    <w:rsid w:val="55AC288F"/>
    <w:rsid w:val="55B55F10"/>
    <w:rsid w:val="55B64D29"/>
    <w:rsid w:val="55C5454B"/>
    <w:rsid w:val="55C62214"/>
    <w:rsid w:val="55C658F0"/>
    <w:rsid w:val="55C7591B"/>
    <w:rsid w:val="55D1679A"/>
    <w:rsid w:val="55DA258C"/>
    <w:rsid w:val="55DB5E6F"/>
    <w:rsid w:val="55E02539"/>
    <w:rsid w:val="55E4027B"/>
    <w:rsid w:val="55E62245"/>
    <w:rsid w:val="55EA19DC"/>
    <w:rsid w:val="55EB160A"/>
    <w:rsid w:val="55EB785C"/>
    <w:rsid w:val="55F06C20"/>
    <w:rsid w:val="55F81F79"/>
    <w:rsid w:val="55F83D27"/>
    <w:rsid w:val="55FB2F2B"/>
    <w:rsid w:val="560C77D2"/>
    <w:rsid w:val="561072C2"/>
    <w:rsid w:val="56116B96"/>
    <w:rsid w:val="56121724"/>
    <w:rsid w:val="5612303A"/>
    <w:rsid w:val="56130100"/>
    <w:rsid w:val="56262642"/>
    <w:rsid w:val="564451BE"/>
    <w:rsid w:val="56493019"/>
    <w:rsid w:val="56495E3A"/>
    <w:rsid w:val="56552F27"/>
    <w:rsid w:val="565F7902"/>
    <w:rsid w:val="567D48F7"/>
    <w:rsid w:val="567D50DD"/>
    <w:rsid w:val="567D7B80"/>
    <w:rsid w:val="567E247E"/>
    <w:rsid w:val="56847368"/>
    <w:rsid w:val="56885A64"/>
    <w:rsid w:val="5697353F"/>
    <w:rsid w:val="569C4AB1"/>
    <w:rsid w:val="56BF65F2"/>
    <w:rsid w:val="56C105BC"/>
    <w:rsid w:val="56C34335"/>
    <w:rsid w:val="56C61444"/>
    <w:rsid w:val="56CD6F61"/>
    <w:rsid w:val="56CD7697"/>
    <w:rsid w:val="56DF0A43"/>
    <w:rsid w:val="56E878F7"/>
    <w:rsid w:val="56F50266"/>
    <w:rsid w:val="56FC33A3"/>
    <w:rsid w:val="570B7A8A"/>
    <w:rsid w:val="57104FDB"/>
    <w:rsid w:val="57160908"/>
    <w:rsid w:val="57181982"/>
    <w:rsid w:val="572D2FE2"/>
    <w:rsid w:val="573A692F"/>
    <w:rsid w:val="57645E9D"/>
    <w:rsid w:val="576F76A2"/>
    <w:rsid w:val="57770C7B"/>
    <w:rsid w:val="577F2A5B"/>
    <w:rsid w:val="577F3C5E"/>
    <w:rsid w:val="57807FFD"/>
    <w:rsid w:val="57875362"/>
    <w:rsid w:val="57882E88"/>
    <w:rsid w:val="578D3743"/>
    <w:rsid w:val="57AC4DC9"/>
    <w:rsid w:val="57B95737"/>
    <w:rsid w:val="57B974E6"/>
    <w:rsid w:val="57BB325E"/>
    <w:rsid w:val="57BD6FD6"/>
    <w:rsid w:val="57C0051F"/>
    <w:rsid w:val="57C351F2"/>
    <w:rsid w:val="57C95893"/>
    <w:rsid w:val="57CA42B2"/>
    <w:rsid w:val="57CE0F24"/>
    <w:rsid w:val="57DB4245"/>
    <w:rsid w:val="57FA150F"/>
    <w:rsid w:val="58070251"/>
    <w:rsid w:val="580971CE"/>
    <w:rsid w:val="580E7831"/>
    <w:rsid w:val="581356E9"/>
    <w:rsid w:val="58240E03"/>
    <w:rsid w:val="58254B7B"/>
    <w:rsid w:val="582C7CB7"/>
    <w:rsid w:val="582D0FFC"/>
    <w:rsid w:val="58323126"/>
    <w:rsid w:val="58326D08"/>
    <w:rsid w:val="58353010"/>
    <w:rsid w:val="58405511"/>
    <w:rsid w:val="584C4802"/>
    <w:rsid w:val="584E7C2E"/>
    <w:rsid w:val="5853793A"/>
    <w:rsid w:val="585F407F"/>
    <w:rsid w:val="586356DC"/>
    <w:rsid w:val="58666421"/>
    <w:rsid w:val="58690F0C"/>
    <w:rsid w:val="586A4CFB"/>
    <w:rsid w:val="586E02D0"/>
    <w:rsid w:val="587B42B7"/>
    <w:rsid w:val="58871392"/>
    <w:rsid w:val="588C71C4"/>
    <w:rsid w:val="589812B0"/>
    <w:rsid w:val="58993B57"/>
    <w:rsid w:val="589C3233"/>
    <w:rsid w:val="58AA3D2E"/>
    <w:rsid w:val="58AB1524"/>
    <w:rsid w:val="58AE691E"/>
    <w:rsid w:val="58B11C7F"/>
    <w:rsid w:val="58B46148"/>
    <w:rsid w:val="58BA1767"/>
    <w:rsid w:val="58C44394"/>
    <w:rsid w:val="58D02D39"/>
    <w:rsid w:val="58D832AE"/>
    <w:rsid w:val="58DD4440"/>
    <w:rsid w:val="58DD4C07"/>
    <w:rsid w:val="58E27D34"/>
    <w:rsid w:val="58E93A40"/>
    <w:rsid w:val="58F11563"/>
    <w:rsid w:val="58F465E1"/>
    <w:rsid w:val="58F70BC3"/>
    <w:rsid w:val="58F72073"/>
    <w:rsid w:val="58FC3C1B"/>
    <w:rsid w:val="58FD2D0E"/>
    <w:rsid w:val="59075866"/>
    <w:rsid w:val="590824D3"/>
    <w:rsid w:val="59097FF9"/>
    <w:rsid w:val="59142C25"/>
    <w:rsid w:val="591448F5"/>
    <w:rsid w:val="59194579"/>
    <w:rsid w:val="591A2206"/>
    <w:rsid w:val="591B35E5"/>
    <w:rsid w:val="5921367B"/>
    <w:rsid w:val="59260BAB"/>
    <w:rsid w:val="59290308"/>
    <w:rsid w:val="592941F7"/>
    <w:rsid w:val="593867CC"/>
    <w:rsid w:val="593C217C"/>
    <w:rsid w:val="59484FC5"/>
    <w:rsid w:val="594D6137"/>
    <w:rsid w:val="59505C28"/>
    <w:rsid w:val="595079D6"/>
    <w:rsid w:val="59580CDF"/>
    <w:rsid w:val="596279F5"/>
    <w:rsid w:val="596D4A2C"/>
    <w:rsid w:val="596D4A47"/>
    <w:rsid w:val="596F53E2"/>
    <w:rsid w:val="59724493"/>
    <w:rsid w:val="59731436"/>
    <w:rsid w:val="5975743C"/>
    <w:rsid w:val="597931D9"/>
    <w:rsid w:val="59883613"/>
    <w:rsid w:val="59893C43"/>
    <w:rsid w:val="598F64D5"/>
    <w:rsid w:val="59981AA8"/>
    <w:rsid w:val="599D70BF"/>
    <w:rsid w:val="59A044B9"/>
    <w:rsid w:val="59A2133C"/>
    <w:rsid w:val="59AA5338"/>
    <w:rsid w:val="59AC10B0"/>
    <w:rsid w:val="59AD6F59"/>
    <w:rsid w:val="59B166C6"/>
    <w:rsid w:val="59B87359"/>
    <w:rsid w:val="59BA41A7"/>
    <w:rsid w:val="59BC506B"/>
    <w:rsid w:val="59BC5A1F"/>
    <w:rsid w:val="59C5412F"/>
    <w:rsid w:val="59C81C62"/>
    <w:rsid w:val="59C93595"/>
    <w:rsid w:val="59D2488F"/>
    <w:rsid w:val="59D40607"/>
    <w:rsid w:val="59D56ED0"/>
    <w:rsid w:val="59EB3D8E"/>
    <w:rsid w:val="59ED3294"/>
    <w:rsid w:val="5A0337B5"/>
    <w:rsid w:val="5A0E3B19"/>
    <w:rsid w:val="5A0F163F"/>
    <w:rsid w:val="5A1C6473"/>
    <w:rsid w:val="5A20384C"/>
    <w:rsid w:val="5A2703A4"/>
    <w:rsid w:val="5A294C0A"/>
    <w:rsid w:val="5A310538"/>
    <w:rsid w:val="5A3A2B60"/>
    <w:rsid w:val="5A411A30"/>
    <w:rsid w:val="5A41687A"/>
    <w:rsid w:val="5A44578C"/>
    <w:rsid w:val="5A533C03"/>
    <w:rsid w:val="5A5615BC"/>
    <w:rsid w:val="5A58494F"/>
    <w:rsid w:val="5A6C083F"/>
    <w:rsid w:val="5A736072"/>
    <w:rsid w:val="5A761BE5"/>
    <w:rsid w:val="5A7E3159"/>
    <w:rsid w:val="5A845B89"/>
    <w:rsid w:val="5A875679"/>
    <w:rsid w:val="5A8913F1"/>
    <w:rsid w:val="5A8C0EE1"/>
    <w:rsid w:val="5A8D67C0"/>
    <w:rsid w:val="5A920D5A"/>
    <w:rsid w:val="5A9658BC"/>
    <w:rsid w:val="5A993A72"/>
    <w:rsid w:val="5A9D2814"/>
    <w:rsid w:val="5AA63D51"/>
    <w:rsid w:val="5AAA69F8"/>
    <w:rsid w:val="5AAB1367"/>
    <w:rsid w:val="5AAE7D97"/>
    <w:rsid w:val="5AB53F94"/>
    <w:rsid w:val="5AC253A4"/>
    <w:rsid w:val="5AC42429"/>
    <w:rsid w:val="5AC52138"/>
    <w:rsid w:val="5ACE51C1"/>
    <w:rsid w:val="5AD01551"/>
    <w:rsid w:val="5AD11796"/>
    <w:rsid w:val="5AD35DAD"/>
    <w:rsid w:val="5AD643A8"/>
    <w:rsid w:val="5ADD173D"/>
    <w:rsid w:val="5AE4651D"/>
    <w:rsid w:val="5AE81188"/>
    <w:rsid w:val="5AE86B94"/>
    <w:rsid w:val="5AEF2FA9"/>
    <w:rsid w:val="5AF16DF1"/>
    <w:rsid w:val="5AF727FF"/>
    <w:rsid w:val="5AF72E87"/>
    <w:rsid w:val="5AFC3CC2"/>
    <w:rsid w:val="5B011823"/>
    <w:rsid w:val="5B062A42"/>
    <w:rsid w:val="5B183362"/>
    <w:rsid w:val="5B1E5FDD"/>
    <w:rsid w:val="5B221FC8"/>
    <w:rsid w:val="5B24736C"/>
    <w:rsid w:val="5B392E17"/>
    <w:rsid w:val="5B3E042E"/>
    <w:rsid w:val="5B4D3C63"/>
    <w:rsid w:val="5B532F50"/>
    <w:rsid w:val="5B5437AD"/>
    <w:rsid w:val="5B572E88"/>
    <w:rsid w:val="5B595267"/>
    <w:rsid w:val="5B5F2152"/>
    <w:rsid w:val="5B5F2B83"/>
    <w:rsid w:val="5B661247"/>
    <w:rsid w:val="5B6D486F"/>
    <w:rsid w:val="5B7B51DE"/>
    <w:rsid w:val="5B7E4CCE"/>
    <w:rsid w:val="5B8277BE"/>
    <w:rsid w:val="5B8B17A8"/>
    <w:rsid w:val="5B8E541A"/>
    <w:rsid w:val="5B975D90"/>
    <w:rsid w:val="5B9A46F8"/>
    <w:rsid w:val="5BB30D43"/>
    <w:rsid w:val="5BB47AA6"/>
    <w:rsid w:val="5BB571A0"/>
    <w:rsid w:val="5BB659F1"/>
    <w:rsid w:val="5BBA645F"/>
    <w:rsid w:val="5BCB77E7"/>
    <w:rsid w:val="5BCF07C9"/>
    <w:rsid w:val="5BD579D3"/>
    <w:rsid w:val="5BD91F04"/>
    <w:rsid w:val="5BE34B31"/>
    <w:rsid w:val="5BE65EAD"/>
    <w:rsid w:val="5BEA4111"/>
    <w:rsid w:val="5BF154A0"/>
    <w:rsid w:val="5BF44F90"/>
    <w:rsid w:val="5BF90F94"/>
    <w:rsid w:val="5BFD1656"/>
    <w:rsid w:val="5C000D17"/>
    <w:rsid w:val="5C01203B"/>
    <w:rsid w:val="5C1338A1"/>
    <w:rsid w:val="5C1A2683"/>
    <w:rsid w:val="5C1D6742"/>
    <w:rsid w:val="5C2E40C3"/>
    <w:rsid w:val="5C3153A3"/>
    <w:rsid w:val="5C381321"/>
    <w:rsid w:val="5C384E7D"/>
    <w:rsid w:val="5C4A2E02"/>
    <w:rsid w:val="5C523FE7"/>
    <w:rsid w:val="5C552EE6"/>
    <w:rsid w:val="5C583771"/>
    <w:rsid w:val="5C661525"/>
    <w:rsid w:val="5C6A0FE1"/>
    <w:rsid w:val="5C71663B"/>
    <w:rsid w:val="5C741C2D"/>
    <w:rsid w:val="5C8207EE"/>
    <w:rsid w:val="5C904CB9"/>
    <w:rsid w:val="5C9207EF"/>
    <w:rsid w:val="5C930305"/>
    <w:rsid w:val="5CA40764"/>
    <w:rsid w:val="5CA50038"/>
    <w:rsid w:val="5CA70254"/>
    <w:rsid w:val="5CB30F2F"/>
    <w:rsid w:val="5CBC5AAE"/>
    <w:rsid w:val="5CC0462F"/>
    <w:rsid w:val="5CC2508E"/>
    <w:rsid w:val="5CC74453"/>
    <w:rsid w:val="5CCB7EFD"/>
    <w:rsid w:val="5CCF4359"/>
    <w:rsid w:val="5CD050B5"/>
    <w:rsid w:val="5CE40B61"/>
    <w:rsid w:val="5CE42CEF"/>
    <w:rsid w:val="5CE63328"/>
    <w:rsid w:val="5CEA1636"/>
    <w:rsid w:val="5CEB5EA7"/>
    <w:rsid w:val="5CF1327E"/>
    <w:rsid w:val="5CF54581"/>
    <w:rsid w:val="5CF54B1C"/>
    <w:rsid w:val="5CFA65D6"/>
    <w:rsid w:val="5CFF599B"/>
    <w:rsid w:val="5D000F4B"/>
    <w:rsid w:val="5D0C00B7"/>
    <w:rsid w:val="5D107BA8"/>
    <w:rsid w:val="5D1256CE"/>
    <w:rsid w:val="5D133976"/>
    <w:rsid w:val="5D1816AD"/>
    <w:rsid w:val="5D1A5C72"/>
    <w:rsid w:val="5D1A6C78"/>
    <w:rsid w:val="5D1D272A"/>
    <w:rsid w:val="5D1E003B"/>
    <w:rsid w:val="5D221689"/>
    <w:rsid w:val="5D245401"/>
    <w:rsid w:val="5D2648D6"/>
    <w:rsid w:val="5D292482"/>
    <w:rsid w:val="5D2D2508"/>
    <w:rsid w:val="5D347D3A"/>
    <w:rsid w:val="5D3610DF"/>
    <w:rsid w:val="5D437089"/>
    <w:rsid w:val="5D475B2E"/>
    <w:rsid w:val="5D485594"/>
    <w:rsid w:val="5D4E5A2B"/>
    <w:rsid w:val="5D526412"/>
    <w:rsid w:val="5D5417E6"/>
    <w:rsid w:val="5D56223F"/>
    <w:rsid w:val="5D656965"/>
    <w:rsid w:val="5D720862"/>
    <w:rsid w:val="5D72166D"/>
    <w:rsid w:val="5D7331AF"/>
    <w:rsid w:val="5D753EAF"/>
    <w:rsid w:val="5D777C27"/>
    <w:rsid w:val="5D791494"/>
    <w:rsid w:val="5D7E60E4"/>
    <w:rsid w:val="5D7F0889"/>
    <w:rsid w:val="5D8440F2"/>
    <w:rsid w:val="5D852344"/>
    <w:rsid w:val="5D8C1944"/>
    <w:rsid w:val="5D8C4262"/>
    <w:rsid w:val="5D92190A"/>
    <w:rsid w:val="5DA17E96"/>
    <w:rsid w:val="5DA51575"/>
    <w:rsid w:val="5DB1339F"/>
    <w:rsid w:val="5DC159EB"/>
    <w:rsid w:val="5DC310BE"/>
    <w:rsid w:val="5DC32E6C"/>
    <w:rsid w:val="5DCB1D21"/>
    <w:rsid w:val="5DCD5A99"/>
    <w:rsid w:val="5DDF04BD"/>
    <w:rsid w:val="5DE828D3"/>
    <w:rsid w:val="5DED0D87"/>
    <w:rsid w:val="5DED4FB7"/>
    <w:rsid w:val="5DED613B"/>
    <w:rsid w:val="5DEE088E"/>
    <w:rsid w:val="5DF62F98"/>
    <w:rsid w:val="5DFA3716"/>
    <w:rsid w:val="5E005E6E"/>
    <w:rsid w:val="5E021BE6"/>
    <w:rsid w:val="5E0D2339"/>
    <w:rsid w:val="5E17190F"/>
    <w:rsid w:val="5E3372F0"/>
    <w:rsid w:val="5E341674"/>
    <w:rsid w:val="5E361890"/>
    <w:rsid w:val="5E38009A"/>
    <w:rsid w:val="5E394C6E"/>
    <w:rsid w:val="5E4314F3"/>
    <w:rsid w:val="5E4E15E4"/>
    <w:rsid w:val="5E4F4700"/>
    <w:rsid w:val="5E543AC4"/>
    <w:rsid w:val="5E5B4E53"/>
    <w:rsid w:val="5E5B6F43"/>
    <w:rsid w:val="5E63096E"/>
    <w:rsid w:val="5E6D637B"/>
    <w:rsid w:val="5E7128C8"/>
    <w:rsid w:val="5E71738F"/>
    <w:rsid w:val="5E7A5C21"/>
    <w:rsid w:val="5E7C3AB6"/>
    <w:rsid w:val="5E7F018F"/>
    <w:rsid w:val="5E836CBA"/>
    <w:rsid w:val="5E951067"/>
    <w:rsid w:val="5E96232F"/>
    <w:rsid w:val="5E99029C"/>
    <w:rsid w:val="5E9D546B"/>
    <w:rsid w:val="5E9E6CC1"/>
    <w:rsid w:val="5EA16424"/>
    <w:rsid w:val="5EC82376"/>
    <w:rsid w:val="5EC96260"/>
    <w:rsid w:val="5ECB4371"/>
    <w:rsid w:val="5ECC7E29"/>
    <w:rsid w:val="5ED707ED"/>
    <w:rsid w:val="5ED750F1"/>
    <w:rsid w:val="5EDC3864"/>
    <w:rsid w:val="5EE11F8C"/>
    <w:rsid w:val="5EE17A4E"/>
    <w:rsid w:val="5EF15D3B"/>
    <w:rsid w:val="5EF22111"/>
    <w:rsid w:val="5EF808F3"/>
    <w:rsid w:val="5EF85932"/>
    <w:rsid w:val="5EFB6321"/>
    <w:rsid w:val="5F074FDA"/>
    <w:rsid w:val="5F1542AB"/>
    <w:rsid w:val="5F1F40D2"/>
    <w:rsid w:val="5F313EC6"/>
    <w:rsid w:val="5F337B7D"/>
    <w:rsid w:val="5F3C02E0"/>
    <w:rsid w:val="5F41673E"/>
    <w:rsid w:val="5F44582F"/>
    <w:rsid w:val="5F555CDC"/>
    <w:rsid w:val="5F5644F1"/>
    <w:rsid w:val="5F5923D9"/>
    <w:rsid w:val="5F593A88"/>
    <w:rsid w:val="5F5F4E16"/>
    <w:rsid w:val="5F610B8F"/>
    <w:rsid w:val="5F622211"/>
    <w:rsid w:val="5F7734BF"/>
    <w:rsid w:val="5F7856A1"/>
    <w:rsid w:val="5F7C32D2"/>
    <w:rsid w:val="5F830B05"/>
    <w:rsid w:val="5F8D1984"/>
    <w:rsid w:val="5F8D7E89"/>
    <w:rsid w:val="5F994229"/>
    <w:rsid w:val="5FA665A1"/>
    <w:rsid w:val="5FB2042D"/>
    <w:rsid w:val="5FB220BD"/>
    <w:rsid w:val="5FB35BDB"/>
    <w:rsid w:val="5FBD445F"/>
    <w:rsid w:val="5FBF7663"/>
    <w:rsid w:val="5FC538EA"/>
    <w:rsid w:val="5FDD6614"/>
    <w:rsid w:val="5FDF2FE9"/>
    <w:rsid w:val="5FE1582B"/>
    <w:rsid w:val="5FF13CC0"/>
    <w:rsid w:val="5FF4555F"/>
    <w:rsid w:val="5FF4730D"/>
    <w:rsid w:val="5FF612D7"/>
    <w:rsid w:val="600D03CE"/>
    <w:rsid w:val="60107EBF"/>
    <w:rsid w:val="602219D3"/>
    <w:rsid w:val="602A2D2E"/>
    <w:rsid w:val="602D281F"/>
    <w:rsid w:val="60306A29"/>
    <w:rsid w:val="603305F0"/>
    <w:rsid w:val="604F09E7"/>
    <w:rsid w:val="6057789C"/>
    <w:rsid w:val="6062696C"/>
    <w:rsid w:val="6064419D"/>
    <w:rsid w:val="607B7A2E"/>
    <w:rsid w:val="608075E5"/>
    <w:rsid w:val="60855737"/>
    <w:rsid w:val="60861968"/>
    <w:rsid w:val="60874F01"/>
    <w:rsid w:val="609603C4"/>
    <w:rsid w:val="60966616"/>
    <w:rsid w:val="60B83D2E"/>
    <w:rsid w:val="60C4625D"/>
    <w:rsid w:val="60CE4002"/>
    <w:rsid w:val="60D64C64"/>
    <w:rsid w:val="60F3686E"/>
    <w:rsid w:val="60F60EA9"/>
    <w:rsid w:val="60F90189"/>
    <w:rsid w:val="60F90953"/>
    <w:rsid w:val="60FB46CB"/>
    <w:rsid w:val="61033ACA"/>
    <w:rsid w:val="61053653"/>
    <w:rsid w:val="610A2B60"/>
    <w:rsid w:val="61115E7E"/>
    <w:rsid w:val="61202FDC"/>
    <w:rsid w:val="61241E74"/>
    <w:rsid w:val="612956DC"/>
    <w:rsid w:val="612D7646"/>
    <w:rsid w:val="612E684E"/>
    <w:rsid w:val="61300818"/>
    <w:rsid w:val="61306A6A"/>
    <w:rsid w:val="61377B8E"/>
    <w:rsid w:val="613A1697"/>
    <w:rsid w:val="6142679E"/>
    <w:rsid w:val="6145071A"/>
    <w:rsid w:val="61477910"/>
    <w:rsid w:val="614B7611"/>
    <w:rsid w:val="614C258F"/>
    <w:rsid w:val="615A6960"/>
    <w:rsid w:val="61614E7D"/>
    <w:rsid w:val="616364E3"/>
    <w:rsid w:val="616B35FF"/>
    <w:rsid w:val="617066F8"/>
    <w:rsid w:val="61747A87"/>
    <w:rsid w:val="617C58F1"/>
    <w:rsid w:val="61834287"/>
    <w:rsid w:val="618822DC"/>
    <w:rsid w:val="618E635D"/>
    <w:rsid w:val="619E7FB2"/>
    <w:rsid w:val="61A62889"/>
    <w:rsid w:val="61A63C42"/>
    <w:rsid w:val="61AD1E69"/>
    <w:rsid w:val="61B41449"/>
    <w:rsid w:val="61B431F8"/>
    <w:rsid w:val="61B9080E"/>
    <w:rsid w:val="61BE4076"/>
    <w:rsid w:val="61C827FF"/>
    <w:rsid w:val="61CA224E"/>
    <w:rsid w:val="61D218D0"/>
    <w:rsid w:val="61D7013B"/>
    <w:rsid w:val="61D816C9"/>
    <w:rsid w:val="61DD0D01"/>
    <w:rsid w:val="61DE64C6"/>
    <w:rsid w:val="61F35352"/>
    <w:rsid w:val="61F47A98"/>
    <w:rsid w:val="620969A3"/>
    <w:rsid w:val="62135310"/>
    <w:rsid w:val="621A5025"/>
    <w:rsid w:val="622B0FE0"/>
    <w:rsid w:val="623067A4"/>
    <w:rsid w:val="6232236E"/>
    <w:rsid w:val="62432EF2"/>
    <w:rsid w:val="62491A01"/>
    <w:rsid w:val="624B3430"/>
    <w:rsid w:val="6252740D"/>
    <w:rsid w:val="62567717"/>
    <w:rsid w:val="6258733E"/>
    <w:rsid w:val="62662018"/>
    <w:rsid w:val="627666FF"/>
    <w:rsid w:val="62782477"/>
    <w:rsid w:val="62897035"/>
    <w:rsid w:val="629159DC"/>
    <w:rsid w:val="629F4558"/>
    <w:rsid w:val="62A212A2"/>
    <w:rsid w:val="62A82D70"/>
    <w:rsid w:val="62A955CC"/>
    <w:rsid w:val="62AA0157"/>
    <w:rsid w:val="62AF1C11"/>
    <w:rsid w:val="62BF62A3"/>
    <w:rsid w:val="62CA75C8"/>
    <w:rsid w:val="62D37B93"/>
    <w:rsid w:val="62DA4EE0"/>
    <w:rsid w:val="62DC4F3A"/>
    <w:rsid w:val="62E16170"/>
    <w:rsid w:val="62E775FD"/>
    <w:rsid w:val="62E84EA9"/>
    <w:rsid w:val="62F73F68"/>
    <w:rsid w:val="62FE04A2"/>
    <w:rsid w:val="62FF4965"/>
    <w:rsid w:val="63071D4A"/>
    <w:rsid w:val="630755A9"/>
    <w:rsid w:val="630D181D"/>
    <w:rsid w:val="630E06E5"/>
    <w:rsid w:val="630E3798"/>
    <w:rsid w:val="630F37F0"/>
    <w:rsid w:val="63163A3E"/>
    <w:rsid w:val="632B1962"/>
    <w:rsid w:val="632E3334"/>
    <w:rsid w:val="632F02A6"/>
    <w:rsid w:val="634458BA"/>
    <w:rsid w:val="63556314"/>
    <w:rsid w:val="635775E9"/>
    <w:rsid w:val="6358577A"/>
    <w:rsid w:val="635B59A6"/>
    <w:rsid w:val="6372336A"/>
    <w:rsid w:val="637254AA"/>
    <w:rsid w:val="6381126A"/>
    <w:rsid w:val="638E6635"/>
    <w:rsid w:val="63901A42"/>
    <w:rsid w:val="63A27AA9"/>
    <w:rsid w:val="63A54F9A"/>
    <w:rsid w:val="63A75EC9"/>
    <w:rsid w:val="63AB687C"/>
    <w:rsid w:val="63B75221"/>
    <w:rsid w:val="63BC45E5"/>
    <w:rsid w:val="63BC7D34"/>
    <w:rsid w:val="63BF40D6"/>
    <w:rsid w:val="63C33BC6"/>
    <w:rsid w:val="63C41D41"/>
    <w:rsid w:val="63CB65D6"/>
    <w:rsid w:val="63D612C7"/>
    <w:rsid w:val="63DB1B4F"/>
    <w:rsid w:val="63DB485F"/>
    <w:rsid w:val="63E91153"/>
    <w:rsid w:val="63EB0A27"/>
    <w:rsid w:val="63ED2687"/>
    <w:rsid w:val="64104931"/>
    <w:rsid w:val="641066DF"/>
    <w:rsid w:val="642672F2"/>
    <w:rsid w:val="64300B2F"/>
    <w:rsid w:val="643028DD"/>
    <w:rsid w:val="643273F2"/>
    <w:rsid w:val="64410F8F"/>
    <w:rsid w:val="64441D43"/>
    <w:rsid w:val="64465297"/>
    <w:rsid w:val="644A1BF1"/>
    <w:rsid w:val="644E1984"/>
    <w:rsid w:val="645124D4"/>
    <w:rsid w:val="646709F5"/>
    <w:rsid w:val="64681008"/>
    <w:rsid w:val="64682077"/>
    <w:rsid w:val="646B7DB9"/>
    <w:rsid w:val="647247BA"/>
    <w:rsid w:val="647B4352"/>
    <w:rsid w:val="647E5D3F"/>
    <w:rsid w:val="648701DE"/>
    <w:rsid w:val="64897147"/>
    <w:rsid w:val="648D1ADE"/>
    <w:rsid w:val="649347D7"/>
    <w:rsid w:val="64986E00"/>
    <w:rsid w:val="64994927"/>
    <w:rsid w:val="649C6168"/>
    <w:rsid w:val="649C7F73"/>
    <w:rsid w:val="64A0076B"/>
    <w:rsid w:val="64A4432F"/>
    <w:rsid w:val="64A55079"/>
    <w:rsid w:val="64AF7CA6"/>
    <w:rsid w:val="64B67287"/>
    <w:rsid w:val="64D37E39"/>
    <w:rsid w:val="64DB4F3F"/>
    <w:rsid w:val="64DE30C0"/>
    <w:rsid w:val="64E07663"/>
    <w:rsid w:val="64E320B2"/>
    <w:rsid w:val="64EB5B2D"/>
    <w:rsid w:val="64EE2866"/>
    <w:rsid w:val="64FA304C"/>
    <w:rsid w:val="64FB113D"/>
    <w:rsid w:val="650179D4"/>
    <w:rsid w:val="65085608"/>
    <w:rsid w:val="650C334B"/>
    <w:rsid w:val="6516191C"/>
    <w:rsid w:val="651820DE"/>
    <w:rsid w:val="652307B4"/>
    <w:rsid w:val="652341F0"/>
    <w:rsid w:val="652569F8"/>
    <w:rsid w:val="65257F68"/>
    <w:rsid w:val="65270184"/>
    <w:rsid w:val="652A0E7A"/>
    <w:rsid w:val="652D5837"/>
    <w:rsid w:val="65314B5F"/>
    <w:rsid w:val="6535464F"/>
    <w:rsid w:val="653C05A7"/>
    <w:rsid w:val="653C540F"/>
    <w:rsid w:val="65407435"/>
    <w:rsid w:val="65474383"/>
    <w:rsid w:val="654F0683"/>
    <w:rsid w:val="65556AA0"/>
    <w:rsid w:val="655B24CC"/>
    <w:rsid w:val="65644F35"/>
    <w:rsid w:val="65691A71"/>
    <w:rsid w:val="65727EB8"/>
    <w:rsid w:val="657B0C15"/>
    <w:rsid w:val="657F58CB"/>
    <w:rsid w:val="6585780D"/>
    <w:rsid w:val="658B50AB"/>
    <w:rsid w:val="65901384"/>
    <w:rsid w:val="65962C14"/>
    <w:rsid w:val="659D21F5"/>
    <w:rsid w:val="65A112BC"/>
    <w:rsid w:val="65A2795B"/>
    <w:rsid w:val="65A72A6E"/>
    <w:rsid w:val="65A73073"/>
    <w:rsid w:val="65A76BCF"/>
    <w:rsid w:val="65AE7F5E"/>
    <w:rsid w:val="65B23EF2"/>
    <w:rsid w:val="65B55790"/>
    <w:rsid w:val="65CA4ED5"/>
    <w:rsid w:val="65CB2E66"/>
    <w:rsid w:val="65CD0D2C"/>
    <w:rsid w:val="65CE3B2D"/>
    <w:rsid w:val="65D976D1"/>
    <w:rsid w:val="65E03EB1"/>
    <w:rsid w:val="65E06114"/>
    <w:rsid w:val="65EE2C35"/>
    <w:rsid w:val="65F53DDF"/>
    <w:rsid w:val="65F8742B"/>
    <w:rsid w:val="65FC33BF"/>
    <w:rsid w:val="66014531"/>
    <w:rsid w:val="66033E3F"/>
    <w:rsid w:val="66056B40"/>
    <w:rsid w:val="66067D9A"/>
    <w:rsid w:val="660C2816"/>
    <w:rsid w:val="660F015B"/>
    <w:rsid w:val="6611494A"/>
    <w:rsid w:val="661C136B"/>
    <w:rsid w:val="661C580F"/>
    <w:rsid w:val="661F50E1"/>
    <w:rsid w:val="661F70AE"/>
    <w:rsid w:val="66202B8F"/>
    <w:rsid w:val="66251567"/>
    <w:rsid w:val="662B5A52"/>
    <w:rsid w:val="662C783D"/>
    <w:rsid w:val="66304E17"/>
    <w:rsid w:val="663568D1"/>
    <w:rsid w:val="663E5786"/>
    <w:rsid w:val="664810C7"/>
    <w:rsid w:val="6653164C"/>
    <w:rsid w:val="665A551B"/>
    <w:rsid w:val="66652ED8"/>
    <w:rsid w:val="66663D1C"/>
    <w:rsid w:val="66664F02"/>
    <w:rsid w:val="666B5CA1"/>
    <w:rsid w:val="667636D1"/>
    <w:rsid w:val="6677062B"/>
    <w:rsid w:val="667E7FC4"/>
    <w:rsid w:val="668063D3"/>
    <w:rsid w:val="66810BCF"/>
    <w:rsid w:val="668C4168"/>
    <w:rsid w:val="668F0A43"/>
    <w:rsid w:val="668F1B3D"/>
    <w:rsid w:val="668F4651"/>
    <w:rsid w:val="669C425A"/>
    <w:rsid w:val="66A6332B"/>
    <w:rsid w:val="66A827DC"/>
    <w:rsid w:val="66B005F7"/>
    <w:rsid w:val="66B357B6"/>
    <w:rsid w:val="66B45D76"/>
    <w:rsid w:val="66B97645"/>
    <w:rsid w:val="66BC48FC"/>
    <w:rsid w:val="66C537B1"/>
    <w:rsid w:val="66C832A1"/>
    <w:rsid w:val="66C91CB1"/>
    <w:rsid w:val="66D3012C"/>
    <w:rsid w:val="66E005EB"/>
    <w:rsid w:val="66F10A4A"/>
    <w:rsid w:val="670047E9"/>
    <w:rsid w:val="6707201B"/>
    <w:rsid w:val="67095C94"/>
    <w:rsid w:val="670A5668"/>
    <w:rsid w:val="670E280B"/>
    <w:rsid w:val="67112E9A"/>
    <w:rsid w:val="671244B8"/>
    <w:rsid w:val="6712451C"/>
    <w:rsid w:val="671D18A6"/>
    <w:rsid w:val="671E3EF4"/>
    <w:rsid w:val="67220C6C"/>
    <w:rsid w:val="672319EF"/>
    <w:rsid w:val="67277FC8"/>
    <w:rsid w:val="672F65D9"/>
    <w:rsid w:val="67312B43"/>
    <w:rsid w:val="67417886"/>
    <w:rsid w:val="67424E02"/>
    <w:rsid w:val="67464055"/>
    <w:rsid w:val="6751773B"/>
    <w:rsid w:val="675B2A2A"/>
    <w:rsid w:val="67604552"/>
    <w:rsid w:val="67683D96"/>
    <w:rsid w:val="676E3E49"/>
    <w:rsid w:val="6773145F"/>
    <w:rsid w:val="67786A75"/>
    <w:rsid w:val="677E1BB2"/>
    <w:rsid w:val="677E4A78"/>
    <w:rsid w:val="67A83914"/>
    <w:rsid w:val="67B85441"/>
    <w:rsid w:val="67C70D67"/>
    <w:rsid w:val="67CF36E0"/>
    <w:rsid w:val="67D31EFE"/>
    <w:rsid w:val="67D32B41"/>
    <w:rsid w:val="67D51E1C"/>
    <w:rsid w:val="67DA14DE"/>
    <w:rsid w:val="67E21C15"/>
    <w:rsid w:val="67E75368"/>
    <w:rsid w:val="67E97EBB"/>
    <w:rsid w:val="67EC2FBF"/>
    <w:rsid w:val="67ED42D2"/>
    <w:rsid w:val="67FC1454"/>
    <w:rsid w:val="68091DC3"/>
    <w:rsid w:val="680975BA"/>
    <w:rsid w:val="680C7AAF"/>
    <w:rsid w:val="68126ECA"/>
    <w:rsid w:val="68161240"/>
    <w:rsid w:val="681A18DB"/>
    <w:rsid w:val="6844604D"/>
    <w:rsid w:val="684601C8"/>
    <w:rsid w:val="684626D0"/>
    <w:rsid w:val="684E5A28"/>
    <w:rsid w:val="68552B9F"/>
    <w:rsid w:val="68564138"/>
    <w:rsid w:val="68566D09"/>
    <w:rsid w:val="68576DDC"/>
    <w:rsid w:val="68652EAC"/>
    <w:rsid w:val="686B65DA"/>
    <w:rsid w:val="686E0F79"/>
    <w:rsid w:val="68722DE1"/>
    <w:rsid w:val="68750242"/>
    <w:rsid w:val="68892F0E"/>
    <w:rsid w:val="68921DB9"/>
    <w:rsid w:val="6895357A"/>
    <w:rsid w:val="68953657"/>
    <w:rsid w:val="68996CA3"/>
    <w:rsid w:val="689F26F2"/>
    <w:rsid w:val="68A11FFC"/>
    <w:rsid w:val="68A24F7B"/>
    <w:rsid w:val="68AA0DA2"/>
    <w:rsid w:val="68AA17DF"/>
    <w:rsid w:val="68AB1FBE"/>
    <w:rsid w:val="68AC5267"/>
    <w:rsid w:val="68AD274F"/>
    <w:rsid w:val="68AD6BF3"/>
    <w:rsid w:val="68C161FA"/>
    <w:rsid w:val="68C32059"/>
    <w:rsid w:val="68CF4DBB"/>
    <w:rsid w:val="68D67EF7"/>
    <w:rsid w:val="68DE2089"/>
    <w:rsid w:val="68E55D91"/>
    <w:rsid w:val="68EE0A03"/>
    <w:rsid w:val="68EF534D"/>
    <w:rsid w:val="68FB5BB0"/>
    <w:rsid w:val="690031C6"/>
    <w:rsid w:val="690802CD"/>
    <w:rsid w:val="690A194F"/>
    <w:rsid w:val="691467A6"/>
    <w:rsid w:val="691622F6"/>
    <w:rsid w:val="69166546"/>
    <w:rsid w:val="692F0ABC"/>
    <w:rsid w:val="692F397B"/>
    <w:rsid w:val="69355B70"/>
    <w:rsid w:val="693574AD"/>
    <w:rsid w:val="693B5A0F"/>
    <w:rsid w:val="693E0976"/>
    <w:rsid w:val="694A61EF"/>
    <w:rsid w:val="69540D79"/>
    <w:rsid w:val="695928D6"/>
    <w:rsid w:val="69680F41"/>
    <w:rsid w:val="696C43B8"/>
    <w:rsid w:val="69886D18"/>
    <w:rsid w:val="69896F49"/>
    <w:rsid w:val="698B5EE8"/>
    <w:rsid w:val="698F566B"/>
    <w:rsid w:val="699911C9"/>
    <w:rsid w:val="699F70C6"/>
    <w:rsid w:val="69A27DD9"/>
    <w:rsid w:val="69A41DA4"/>
    <w:rsid w:val="69A80693"/>
    <w:rsid w:val="69A973BA"/>
    <w:rsid w:val="69AB1384"/>
    <w:rsid w:val="69AF4F3C"/>
    <w:rsid w:val="69B61AD7"/>
    <w:rsid w:val="69BD10B7"/>
    <w:rsid w:val="69BD63A3"/>
    <w:rsid w:val="69CB7DEE"/>
    <w:rsid w:val="69D27A14"/>
    <w:rsid w:val="69D87C9F"/>
    <w:rsid w:val="69DC120B"/>
    <w:rsid w:val="69DC2875"/>
    <w:rsid w:val="69DD677D"/>
    <w:rsid w:val="69EC5DB4"/>
    <w:rsid w:val="69F76800"/>
    <w:rsid w:val="69F9656A"/>
    <w:rsid w:val="6A020B60"/>
    <w:rsid w:val="6A026ACA"/>
    <w:rsid w:val="6A07052C"/>
    <w:rsid w:val="6A0E1913"/>
    <w:rsid w:val="6A107439"/>
    <w:rsid w:val="6A1251EA"/>
    <w:rsid w:val="6A1D3904"/>
    <w:rsid w:val="6A2627B9"/>
    <w:rsid w:val="6A2C1D99"/>
    <w:rsid w:val="6A2E3D63"/>
    <w:rsid w:val="6A334A16"/>
    <w:rsid w:val="6A39302B"/>
    <w:rsid w:val="6A3A6264"/>
    <w:rsid w:val="6A3B76B5"/>
    <w:rsid w:val="6A471880"/>
    <w:rsid w:val="6A4B0471"/>
    <w:rsid w:val="6A4D243B"/>
    <w:rsid w:val="6A4F4495"/>
    <w:rsid w:val="6A505A87"/>
    <w:rsid w:val="6A576E16"/>
    <w:rsid w:val="6A667059"/>
    <w:rsid w:val="6A6D4E50"/>
    <w:rsid w:val="6A6E5F0E"/>
    <w:rsid w:val="6A723C50"/>
    <w:rsid w:val="6A773014"/>
    <w:rsid w:val="6A7C687C"/>
    <w:rsid w:val="6A841BD5"/>
    <w:rsid w:val="6A84533B"/>
    <w:rsid w:val="6A866D20"/>
    <w:rsid w:val="6A8F30AB"/>
    <w:rsid w:val="6A9A4F55"/>
    <w:rsid w:val="6AA10998"/>
    <w:rsid w:val="6AA3205B"/>
    <w:rsid w:val="6AAA7064"/>
    <w:rsid w:val="6AAC2BDD"/>
    <w:rsid w:val="6AB53B3C"/>
    <w:rsid w:val="6ABA73A5"/>
    <w:rsid w:val="6AC54B53"/>
    <w:rsid w:val="6ACB228B"/>
    <w:rsid w:val="6ACB523A"/>
    <w:rsid w:val="6AD93CCF"/>
    <w:rsid w:val="6ADC6DA2"/>
    <w:rsid w:val="6ADF73D5"/>
    <w:rsid w:val="6AE82164"/>
    <w:rsid w:val="6AE85AC1"/>
    <w:rsid w:val="6AE90161"/>
    <w:rsid w:val="6AF31120"/>
    <w:rsid w:val="6B0074AE"/>
    <w:rsid w:val="6B011F74"/>
    <w:rsid w:val="6B026019"/>
    <w:rsid w:val="6B0625EA"/>
    <w:rsid w:val="6B1747F7"/>
    <w:rsid w:val="6B1B2661"/>
    <w:rsid w:val="6B250CC2"/>
    <w:rsid w:val="6B276B93"/>
    <w:rsid w:val="6B2C36F6"/>
    <w:rsid w:val="6B2D5DC9"/>
    <w:rsid w:val="6B323B38"/>
    <w:rsid w:val="6B325ABF"/>
    <w:rsid w:val="6B3556BF"/>
    <w:rsid w:val="6B3626FC"/>
    <w:rsid w:val="6B476E8A"/>
    <w:rsid w:val="6B4E646B"/>
    <w:rsid w:val="6B5477F9"/>
    <w:rsid w:val="6B601CFA"/>
    <w:rsid w:val="6B696364"/>
    <w:rsid w:val="6B6F018F"/>
    <w:rsid w:val="6B855157"/>
    <w:rsid w:val="6B8C6858"/>
    <w:rsid w:val="6B92234C"/>
    <w:rsid w:val="6BA02A3F"/>
    <w:rsid w:val="6BA71E65"/>
    <w:rsid w:val="6BAD2A66"/>
    <w:rsid w:val="6BAF059E"/>
    <w:rsid w:val="6BB279A0"/>
    <w:rsid w:val="6BB64010"/>
    <w:rsid w:val="6BBB5A8A"/>
    <w:rsid w:val="6BBD054A"/>
    <w:rsid w:val="6BC02799"/>
    <w:rsid w:val="6BC07C08"/>
    <w:rsid w:val="6BC24763"/>
    <w:rsid w:val="6BC404DB"/>
    <w:rsid w:val="6BCE4A74"/>
    <w:rsid w:val="6BD91AAD"/>
    <w:rsid w:val="6BDB3A77"/>
    <w:rsid w:val="6BE071F2"/>
    <w:rsid w:val="6BE741CA"/>
    <w:rsid w:val="6BF6440D"/>
    <w:rsid w:val="6C104A1A"/>
    <w:rsid w:val="6C201C56"/>
    <w:rsid w:val="6C241279"/>
    <w:rsid w:val="6C262F44"/>
    <w:rsid w:val="6C2E3C00"/>
    <w:rsid w:val="6C390643"/>
    <w:rsid w:val="6C3B0063"/>
    <w:rsid w:val="6C4E27F9"/>
    <w:rsid w:val="6C4E5FF7"/>
    <w:rsid w:val="6C500C62"/>
    <w:rsid w:val="6C501D6F"/>
    <w:rsid w:val="6C5630FD"/>
    <w:rsid w:val="6C575BE3"/>
    <w:rsid w:val="6C694A99"/>
    <w:rsid w:val="6C6E0447"/>
    <w:rsid w:val="6C7A53B0"/>
    <w:rsid w:val="6C81017A"/>
    <w:rsid w:val="6C8213FE"/>
    <w:rsid w:val="6C8639E2"/>
    <w:rsid w:val="6C90660F"/>
    <w:rsid w:val="6C922989"/>
    <w:rsid w:val="6CA731DF"/>
    <w:rsid w:val="6CAE6A95"/>
    <w:rsid w:val="6CE32BE3"/>
    <w:rsid w:val="6CE50DE9"/>
    <w:rsid w:val="6CE84772"/>
    <w:rsid w:val="6CE863E0"/>
    <w:rsid w:val="6CED5810"/>
    <w:rsid w:val="6CF7043C"/>
    <w:rsid w:val="6CF94FF3"/>
    <w:rsid w:val="6CFF131B"/>
    <w:rsid w:val="6D0F39D8"/>
    <w:rsid w:val="6D114282"/>
    <w:rsid w:val="6D146255"/>
    <w:rsid w:val="6D21370B"/>
    <w:rsid w:val="6D282CEC"/>
    <w:rsid w:val="6D2D1FFD"/>
    <w:rsid w:val="6D3160B5"/>
    <w:rsid w:val="6D343562"/>
    <w:rsid w:val="6D3463CD"/>
    <w:rsid w:val="6D365409"/>
    <w:rsid w:val="6D3E606B"/>
    <w:rsid w:val="6D486EEA"/>
    <w:rsid w:val="6D4B2536"/>
    <w:rsid w:val="6D4F7B30"/>
    <w:rsid w:val="6D503F45"/>
    <w:rsid w:val="6D54763D"/>
    <w:rsid w:val="6D5E04BB"/>
    <w:rsid w:val="6D5E2A95"/>
    <w:rsid w:val="6D6D06FE"/>
    <w:rsid w:val="6D6F3987"/>
    <w:rsid w:val="6D702546"/>
    <w:rsid w:val="6D983849"/>
    <w:rsid w:val="6DA70275"/>
    <w:rsid w:val="6DAA0743"/>
    <w:rsid w:val="6DBE18F0"/>
    <w:rsid w:val="6DC870F0"/>
    <w:rsid w:val="6DDB1B0C"/>
    <w:rsid w:val="6DE07122"/>
    <w:rsid w:val="6DE50BDD"/>
    <w:rsid w:val="6DFF4440"/>
    <w:rsid w:val="6E0A23F1"/>
    <w:rsid w:val="6E17379A"/>
    <w:rsid w:val="6E1F5E9D"/>
    <w:rsid w:val="6E253717"/>
    <w:rsid w:val="6E280F79"/>
    <w:rsid w:val="6E3002DB"/>
    <w:rsid w:val="6E3556C0"/>
    <w:rsid w:val="6E3C7DE5"/>
    <w:rsid w:val="6E3E5041"/>
    <w:rsid w:val="6E443B55"/>
    <w:rsid w:val="6E481B66"/>
    <w:rsid w:val="6E4E22DE"/>
    <w:rsid w:val="6E5024FA"/>
    <w:rsid w:val="6E510020"/>
    <w:rsid w:val="6E547ED8"/>
    <w:rsid w:val="6E571528"/>
    <w:rsid w:val="6E58315D"/>
    <w:rsid w:val="6E5974B2"/>
    <w:rsid w:val="6E5D6B77"/>
    <w:rsid w:val="6E622E7D"/>
    <w:rsid w:val="6E6472AF"/>
    <w:rsid w:val="6E6A5014"/>
    <w:rsid w:val="6E733380"/>
    <w:rsid w:val="6E755ABD"/>
    <w:rsid w:val="6E7610C3"/>
    <w:rsid w:val="6E861409"/>
    <w:rsid w:val="6E91041D"/>
    <w:rsid w:val="6E944FDE"/>
    <w:rsid w:val="6E9C573F"/>
    <w:rsid w:val="6E9D3265"/>
    <w:rsid w:val="6EA36ACE"/>
    <w:rsid w:val="6EA4587B"/>
    <w:rsid w:val="6EA77C40"/>
    <w:rsid w:val="6EA811DE"/>
    <w:rsid w:val="6EAA46FF"/>
    <w:rsid w:val="6EAE0F07"/>
    <w:rsid w:val="6EB43020"/>
    <w:rsid w:val="6EB56801"/>
    <w:rsid w:val="6EBF4F8A"/>
    <w:rsid w:val="6ECA70F4"/>
    <w:rsid w:val="6ECB392F"/>
    <w:rsid w:val="6ED70525"/>
    <w:rsid w:val="6ED8429D"/>
    <w:rsid w:val="6EDF73DA"/>
    <w:rsid w:val="6EE24441"/>
    <w:rsid w:val="6EE3336E"/>
    <w:rsid w:val="6EE40E94"/>
    <w:rsid w:val="6EE50B7F"/>
    <w:rsid w:val="6EF2535F"/>
    <w:rsid w:val="6EF2710D"/>
    <w:rsid w:val="6EF86B24"/>
    <w:rsid w:val="6EFB016E"/>
    <w:rsid w:val="6F0523C6"/>
    <w:rsid w:val="6F074B3B"/>
    <w:rsid w:val="6F0F4163"/>
    <w:rsid w:val="6F152DFC"/>
    <w:rsid w:val="6F1C7C44"/>
    <w:rsid w:val="6F2B0871"/>
    <w:rsid w:val="6F2B6AC3"/>
    <w:rsid w:val="6F342D58"/>
    <w:rsid w:val="6F5558EE"/>
    <w:rsid w:val="6F5E33EE"/>
    <w:rsid w:val="6F6B7429"/>
    <w:rsid w:val="6F742D40"/>
    <w:rsid w:val="6F775864"/>
    <w:rsid w:val="6F8374DB"/>
    <w:rsid w:val="6F860C93"/>
    <w:rsid w:val="6F9723BC"/>
    <w:rsid w:val="6FA11B66"/>
    <w:rsid w:val="6FA67442"/>
    <w:rsid w:val="6FA83C70"/>
    <w:rsid w:val="6FAB4E74"/>
    <w:rsid w:val="6FAC19B2"/>
    <w:rsid w:val="6FAE32A0"/>
    <w:rsid w:val="6FB2689C"/>
    <w:rsid w:val="6FB40867"/>
    <w:rsid w:val="6FB46AB9"/>
    <w:rsid w:val="6FBC6B88"/>
    <w:rsid w:val="6FBE21FC"/>
    <w:rsid w:val="6FC054D5"/>
    <w:rsid w:val="6FC0720B"/>
    <w:rsid w:val="6FC14D32"/>
    <w:rsid w:val="6FC64095"/>
    <w:rsid w:val="6FCC795E"/>
    <w:rsid w:val="6FDB1E9C"/>
    <w:rsid w:val="6FDB2297"/>
    <w:rsid w:val="6FDE5EE3"/>
    <w:rsid w:val="6FDF4B73"/>
    <w:rsid w:val="6FE23626"/>
    <w:rsid w:val="6FE4739E"/>
    <w:rsid w:val="6FF36E5E"/>
    <w:rsid w:val="6FF60E7F"/>
    <w:rsid w:val="6FF670D1"/>
    <w:rsid w:val="70112337"/>
    <w:rsid w:val="70115CB9"/>
    <w:rsid w:val="70140B91"/>
    <w:rsid w:val="70141305"/>
    <w:rsid w:val="70194B6E"/>
    <w:rsid w:val="701A2263"/>
    <w:rsid w:val="701E3F32"/>
    <w:rsid w:val="70221C74"/>
    <w:rsid w:val="70260635"/>
    <w:rsid w:val="7055204A"/>
    <w:rsid w:val="70590B1F"/>
    <w:rsid w:val="7059336D"/>
    <w:rsid w:val="70661994"/>
    <w:rsid w:val="70673B2B"/>
    <w:rsid w:val="706933FF"/>
    <w:rsid w:val="706B361B"/>
    <w:rsid w:val="706E6C67"/>
    <w:rsid w:val="7072115E"/>
    <w:rsid w:val="707B1384"/>
    <w:rsid w:val="707D6EAA"/>
    <w:rsid w:val="707F3EAB"/>
    <w:rsid w:val="708025C3"/>
    <w:rsid w:val="70845B50"/>
    <w:rsid w:val="708A39FD"/>
    <w:rsid w:val="708B4881"/>
    <w:rsid w:val="708D657F"/>
    <w:rsid w:val="708F739A"/>
    <w:rsid w:val="70966C02"/>
    <w:rsid w:val="70997A36"/>
    <w:rsid w:val="70B0102E"/>
    <w:rsid w:val="70C04FE9"/>
    <w:rsid w:val="70C20D61"/>
    <w:rsid w:val="70CB5E68"/>
    <w:rsid w:val="70D171F6"/>
    <w:rsid w:val="70D475D2"/>
    <w:rsid w:val="70E6077F"/>
    <w:rsid w:val="70F056B9"/>
    <w:rsid w:val="70F353BF"/>
    <w:rsid w:val="70F70C5D"/>
    <w:rsid w:val="70FC20EC"/>
    <w:rsid w:val="70FF1FB5"/>
    <w:rsid w:val="710812D5"/>
    <w:rsid w:val="710F7AA8"/>
    <w:rsid w:val="7118126D"/>
    <w:rsid w:val="71205BD9"/>
    <w:rsid w:val="71273EE0"/>
    <w:rsid w:val="71290DE0"/>
    <w:rsid w:val="712A5284"/>
    <w:rsid w:val="712D267F"/>
    <w:rsid w:val="71325EE7"/>
    <w:rsid w:val="713D3FE9"/>
    <w:rsid w:val="71431EA2"/>
    <w:rsid w:val="71461992"/>
    <w:rsid w:val="714B076E"/>
    <w:rsid w:val="714E5FFD"/>
    <w:rsid w:val="714F55F6"/>
    <w:rsid w:val="715220E5"/>
    <w:rsid w:val="71527F65"/>
    <w:rsid w:val="715C4FAA"/>
    <w:rsid w:val="715D46EB"/>
    <w:rsid w:val="715E01A8"/>
    <w:rsid w:val="7161057A"/>
    <w:rsid w:val="71633F89"/>
    <w:rsid w:val="716A3636"/>
    <w:rsid w:val="717E61E3"/>
    <w:rsid w:val="718B55F7"/>
    <w:rsid w:val="7191493E"/>
    <w:rsid w:val="71947B1F"/>
    <w:rsid w:val="719C610E"/>
    <w:rsid w:val="71A20AB2"/>
    <w:rsid w:val="71A30B93"/>
    <w:rsid w:val="71A52B5D"/>
    <w:rsid w:val="71A53F87"/>
    <w:rsid w:val="71B12624"/>
    <w:rsid w:val="71B132B0"/>
    <w:rsid w:val="71B42DA0"/>
    <w:rsid w:val="71B66B18"/>
    <w:rsid w:val="71B75D87"/>
    <w:rsid w:val="71B82F2C"/>
    <w:rsid w:val="71C43B3E"/>
    <w:rsid w:val="71C50B09"/>
    <w:rsid w:val="71CC633B"/>
    <w:rsid w:val="71D25B25"/>
    <w:rsid w:val="71D50007"/>
    <w:rsid w:val="71D62AB5"/>
    <w:rsid w:val="71D62D16"/>
    <w:rsid w:val="71DB657E"/>
    <w:rsid w:val="71E37A9B"/>
    <w:rsid w:val="71EA4A14"/>
    <w:rsid w:val="71ED1D23"/>
    <w:rsid w:val="71F228F5"/>
    <w:rsid w:val="71F31237"/>
    <w:rsid w:val="71FA7295"/>
    <w:rsid w:val="71FB452B"/>
    <w:rsid w:val="72071122"/>
    <w:rsid w:val="721101F2"/>
    <w:rsid w:val="72135D18"/>
    <w:rsid w:val="72190D53"/>
    <w:rsid w:val="721B67B3"/>
    <w:rsid w:val="7238577F"/>
    <w:rsid w:val="7239166B"/>
    <w:rsid w:val="723E4EF6"/>
    <w:rsid w:val="7249798C"/>
    <w:rsid w:val="724C3F20"/>
    <w:rsid w:val="725320F9"/>
    <w:rsid w:val="7264079F"/>
    <w:rsid w:val="72644B7A"/>
    <w:rsid w:val="726D1223"/>
    <w:rsid w:val="72783DCD"/>
    <w:rsid w:val="727918F3"/>
    <w:rsid w:val="72800ED4"/>
    <w:rsid w:val="72850298"/>
    <w:rsid w:val="72863239"/>
    <w:rsid w:val="72892BA2"/>
    <w:rsid w:val="728F17D9"/>
    <w:rsid w:val="72912570"/>
    <w:rsid w:val="729F57FE"/>
    <w:rsid w:val="72A64E72"/>
    <w:rsid w:val="72B0266E"/>
    <w:rsid w:val="72B90194"/>
    <w:rsid w:val="72B97564"/>
    <w:rsid w:val="72CB79A5"/>
    <w:rsid w:val="72D35A08"/>
    <w:rsid w:val="72D965B8"/>
    <w:rsid w:val="72DA00FC"/>
    <w:rsid w:val="72EA6309"/>
    <w:rsid w:val="72EC6569"/>
    <w:rsid w:val="72F86CBC"/>
    <w:rsid w:val="72FF5892"/>
    <w:rsid w:val="730353EE"/>
    <w:rsid w:val="7306762B"/>
    <w:rsid w:val="730B2E93"/>
    <w:rsid w:val="731358A4"/>
    <w:rsid w:val="731D4975"/>
    <w:rsid w:val="731D6723"/>
    <w:rsid w:val="7327134F"/>
    <w:rsid w:val="732D06A2"/>
    <w:rsid w:val="732D2E0A"/>
    <w:rsid w:val="73333BB0"/>
    <w:rsid w:val="733E5017"/>
    <w:rsid w:val="73405B31"/>
    <w:rsid w:val="734168B5"/>
    <w:rsid w:val="7346612F"/>
    <w:rsid w:val="73475867"/>
    <w:rsid w:val="734A7233"/>
    <w:rsid w:val="7352461E"/>
    <w:rsid w:val="73552361"/>
    <w:rsid w:val="73591E51"/>
    <w:rsid w:val="73593714"/>
    <w:rsid w:val="736305DA"/>
    <w:rsid w:val="73634A7D"/>
    <w:rsid w:val="73685BF0"/>
    <w:rsid w:val="73692A25"/>
    <w:rsid w:val="736A566B"/>
    <w:rsid w:val="73705528"/>
    <w:rsid w:val="7379604F"/>
    <w:rsid w:val="737A3B75"/>
    <w:rsid w:val="73812DBA"/>
    <w:rsid w:val="73880040"/>
    <w:rsid w:val="73880B6D"/>
    <w:rsid w:val="738C0AA1"/>
    <w:rsid w:val="73914E7B"/>
    <w:rsid w:val="739264C9"/>
    <w:rsid w:val="73944ED5"/>
    <w:rsid w:val="73B173BA"/>
    <w:rsid w:val="73B400EA"/>
    <w:rsid w:val="73BC5F3C"/>
    <w:rsid w:val="73BF77DA"/>
    <w:rsid w:val="73CB0288"/>
    <w:rsid w:val="73D03795"/>
    <w:rsid w:val="73D617E1"/>
    <w:rsid w:val="73D96AEE"/>
    <w:rsid w:val="73DC213A"/>
    <w:rsid w:val="73DE153A"/>
    <w:rsid w:val="73EA2206"/>
    <w:rsid w:val="73EA4857"/>
    <w:rsid w:val="73EC6126"/>
    <w:rsid w:val="73ED49BB"/>
    <w:rsid w:val="73F2195D"/>
    <w:rsid w:val="73F42FB4"/>
    <w:rsid w:val="73FE5590"/>
    <w:rsid w:val="741004A3"/>
    <w:rsid w:val="741E08D0"/>
    <w:rsid w:val="74277859"/>
    <w:rsid w:val="742C30C1"/>
    <w:rsid w:val="742C4E6F"/>
    <w:rsid w:val="742D0BE7"/>
    <w:rsid w:val="743B0AA6"/>
    <w:rsid w:val="743B3304"/>
    <w:rsid w:val="74406B6D"/>
    <w:rsid w:val="74424693"/>
    <w:rsid w:val="74455F31"/>
    <w:rsid w:val="74496D75"/>
    <w:rsid w:val="744F6DB0"/>
    <w:rsid w:val="745713BC"/>
    <w:rsid w:val="745A4AA9"/>
    <w:rsid w:val="745C32CB"/>
    <w:rsid w:val="7460720F"/>
    <w:rsid w:val="7465646D"/>
    <w:rsid w:val="74795BDB"/>
    <w:rsid w:val="747D1DF7"/>
    <w:rsid w:val="74820E90"/>
    <w:rsid w:val="74820FDD"/>
    <w:rsid w:val="74822FE3"/>
    <w:rsid w:val="74890514"/>
    <w:rsid w:val="74951F55"/>
    <w:rsid w:val="749F7637"/>
    <w:rsid w:val="74A54C22"/>
    <w:rsid w:val="74AF132C"/>
    <w:rsid w:val="74B83297"/>
    <w:rsid w:val="74C50E20"/>
    <w:rsid w:val="74C75CD7"/>
    <w:rsid w:val="74CF545A"/>
    <w:rsid w:val="74D3178F"/>
    <w:rsid w:val="74D472B5"/>
    <w:rsid w:val="74D940BC"/>
    <w:rsid w:val="74DA2259"/>
    <w:rsid w:val="74E37A73"/>
    <w:rsid w:val="74E41BEE"/>
    <w:rsid w:val="74E542BB"/>
    <w:rsid w:val="74E76064"/>
    <w:rsid w:val="74E90FB2"/>
    <w:rsid w:val="74EA0887"/>
    <w:rsid w:val="750E6C6B"/>
    <w:rsid w:val="751678CE"/>
    <w:rsid w:val="751F49D4"/>
    <w:rsid w:val="752244C4"/>
    <w:rsid w:val="7533222E"/>
    <w:rsid w:val="753D12FE"/>
    <w:rsid w:val="753F1AFC"/>
    <w:rsid w:val="75412F08"/>
    <w:rsid w:val="7544268D"/>
    <w:rsid w:val="754937FF"/>
    <w:rsid w:val="755E374E"/>
    <w:rsid w:val="75736ACE"/>
    <w:rsid w:val="757C3C4B"/>
    <w:rsid w:val="757C5746"/>
    <w:rsid w:val="758D10DF"/>
    <w:rsid w:val="758F4FF3"/>
    <w:rsid w:val="759C7DD3"/>
    <w:rsid w:val="75A650F5"/>
    <w:rsid w:val="75A849CA"/>
    <w:rsid w:val="75AB270C"/>
    <w:rsid w:val="75BC2223"/>
    <w:rsid w:val="75BC66C7"/>
    <w:rsid w:val="75BD0103"/>
    <w:rsid w:val="75C20019"/>
    <w:rsid w:val="75C4732A"/>
    <w:rsid w:val="75C612F4"/>
    <w:rsid w:val="75C86049"/>
    <w:rsid w:val="75D27E21"/>
    <w:rsid w:val="75D3713C"/>
    <w:rsid w:val="75D4756D"/>
    <w:rsid w:val="75D621DD"/>
    <w:rsid w:val="75E023B5"/>
    <w:rsid w:val="75E6765A"/>
    <w:rsid w:val="75F25C45"/>
    <w:rsid w:val="75F93477"/>
    <w:rsid w:val="75FB5580"/>
    <w:rsid w:val="75FF5423"/>
    <w:rsid w:val="760140DA"/>
    <w:rsid w:val="76031347"/>
    <w:rsid w:val="760D6F22"/>
    <w:rsid w:val="761C0F14"/>
    <w:rsid w:val="76281C83"/>
    <w:rsid w:val="76294D5D"/>
    <w:rsid w:val="762F684B"/>
    <w:rsid w:val="76317141"/>
    <w:rsid w:val="763418B6"/>
    <w:rsid w:val="763C128D"/>
    <w:rsid w:val="764346F2"/>
    <w:rsid w:val="764A4664"/>
    <w:rsid w:val="764D731F"/>
    <w:rsid w:val="76530DD9"/>
    <w:rsid w:val="765863F0"/>
    <w:rsid w:val="7662101C"/>
    <w:rsid w:val="76781F92"/>
    <w:rsid w:val="76796366"/>
    <w:rsid w:val="768F5B89"/>
    <w:rsid w:val="769413F2"/>
    <w:rsid w:val="7699001E"/>
    <w:rsid w:val="76A5715B"/>
    <w:rsid w:val="76A71125"/>
    <w:rsid w:val="76AC673B"/>
    <w:rsid w:val="76C07AF1"/>
    <w:rsid w:val="76C375E1"/>
    <w:rsid w:val="76D1618C"/>
    <w:rsid w:val="76E91FCE"/>
    <w:rsid w:val="76EB58C8"/>
    <w:rsid w:val="76EE465E"/>
    <w:rsid w:val="76EF1037"/>
    <w:rsid w:val="76F02FD1"/>
    <w:rsid w:val="76F87D58"/>
    <w:rsid w:val="76FD56A5"/>
    <w:rsid w:val="770F0450"/>
    <w:rsid w:val="771D3564"/>
    <w:rsid w:val="77230033"/>
    <w:rsid w:val="77236D1B"/>
    <w:rsid w:val="772B7A52"/>
    <w:rsid w:val="772C2CA7"/>
    <w:rsid w:val="77371D13"/>
    <w:rsid w:val="773B2D74"/>
    <w:rsid w:val="7741188E"/>
    <w:rsid w:val="77456248"/>
    <w:rsid w:val="77492ED6"/>
    <w:rsid w:val="77526FC1"/>
    <w:rsid w:val="775B5A6C"/>
    <w:rsid w:val="775C3CBE"/>
    <w:rsid w:val="775D17E4"/>
    <w:rsid w:val="77601743"/>
    <w:rsid w:val="7763329E"/>
    <w:rsid w:val="77633529"/>
    <w:rsid w:val="776737AE"/>
    <w:rsid w:val="777578D2"/>
    <w:rsid w:val="777A0D3C"/>
    <w:rsid w:val="777A4144"/>
    <w:rsid w:val="777D1E86"/>
    <w:rsid w:val="777D660A"/>
    <w:rsid w:val="77800293"/>
    <w:rsid w:val="77822FF8"/>
    <w:rsid w:val="77856C77"/>
    <w:rsid w:val="778A1A74"/>
    <w:rsid w:val="778D031B"/>
    <w:rsid w:val="77907AEE"/>
    <w:rsid w:val="779571D0"/>
    <w:rsid w:val="779609D0"/>
    <w:rsid w:val="77A3194E"/>
    <w:rsid w:val="77AF1C44"/>
    <w:rsid w:val="77B05DB7"/>
    <w:rsid w:val="77B27D81"/>
    <w:rsid w:val="77C460AF"/>
    <w:rsid w:val="77CA24A3"/>
    <w:rsid w:val="77D25D2E"/>
    <w:rsid w:val="77DE6BBE"/>
    <w:rsid w:val="77DF1E38"/>
    <w:rsid w:val="77DF669D"/>
    <w:rsid w:val="77E94726"/>
    <w:rsid w:val="77EA15DA"/>
    <w:rsid w:val="77EA751B"/>
    <w:rsid w:val="77EB0E5F"/>
    <w:rsid w:val="77F626F4"/>
    <w:rsid w:val="77FE2FC7"/>
    <w:rsid w:val="780B32A2"/>
    <w:rsid w:val="78106856"/>
    <w:rsid w:val="781620D7"/>
    <w:rsid w:val="78171062"/>
    <w:rsid w:val="78177492"/>
    <w:rsid w:val="78187006"/>
    <w:rsid w:val="78197E01"/>
    <w:rsid w:val="78212130"/>
    <w:rsid w:val="78263A14"/>
    <w:rsid w:val="782A1337"/>
    <w:rsid w:val="782B5C7A"/>
    <w:rsid w:val="782E602D"/>
    <w:rsid w:val="783052CF"/>
    <w:rsid w:val="7836450F"/>
    <w:rsid w:val="78393FFF"/>
    <w:rsid w:val="783E1615"/>
    <w:rsid w:val="78412EB3"/>
    <w:rsid w:val="784309DA"/>
    <w:rsid w:val="784D6A6D"/>
    <w:rsid w:val="785B5D23"/>
    <w:rsid w:val="787250FD"/>
    <w:rsid w:val="7875700A"/>
    <w:rsid w:val="78760C61"/>
    <w:rsid w:val="78774B27"/>
    <w:rsid w:val="788D7EA7"/>
    <w:rsid w:val="789C633C"/>
    <w:rsid w:val="78AC1EF7"/>
    <w:rsid w:val="78AD6467"/>
    <w:rsid w:val="78B02420"/>
    <w:rsid w:val="78B1575E"/>
    <w:rsid w:val="78B161F5"/>
    <w:rsid w:val="78C064CE"/>
    <w:rsid w:val="78CA3D09"/>
    <w:rsid w:val="78CA5E0E"/>
    <w:rsid w:val="78CC4E73"/>
    <w:rsid w:val="78CC6D70"/>
    <w:rsid w:val="78CD4747"/>
    <w:rsid w:val="78D80ADD"/>
    <w:rsid w:val="78DD2BDC"/>
    <w:rsid w:val="78EB6BBD"/>
    <w:rsid w:val="78EF46BD"/>
    <w:rsid w:val="78FC5686"/>
    <w:rsid w:val="79064EBE"/>
    <w:rsid w:val="790815AF"/>
    <w:rsid w:val="79091C23"/>
    <w:rsid w:val="79334EF2"/>
    <w:rsid w:val="79394303"/>
    <w:rsid w:val="793B488A"/>
    <w:rsid w:val="794013BD"/>
    <w:rsid w:val="794B223C"/>
    <w:rsid w:val="794C7D62"/>
    <w:rsid w:val="795409C4"/>
    <w:rsid w:val="79554E68"/>
    <w:rsid w:val="79640FE6"/>
    <w:rsid w:val="79652BD2"/>
    <w:rsid w:val="796926C2"/>
    <w:rsid w:val="796A3704"/>
    <w:rsid w:val="797321D2"/>
    <w:rsid w:val="798552B3"/>
    <w:rsid w:val="799677B3"/>
    <w:rsid w:val="79986BD4"/>
    <w:rsid w:val="79AD5150"/>
    <w:rsid w:val="79B2378A"/>
    <w:rsid w:val="79B41E54"/>
    <w:rsid w:val="79B778D1"/>
    <w:rsid w:val="79BF4557"/>
    <w:rsid w:val="79C84DFA"/>
    <w:rsid w:val="79C97604"/>
    <w:rsid w:val="79CF6ED7"/>
    <w:rsid w:val="79D00993"/>
    <w:rsid w:val="79D66917"/>
    <w:rsid w:val="79D66CCD"/>
    <w:rsid w:val="79E47F9A"/>
    <w:rsid w:val="79E955B1"/>
    <w:rsid w:val="79EA1A55"/>
    <w:rsid w:val="7A0F0D6E"/>
    <w:rsid w:val="7A1020BA"/>
    <w:rsid w:val="7A1A0811"/>
    <w:rsid w:val="7A28432B"/>
    <w:rsid w:val="7A295078"/>
    <w:rsid w:val="7A2C1CF0"/>
    <w:rsid w:val="7A2D7B93"/>
    <w:rsid w:val="7A466E86"/>
    <w:rsid w:val="7A4B1DC7"/>
    <w:rsid w:val="7A4D5B40"/>
    <w:rsid w:val="7A635A2C"/>
    <w:rsid w:val="7A657A1B"/>
    <w:rsid w:val="7A6730A5"/>
    <w:rsid w:val="7A71785F"/>
    <w:rsid w:val="7A75640A"/>
    <w:rsid w:val="7A7A21FA"/>
    <w:rsid w:val="7A7B5277"/>
    <w:rsid w:val="7A9C4EB0"/>
    <w:rsid w:val="7AA2553E"/>
    <w:rsid w:val="7AA315FA"/>
    <w:rsid w:val="7AA329AB"/>
    <w:rsid w:val="7AA8546C"/>
    <w:rsid w:val="7AA86A41"/>
    <w:rsid w:val="7AB056FB"/>
    <w:rsid w:val="7ABC33DC"/>
    <w:rsid w:val="7ABE2599"/>
    <w:rsid w:val="7AC202DC"/>
    <w:rsid w:val="7AC34054"/>
    <w:rsid w:val="7AC41E01"/>
    <w:rsid w:val="7AD24279"/>
    <w:rsid w:val="7AD330D6"/>
    <w:rsid w:val="7AD70705"/>
    <w:rsid w:val="7AE41AEA"/>
    <w:rsid w:val="7AF13B37"/>
    <w:rsid w:val="7AF661D7"/>
    <w:rsid w:val="7AF66215"/>
    <w:rsid w:val="7AFE508C"/>
    <w:rsid w:val="7AFE6E3A"/>
    <w:rsid w:val="7AFF66CD"/>
    <w:rsid w:val="7B047A68"/>
    <w:rsid w:val="7B0657FA"/>
    <w:rsid w:val="7B116B6D"/>
    <w:rsid w:val="7B1B79EC"/>
    <w:rsid w:val="7B1C44EF"/>
    <w:rsid w:val="7B1F640B"/>
    <w:rsid w:val="7B221334"/>
    <w:rsid w:val="7B256ABC"/>
    <w:rsid w:val="7B3A4316"/>
    <w:rsid w:val="7B3B008E"/>
    <w:rsid w:val="7B3B62E0"/>
    <w:rsid w:val="7B3B6F88"/>
    <w:rsid w:val="7B4038F6"/>
    <w:rsid w:val="7B450F0D"/>
    <w:rsid w:val="7B512F61"/>
    <w:rsid w:val="7B5F1FCE"/>
    <w:rsid w:val="7B611D1B"/>
    <w:rsid w:val="7B6D7570"/>
    <w:rsid w:val="7B705BFB"/>
    <w:rsid w:val="7B7A2964"/>
    <w:rsid w:val="7B7D4202"/>
    <w:rsid w:val="7B7F5BBF"/>
    <w:rsid w:val="7B824BD0"/>
    <w:rsid w:val="7B8732D3"/>
    <w:rsid w:val="7B885D16"/>
    <w:rsid w:val="7B8A55B5"/>
    <w:rsid w:val="7B8E75DB"/>
    <w:rsid w:val="7B8F3F36"/>
    <w:rsid w:val="7B911884"/>
    <w:rsid w:val="7B993168"/>
    <w:rsid w:val="7B9F23CB"/>
    <w:rsid w:val="7BA83376"/>
    <w:rsid w:val="7BB223DA"/>
    <w:rsid w:val="7BB408EF"/>
    <w:rsid w:val="7BB46511"/>
    <w:rsid w:val="7BBD6CF5"/>
    <w:rsid w:val="7BC167E5"/>
    <w:rsid w:val="7BC2255D"/>
    <w:rsid w:val="7BD32074"/>
    <w:rsid w:val="7BD42084"/>
    <w:rsid w:val="7BD52290"/>
    <w:rsid w:val="7BD7701F"/>
    <w:rsid w:val="7BDF4EBD"/>
    <w:rsid w:val="7BE75B20"/>
    <w:rsid w:val="7BE92EDF"/>
    <w:rsid w:val="7BE95883"/>
    <w:rsid w:val="7BFD3595"/>
    <w:rsid w:val="7C0541E1"/>
    <w:rsid w:val="7C0A57B6"/>
    <w:rsid w:val="7C0D1A2A"/>
    <w:rsid w:val="7C0E781F"/>
    <w:rsid w:val="7C3074C7"/>
    <w:rsid w:val="7C32323F"/>
    <w:rsid w:val="7C3D3C3F"/>
    <w:rsid w:val="7C3F595C"/>
    <w:rsid w:val="7C3F770A"/>
    <w:rsid w:val="7C596A1E"/>
    <w:rsid w:val="7C6B17E8"/>
    <w:rsid w:val="7C7003A8"/>
    <w:rsid w:val="7C7345D1"/>
    <w:rsid w:val="7C773348"/>
    <w:rsid w:val="7C7A5381"/>
    <w:rsid w:val="7C841F03"/>
    <w:rsid w:val="7C9061B7"/>
    <w:rsid w:val="7C96447D"/>
    <w:rsid w:val="7C9743A6"/>
    <w:rsid w:val="7C9B1DD4"/>
    <w:rsid w:val="7CA27563"/>
    <w:rsid w:val="7CA35EEB"/>
    <w:rsid w:val="7CA9171B"/>
    <w:rsid w:val="7CAC0D0B"/>
    <w:rsid w:val="7CAD5461"/>
    <w:rsid w:val="7CB00608"/>
    <w:rsid w:val="7CB41EA6"/>
    <w:rsid w:val="7CB833C3"/>
    <w:rsid w:val="7CBB3234"/>
    <w:rsid w:val="7CBE4AD3"/>
    <w:rsid w:val="7CC06A9D"/>
    <w:rsid w:val="7CC2297D"/>
    <w:rsid w:val="7CC35B61"/>
    <w:rsid w:val="7CC3640F"/>
    <w:rsid w:val="7CC95EE4"/>
    <w:rsid w:val="7CCB446E"/>
    <w:rsid w:val="7CCD740C"/>
    <w:rsid w:val="7CD10CAA"/>
    <w:rsid w:val="7CE502B1"/>
    <w:rsid w:val="7CE65DD7"/>
    <w:rsid w:val="7CF60376"/>
    <w:rsid w:val="7CFA4E4C"/>
    <w:rsid w:val="7D010F82"/>
    <w:rsid w:val="7D056BA5"/>
    <w:rsid w:val="7D061881"/>
    <w:rsid w:val="7D172435"/>
    <w:rsid w:val="7D1943FF"/>
    <w:rsid w:val="7D237140"/>
    <w:rsid w:val="7D272678"/>
    <w:rsid w:val="7D39684F"/>
    <w:rsid w:val="7D3B4375"/>
    <w:rsid w:val="7D42406B"/>
    <w:rsid w:val="7D443DCF"/>
    <w:rsid w:val="7D494CE4"/>
    <w:rsid w:val="7D5471E5"/>
    <w:rsid w:val="7D5B73A0"/>
    <w:rsid w:val="7D637428"/>
    <w:rsid w:val="7D692C90"/>
    <w:rsid w:val="7D7761C1"/>
    <w:rsid w:val="7D7B6E68"/>
    <w:rsid w:val="7D7D196C"/>
    <w:rsid w:val="7D831878"/>
    <w:rsid w:val="7D870CE2"/>
    <w:rsid w:val="7D8772C7"/>
    <w:rsid w:val="7D8950E1"/>
    <w:rsid w:val="7D8C4BD1"/>
    <w:rsid w:val="7D911E6E"/>
    <w:rsid w:val="7D915191"/>
    <w:rsid w:val="7D980D6E"/>
    <w:rsid w:val="7D9879F5"/>
    <w:rsid w:val="7DA0067C"/>
    <w:rsid w:val="7DA75AF6"/>
    <w:rsid w:val="7DA831B6"/>
    <w:rsid w:val="7DAD1D97"/>
    <w:rsid w:val="7DB4335F"/>
    <w:rsid w:val="7DB51F05"/>
    <w:rsid w:val="7DB62B8E"/>
    <w:rsid w:val="7DB82A22"/>
    <w:rsid w:val="7DC07555"/>
    <w:rsid w:val="7DD061EC"/>
    <w:rsid w:val="7DDA7BA5"/>
    <w:rsid w:val="7DDB0FEE"/>
    <w:rsid w:val="7DE8159B"/>
    <w:rsid w:val="7DF13B08"/>
    <w:rsid w:val="7DF60E66"/>
    <w:rsid w:val="7DFD162B"/>
    <w:rsid w:val="7DFD3918"/>
    <w:rsid w:val="7DFE2E1C"/>
    <w:rsid w:val="7E002EC9"/>
    <w:rsid w:val="7E066731"/>
    <w:rsid w:val="7E137120"/>
    <w:rsid w:val="7E1A5649"/>
    <w:rsid w:val="7E1D19EA"/>
    <w:rsid w:val="7E1D1CCD"/>
    <w:rsid w:val="7E215319"/>
    <w:rsid w:val="7E2913EE"/>
    <w:rsid w:val="7E3109D5"/>
    <w:rsid w:val="7E356F05"/>
    <w:rsid w:val="7E36183B"/>
    <w:rsid w:val="7E3E1799"/>
    <w:rsid w:val="7E444933"/>
    <w:rsid w:val="7E4646D5"/>
    <w:rsid w:val="7E4B0384"/>
    <w:rsid w:val="7E4B4A8C"/>
    <w:rsid w:val="7E6C5D4B"/>
    <w:rsid w:val="7E707D11"/>
    <w:rsid w:val="7E835B8E"/>
    <w:rsid w:val="7E891395"/>
    <w:rsid w:val="7EA403DA"/>
    <w:rsid w:val="7EA5419C"/>
    <w:rsid w:val="7EB279C1"/>
    <w:rsid w:val="7EBE525E"/>
    <w:rsid w:val="7EC32874"/>
    <w:rsid w:val="7EC34622"/>
    <w:rsid w:val="7ED22AB7"/>
    <w:rsid w:val="7EDA4FB6"/>
    <w:rsid w:val="7EEB5927"/>
    <w:rsid w:val="7EF05200"/>
    <w:rsid w:val="7EFB200E"/>
    <w:rsid w:val="7F007650"/>
    <w:rsid w:val="7F08297D"/>
    <w:rsid w:val="7F0A3FFF"/>
    <w:rsid w:val="7F0F5AB9"/>
    <w:rsid w:val="7F116BFC"/>
    <w:rsid w:val="7F160CF6"/>
    <w:rsid w:val="7F1B30A4"/>
    <w:rsid w:val="7F1F5A4B"/>
    <w:rsid w:val="7F250E39"/>
    <w:rsid w:val="7F387AEA"/>
    <w:rsid w:val="7F464650"/>
    <w:rsid w:val="7F4C2E32"/>
    <w:rsid w:val="7F4E67B2"/>
    <w:rsid w:val="7F4F4108"/>
    <w:rsid w:val="7F594F87"/>
    <w:rsid w:val="7F5E562E"/>
    <w:rsid w:val="7F6000C3"/>
    <w:rsid w:val="7F601C4F"/>
    <w:rsid w:val="7F606315"/>
    <w:rsid w:val="7F671451"/>
    <w:rsid w:val="7F6E4D8E"/>
    <w:rsid w:val="7F740DA7"/>
    <w:rsid w:val="7F8828C1"/>
    <w:rsid w:val="7F8D6F9D"/>
    <w:rsid w:val="7F9B7C55"/>
    <w:rsid w:val="7F9E2999"/>
    <w:rsid w:val="7FA23C18"/>
    <w:rsid w:val="7FA50726"/>
    <w:rsid w:val="7FA53D28"/>
    <w:rsid w:val="7FA977A8"/>
    <w:rsid w:val="7FB721CE"/>
    <w:rsid w:val="7FC2734C"/>
    <w:rsid w:val="7FCA19E0"/>
    <w:rsid w:val="7FCF44E5"/>
    <w:rsid w:val="7FD47C0C"/>
    <w:rsid w:val="7FDD1714"/>
    <w:rsid w:val="7FDE0359"/>
    <w:rsid w:val="7FE02813"/>
    <w:rsid w:val="7FF34992"/>
    <w:rsid w:val="7FFD08BD"/>
    <w:rsid w:val="7FFF0E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3"/>
    <w:autoRedefine/>
    <w:qFormat/>
    <w:uiPriority w:val="0"/>
    <w:pPr>
      <w:spacing w:line="360" w:lineRule="auto"/>
      <w:ind w:left="0" w:firstLine="0" w:firstLineChars="0"/>
      <w:outlineLvl w:val="0"/>
    </w:pPr>
    <w:rPr>
      <w:rFonts w:ascii="宋体" w:hAnsi="宋体" w:eastAsia="宋体" w:cs="宋体"/>
      <w:b/>
      <w:bCs/>
      <w:sz w:val="32"/>
      <w:szCs w:val="32"/>
      <w:lang w:val="zh-CN" w:bidi="zh-CN"/>
    </w:rPr>
  </w:style>
  <w:style w:type="paragraph" w:styleId="4">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5">
    <w:name w:val="heading 3"/>
    <w:basedOn w:val="1"/>
    <w:next w:val="1"/>
    <w:semiHidden/>
    <w:unhideWhenUsed/>
    <w:qFormat/>
    <w:uiPriority w:val="0"/>
    <w:pPr>
      <w:keepNext/>
      <w:keepLines/>
      <w:spacing w:line="360" w:lineRule="auto"/>
      <w:ind w:firstLine="0" w:firstLineChars="0"/>
      <w:outlineLvl w:val="2"/>
    </w:pPr>
    <w:rPr>
      <w:rFonts w:ascii="宋体" w:hAnsi="宋体" w:eastAsia="宋体" w:cs="Times New Roman"/>
      <w:b/>
      <w:bCs/>
      <w:sz w:val="28"/>
      <w:szCs w:val="30"/>
      <w:lang w:val="zh-CN" w:bidi="zh-CN"/>
    </w:rPr>
  </w:style>
  <w:style w:type="paragraph" w:styleId="6">
    <w:name w:val="heading 4"/>
    <w:basedOn w:val="1"/>
    <w:next w:val="7"/>
    <w:qFormat/>
    <w:uiPriority w:val="0"/>
    <w:pPr>
      <w:keepNext/>
      <w:keepLines/>
      <w:spacing w:before="40" w:after="50" w:line="376" w:lineRule="auto"/>
      <w:outlineLvl w:val="3"/>
    </w:pPr>
    <w:rPr>
      <w:rFonts w:ascii="Arial" w:hAnsi="Arial"/>
      <w:b/>
      <w:bCs/>
      <w:szCs w:val="28"/>
    </w:rPr>
  </w:style>
  <w:style w:type="character" w:default="1" w:styleId="23">
    <w:name w:val="Default Paragraph Font"/>
    <w:autoRedefine/>
    <w:semiHidden/>
    <w:qFormat/>
    <w:uiPriority w:val="0"/>
  </w:style>
  <w:style w:type="table" w:default="1" w:styleId="21">
    <w:name w:val="Normal Table"/>
    <w:autoRedefin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Title"/>
    <w:basedOn w:val="1"/>
    <w:next w:val="1"/>
    <w:autoRedefine/>
    <w:qFormat/>
    <w:uiPriority w:val="0"/>
    <w:pPr>
      <w:spacing w:before="240" w:beforeLines="0" w:beforeAutospacing="0" w:after="60" w:afterLines="0" w:afterAutospacing="0"/>
      <w:jc w:val="center"/>
      <w:outlineLvl w:val="0"/>
    </w:pPr>
    <w:rPr>
      <w:rFonts w:ascii="Arial" w:hAnsi="Arial"/>
      <w:b/>
      <w:sz w:val="32"/>
    </w:rPr>
  </w:style>
  <w:style w:type="paragraph" w:styleId="7">
    <w:name w:val="Normal Indent"/>
    <w:basedOn w:val="1"/>
    <w:next w:val="1"/>
    <w:autoRedefine/>
    <w:unhideWhenUsed/>
    <w:qFormat/>
    <w:uiPriority w:val="99"/>
    <w:pPr>
      <w:spacing w:line="240" w:lineRule="auto"/>
    </w:pPr>
    <w:rPr>
      <w:rFonts w:ascii="Calibri" w:hAnsi="Calibri"/>
      <w:sz w:val="28"/>
      <w:szCs w:val="28"/>
    </w:rPr>
  </w:style>
  <w:style w:type="paragraph" w:styleId="8">
    <w:name w:val="annotation text"/>
    <w:basedOn w:val="1"/>
    <w:autoRedefine/>
    <w:qFormat/>
    <w:uiPriority w:val="0"/>
    <w:pPr>
      <w:jc w:val="left"/>
    </w:pPr>
  </w:style>
  <w:style w:type="paragraph" w:styleId="9">
    <w:name w:val="Body Text"/>
    <w:basedOn w:val="1"/>
    <w:autoRedefine/>
    <w:qFormat/>
    <w:uiPriority w:val="0"/>
    <w:pPr>
      <w:spacing w:after="120"/>
    </w:pPr>
  </w:style>
  <w:style w:type="paragraph" w:styleId="10">
    <w:name w:val="Body Text Indent"/>
    <w:basedOn w:val="1"/>
    <w:next w:val="11"/>
    <w:autoRedefine/>
    <w:qFormat/>
    <w:uiPriority w:val="0"/>
    <w:pPr>
      <w:spacing w:after="120"/>
      <w:ind w:left="420" w:leftChars="200"/>
    </w:pPr>
  </w:style>
  <w:style w:type="paragraph" w:styleId="11">
    <w:name w:val="Body Text First Indent"/>
    <w:basedOn w:val="1"/>
    <w:next w:val="1"/>
    <w:autoRedefine/>
    <w:qFormat/>
    <w:uiPriority w:val="0"/>
    <w:pPr>
      <w:spacing w:after="120"/>
      <w:ind w:firstLine="420" w:firstLineChars="100"/>
      <w:jc w:val="both"/>
    </w:pPr>
    <w:rPr>
      <w:sz w:val="28"/>
    </w:rPr>
  </w:style>
  <w:style w:type="paragraph" w:styleId="12">
    <w:name w:val="Block Text"/>
    <w:basedOn w:val="1"/>
    <w:autoRedefine/>
    <w:qFormat/>
    <w:uiPriority w:val="0"/>
    <w:pPr>
      <w:spacing w:line="300" w:lineRule="atLeast"/>
      <w:ind w:left="420" w:leftChars="200" w:right="-336" w:rightChars="-160"/>
    </w:pPr>
  </w:style>
  <w:style w:type="paragraph" w:styleId="13">
    <w:name w:val="Plain Text"/>
    <w:basedOn w:val="1"/>
    <w:next w:val="1"/>
    <w:autoRedefine/>
    <w:qFormat/>
    <w:uiPriority w:val="99"/>
    <w:pPr>
      <w:spacing w:line="240" w:lineRule="auto"/>
    </w:pPr>
    <w:rPr>
      <w:rFonts w:ascii="宋体" w:hAnsi="Courier New"/>
      <w:sz w:val="21"/>
      <w:szCs w:val="20"/>
    </w:rPr>
  </w:style>
  <w:style w:type="paragraph" w:styleId="14">
    <w:name w:val="Body Text Indent 2"/>
    <w:basedOn w:val="1"/>
    <w:autoRedefine/>
    <w:qFormat/>
    <w:uiPriority w:val="0"/>
    <w:pPr>
      <w:spacing w:after="120" w:line="480" w:lineRule="auto"/>
      <w:ind w:left="420" w:leftChars="200"/>
    </w:pPr>
  </w:style>
  <w:style w:type="paragraph" w:styleId="15">
    <w:name w:val="footer"/>
    <w:basedOn w:val="1"/>
    <w:link w:val="32"/>
    <w:autoRedefine/>
    <w:qFormat/>
    <w:uiPriority w:val="0"/>
    <w:pPr>
      <w:tabs>
        <w:tab w:val="center" w:pos="4153"/>
        <w:tab w:val="right" w:pos="8306"/>
      </w:tabs>
      <w:snapToGrid w:val="0"/>
      <w:jc w:val="left"/>
    </w:pPr>
    <w:rPr>
      <w:sz w:val="18"/>
    </w:rPr>
  </w:style>
  <w:style w:type="paragraph" w:styleId="16">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List"/>
    <w:basedOn w:val="1"/>
    <w:autoRedefine/>
    <w:qFormat/>
    <w:uiPriority w:val="0"/>
    <w:pPr>
      <w:ind w:left="200" w:hanging="200" w:hangingChars="200"/>
    </w:pPr>
  </w:style>
  <w:style w:type="paragraph" w:styleId="18">
    <w:name w:val="table of figures"/>
    <w:basedOn w:val="1"/>
    <w:next w:val="1"/>
    <w:autoRedefine/>
    <w:qFormat/>
    <w:uiPriority w:val="0"/>
    <w:pPr>
      <w:spacing w:line="240" w:lineRule="auto"/>
      <w:ind w:leftChars="200" w:hanging="200" w:hangingChars="200"/>
    </w:pPr>
    <w:rPr>
      <w:rFonts w:ascii="Times New Roman" w:hAnsi="Times New Roman"/>
      <w:sz w:val="21"/>
      <w:szCs w:val="24"/>
    </w:rPr>
  </w:style>
  <w:style w:type="paragraph" w:styleId="19">
    <w:name w:val="Normal (Web)"/>
    <w:basedOn w:val="1"/>
    <w:next w:val="1"/>
    <w:link w:val="33"/>
    <w:autoRedefine/>
    <w:qFormat/>
    <w:uiPriority w:val="0"/>
    <w:pPr>
      <w:keepNext w:val="0"/>
      <w:keepLines w:val="0"/>
      <w:widowControl/>
      <w:suppressLineNumbers w:val="0"/>
      <w:spacing w:before="0" w:beforeAutospacing="1" w:after="0" w:afterAutospacing="1"/>
      <w:ind w:left="0" w:right="0"/>
      <w:jc w:val="left"/>
    </w:pPr>
    <w:rPr>
      <w:rFonts w:hint="eastAsia" w:ascii="宋体" w:hAnsi="宋体" w:eastAsia="宋体" w:cs="Times New Roman"/>
      <w:kern w:val="0"/>
      <w:sz w:val="24"/>
      <w:szCs w:val="20"/>
      <w:lang w:val="en-US" w:eastAsia="zh-CN" w:bidi="ar"/>
    </w:rPr>
  </w:style>
  <w:style w:type="paragraph" w:styleId="20">
    <w:name w:val="Body Text First Indent 2"/>
    <w:basedOn w:val="10"/>
    <w:next w:val="11"/>
    <w:autoRedefine/>
    <w:qFormat/>
    <w:uiPriority w:val="0"/>
    <w:pPr>
      <w:spacing w:after="120" w:line="240" w:lineRule="auto"/>
      <w:ind w:left="420" w:leftChars="200" w:firstLine="420" w:firstLineChars="200"/>
    </w:pPr>
    <w:rPr>
      <w:rFonts w:ascii="Times New Roman"/>
    </w:rPr>
  </w:style>
  <w:style w:type="table" w:styleId="22">
    <w:name w:val="Table Grid"/>
    <w:basedOn w:val="21"/>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autoRedefine/>
    <w:qFormat/>
    <w:uiPriority w:val="0"/>
    <w:rPr>
      <w:b/>
      <w:bCs/>
    </w:rPr>
  </w:style>
  <w:style w:type="character" w:styleId="25">
    <w:name w:val="page number"/>
    <w:autoRedefine/>
    <w:qFormat/>
    <w:uiPriority w:val="0"/>
  </w:style>
  <w:style w:type="character" w:styleId="26">
    <w:name w:val="FollowedHyperlink"/>
    <w:basedOn w:val="23"/>
    <w:autoRedefine/>
    <w:qFormat/>
    <w:uiPriority w:val="0"/>
    <w:rPr>
      <w:color w:val="800080"/>
      <w:u w:val="none"/>
    </w:rPr>
  </w:style>
  <w:style w:type="character" w:styleId="27">
    <w:name w:val="Hyperlink"/>
    <w:basedOn w:val="23"/>
    <w:autoRedefine/>
    <w:qFormat/>
    <w:uiPriority w:val="0"/>
    <w:rPr>
      <w:color w:val="0084FF"/>
      <w:u w:val="none"/>
    </w:rPr>
  </w:style>
  <w:style w:type="paragraph" w:customStyle="1" w:styleId="28">
    <w:name w:val="xl27"/>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customStyle="1" w:styleId="29">
    <w:name w:val="表头"/>
    <w:basedOn w:val="17"/>
    <w:next w:val="1"/>
    <w:link w:val="30"/>
    <w:autoRedefine/>
    <w:qFormat/>
    <w:uiPriority w:val="0"/>
    <w:pPr>
      <w:spacing w:line="240" w:lineRule="auto"/>
      <w:ind w:left="0" w:leftChars="0" w:firstLine="0" w:firstLineChars="0"/>
      <w:jc w:val="center"/>
    </w:pPr>
    <w:rPr>
      <w:rFonts w:ascii="Times New Roman" w:hAnsi="Times New Roman" w:eastAsia="宋体" w:cs="宋体"/>
      <w:b/>
      <w:bCs/>
      <w:kern w:val="0"/>
      <w:sz w:val="24"/>
      <w:szCs w:val="22"/>
      <w:lang w:val="zh-CN" w:bidi="zh-CN"/>
    </w:rPr>
  </w:style>
  <w:style w:type="character" w:customStyle="1" w:styleId="30">
    <w:name w:val="表头 Char"/>
    <w:link w:val="29"/>
    <w:autoRedefine/>
    <w:qFormat/>
    <w:uiPriority w:val="0"/>
    <w:rPr>
      <w:rFonts w:ascii="Times New Roman" w:hAnsi="Times New Roman" w:eastAsia="宋体" w:cs="宋体"/>
      <w:b/>
      <w:bCs/>
      <w:kern w:val="0"/>
      <w:sz w:val="24"/>
      <w:szCs w:val="22"/>
      <w:lang w:val="zh-CN" w:bidi="zh-CN"/>
    </w:rPr>
  </w:style>
  <w:style w:type="paragraph" w:customStyle="1" w:styleId="31">
    <w:name w:val="表格"/>
    <w:basedOn w:val="1"/>
    <w:next w:val="1"/>
    <w:link w:val="34"/>
    <w:autoRedefine/>
    <w:qFormat/>
    <w:uiPriority w:val="0"/>
    <w:pPr>
      <w:keepNext w:val="0"/>
      <w:keepLines w:val="0"/>
      <w:widowControl w:val="0"/>
      <w:suppressLineNumbers w:val="0"/>
      <w:adjustRightInd w:val="0"/>
      <w:snapToGrid w:val="0"/>
      <w:spacing w:before="0" w:beforeLines="10" w:beforeAutospacing="0" w:after="0" w:afterAutospacing="0" w:line="256" w:lineRule="auto"/>
      <w:ind w:left="0" w:right="0"/>
      <w:jc w:val="center"/>
    </w:pPr>
    <w:rPr>
      <w:rFonts w:hint="eastAsia" w:ascii="宋体" w:hAnsi="Times New Roman" w:eastAsia="宋体" w:cs="Times New Roman"/>
      <w:kern w:val="0"/>
      <w:sz w:val="21"/>
      <w:szCs w:val="20"/>
      <w:lang w:val="en-US" w:eastAsia="zh-CN" w:bidi="ar"/>
    </w:rPr>
  </w:style>
  <w:style w:type="character" w:customStyle="1" w:styleId="32">
    <w:name w:val="页脚 Char"/>
    <w:basedOn w:val="23"/>
    <w:link w:val="15"/>
    <w:autoRedefine/>
    <w:qFormat/>
    <w:uiPriority w:val="0"/>
    <w:rPr>
      <w:sz w:val="18"/>
    </w:rPr>
  </w:style>
  <w:style w:type="character" w:customStyle="1" w:styleId="33">
    <w:name w:val="普通(网站) Char"/>
    <w:basedOn w:val="23"/>
    <w:link w:val="19"/>
    <w:autoRedefine/>
    <w:qFormat/>
    <w:uiPriority w:val="0"/>
    <w:rPr>
      <w:rFonts w:hint="eastAsia" w:ascii="宋体" w:hAnsi="宋体" w:eastAsia="宋体" w:cs="宋体"/>
      <w:sz w:val="24"/>
    </w:rPr>
  </w:style>
  <w:style w:type="character" w:customStyle="1" w:styleId="34">
    <w:name w:val="表格 Char"/>
    <w:basedOn w:val="23"/>
    <w:link w:val="31"/>
    <w:autoRedefine/>
    <w:qFormat/>
    <w:uiPriority w:val="0"/>
    <w:rPr>
      <w:rFonts w:hint="eastAsia" w:ascii="宋体" w:hAnsi="宋体" w:eastAsia="宋体" w:cs="宋体"/>
      <w:sz w:val="21"/>
    </w:rPr>
  </w:style>
  <w:style w:type="character" w:customStyle="1" w:styleId="35">
    <w:name w:val="页脚 Char1"/>
    <w:basedOn w:val="23"/>
    <w:autoRedefine/>
    <w:qFormat/>
    <w:uiPriority w:val="0"/>
    <w:rPr>
      <w:kern w:val="2"/>
      <w:sz w:val="18"/>
      <w:szCs w:val="18"/>
    </w:rPr>
  </w:style>
  <w:style w:type="paragraph" w:customStyle="1" w:styleId="36">
    <w:name w:val="4正文"/>
    <w:basedOn w:val="1"/>
    <w:autoRedefine/>
    <w:qFormat/>
    <w:uiPriority w:val="0"/>
    <w:pPr>
      <w:spacing w:line="240" w:lineRule="auto"/>
      <w:ind w:firstLine="480" w:firstLineChars="0"/>
    </w:pPr>
    <w:rPr>
      <w:rFonts w:ascii="Calibri" w:hAnsi="Calibri" w:cs="宋体"/>
      <w:sz w:val="21"/>
    </w:rPr>
  </w:style>
  <w:style w:type="paragraph" w:customStyle="1" w:styleId="37">
    <w:name w:val="p0"/>
    <w:basedOn w:val="1"/>
    <w:autoRedefine/>
    <w:qFormat/>
    <w:uiPriority w:val="0"/>
    <w:pPr>
      <w:widowControl/>
      <w:spacing w:line="240" w:lineRule="auto"/>
    </w:pPr>
    <w:rPr>
      <w:rFonts w:ascii="Times New Roman" w:hAnsi="Times New Roman"/>
      <w:kern w:val="0"/>
      <w:sz w:val="21"/>
      <w:szCs w:val="21"/>
    </w:rPr>
  </w:style>
  <w:style w:type="paragraph" w:customStyle="1" w:styleId="38">
    <w:name w:val="Table Paragraph"/>
    <w:basedOn w:val="1"/>
    <w:autoRedefine/>
    <w:qFormat/>
    <w:uiPriority w:val="0"/>
    <w:pPr>
      <w:autoSpaceDE w:val="0"/>
      <w:autoSpaceDN w:val="0"/>
      <w:spacing w:line="240" w:lineRule="auto"/>
      <w:jc w:val="center"/>
    </w:pPr>
    <w:rPr>
      <w:rFonts w:eastAsia="Times New Roman"/>
      <w:kern w:val="0"/>
      <w:sz w:val="22"/>
      <w:lang w:eastAsia="en-US"/>
    </w:rPr>
  </w:style>
  <w:style w:type="paragraph" w:styleId="39">
    <w:name w:val="List Paragraph"/>
    <w:basedOn w:val="1"/>
    <w:autoRedefine/>
    <w:qFormat/>
    <w:uiPriority w:val="99"/>
    <w:pPr>
      <w:spacing w:line="240" w:lineRule="auto"/>
      <w:ind w:firstLine="420" w:firstLineChars="200"/>
    </w:pPr>
    <w:rPr>
      <w:rFonts w:ascii="Calibri" w:hAnsi="Calibri" w:eastAsia="仿宋_GB2312" w:cs="宋体"/>
      <w:color w:val="000000"/>
      <w:sz w:val="28"/>
      <w:szCs w:val="20"/>
    </w:rPr>
  </w:style>
  <w:style w:type="paragraph" w:customStyle="1" w:styleId="40">
    <w:name w:val="表格111"/>
    <w:basedOn w:val="1"/>
    <w:autoRedefine/>
    <w:qFormat/>
    <w:uiPriority w:val="0"/>
    <w:pPr>
      <w:widowControl/>
      <w:spacing w:line="320" w:lineRule="exact"/>
      <w:jc w:val="center"/>
      <w:textAlignment w:val="center"/>
    </w:pPr>
    <w:rPr>
      <w:rFonts w:ascii="宋体" w:hAnsi="宋体" w:eastAsia="宋体"/>
      <w:kern w:val="0"/>
      <w:sz w:val="21"/>
      <w:szCs w:val="21"/>
    </w:rPr>
  </w:style>
  <w:style w:type="paragraph" w:customStyle="1" w:styleId="41">
    <w:name w:val="【表中文字】"/>
    <w:basedOn w:val="1"/>
    <w:autoRedefine/>
    <w:qFormat/>
    <w:uiPriority w:val="0"/>
    <w:pPr>
      <w:spacing w:line="240" w:lineRule="auto"/>
      <w:jc w:val="center"/>
    </w:pPr>
    <w:rPr>
      <w:sz w:val="21"/>
      <w:szCs w:val="20"/>
    </w:rPr>
  </w:style>
  <w:style w:type="paragraph" w:customStyle="1" w:styleId="42">
    <w:name w:val="正文文本 (2)1"/>
    <w:basedOn w:val="1"/>
    <w:autoRedefine/>
    <w:qFormat/>
    <w:uiPriority w:val="0"/>
    <w:pPr>
      <w:shd w:val="clear" w:color="auto" w:fill="FFFFFF"/>
      <w:spacing w:before="300" w:line="466" w:lineRule="exact"/>
      <w:ind w:hanging="600"/>
      <w:jc w:val="distribute"/>
    </w:pPr>
    <w:rPr>
      <w:rFonts w:ascii="宋体" w:hAnsi="宋体"/>
      <w:kern w:val="0"/>
      <w:sz w:val="22"/>
    </w:rPr>
  </w:style>
  <w:style w:type="paragraph" w:customStyle="1" w:styleId="43">
    <w:name w:val="Default"/>
    <w:autoRedefine/>
    <w:qFormat/>
    <w:uiPriority w:val="0"/>
    <w:pPr>
      <w:widowControl w:val="0"/>
      <w:autoSpaceDE w:val="0"/>
      <w:autoSpaceDN w:val="0"/>
      <w:spacing w:line="360" w:lineRule="auto"/>
      <w:jc w:val="both"/>
    </w:pPr>
    <w:rPr>
      <w:rFonts w:ascii="宋体" w:hAnsi="Times New Roman" w:eastAsia="宋体" w:cs="宋体"/>
      <w:color w:val="000000"/>
      <w:sz w:val="24"/>
      <w:szCs w:val="24"/>
      <w:lang w:val="en-US" w:eastAsia="zh-CN" w:bidi="ar-SA"/>
    </w:rPr>
  </w:style>
  <w:style w:type="character" w:customStyle="1" w:styleId="44">
    <w:name w:val="正文文本 (2) Exact"/>
    <w:autoRedefine/>
    <w:qFormat/>
    <w:uiPriority w:val="0"/>
    <w:rPr>
      <w:rFonts w:ascii="宋体" w:hAnsi="宋体" w:eastAsia="宋体" w:cs="宋体"/>
      <w:sz w:val="22"/>
      <w:szCs w:val="22"/>
      <w:u w:val="none"/>
    </w:rPr>
  </w:style>
  <w:style w:type="paragraph" w:customStyle="1" w:styleId="45">
    <w:name w:val="1-正文"/>
    <w:basedOn w:val="1"/>
    <w:autoRedefine/>
    <w:qFormat/>
    <w:uiPriority w:val="0"/>
    <w:pPr>
      <w:ind w:firstLine="200" w:firstLineChars="200"/>
    </w:pPr>
    <w:rPr>
      <w:rFonts w:ascii="Calibri" w:hAnsi="Calibri"/>
      <w:szCs w:val="24"/>
    </w:rPr>
  </w:style>
  <w:style w:type="paragraph" w:customStyle="1" w:styleId="46">
    <w:name w:val="样式1"/>
    <w:basedOn w:val="1"/>
    <w:autoRedefine/>
    <w:qFormat/>
    <w:uiPriority w:val="0"/>
    <w:pPr>
      <w:snapToGrid w:val="0"/>
      <w:jc w:val="center"/>
    </w:pPr>
    <w:rPr>
      <w:rFonts w:ascii="宋体"/>
      <w:szCs w:val="20"/>
    </w:rPr>
  </w:style>
  <w:style w:type="paragraph" w:customStyle="1" w:styleId="47">
    <w:name w:val="1_正文"/>
    <w:basedOn w:val="1"/>
    <w:autoRedefine/>
    <w:qFormat/>
    <w:uiPriority w:val="0"/>
    <w:pPr>
      <w:adjustRightInd w:val="0"/>
      <w:snapToGrid w:val="0"/>
      <w:spacing w:line="360" w:lineRule="auto"/>
      <w:ind w:firstLine="480" w:firstLineChars="200"/>
    </w:pPr>
    <w:rPr>
      <w:color w:val="000000"/>
      <w:sz w:val="24"/>
      <w:szCs w:val="21"/>
    </w:rPr>
  </w:style>
  <w:style w:type="paragraph" w:customStyle="1" w:styleId="48">
    <w:name w:val="正文首行缩进2个字 Char"/>
    <w:basedOn w:val="1"/>
    <w:autoRedefine/>
    <w:qFormat/>
    <w:uiPriority w:val="0"/>
    <w:pPr>
      <w:ind w:firstLine="480" w:firstLineChars="200"/>
    </w:pPr>
    <w:rPr>
      <w:rFonts w:eastAsia="楷体"/>
      <w:sz w:val="24"/>
      <w:szCs w:val="24"/>
    </w:rPr>
  </w:style>
  <w:style w:type="paragraph" w:customStyle="1" w:styleId="49">
    <w:name w:val="表头文字"/>
    <w:basedOn w:val="1"/>
    <w:autoRedefine/>
    <w:qFormat/>
    <w:uiPriority w:val="0"/>
    <w:pPr>
      <w:jc w:val="center"/>
    </w:pPr>
    <w:rPr>
      <w:rFonts w:ascii="Times New Roman" w:hAnsi="Times New Roman"/>
      <w:b/>
      <w:sz w:val="21"/>
    </w:rPr>
  </w:style>
  <w:style w:type="paragraph" w:customStyle="1" w:styleId="50">
    <w:name w:val="4、正文内容"/>
    <w:basedOn w:val="1"/>
    <w:autoRedefine/>
    <w:qFormat/>
    <w:uiPriority w:val="0"/>
    <w:pPr>
      <w:adjustRightInd w:val="0"/>
      <w:snapToGrid w:val="0"/>
      <w:spacing w:line="460" w:lineRule="exact"/>
      <w:ind w:firstLine="200" w:firstLineChars="200"/>
    </w:pPr>
    <w:rPr>
      <w:color w:val="000000"/>
      <w:kern w:val="0"/>
      <w:sz w:val="24"/>
      <w:szCs w:val="20"/>
      <w:lang w:val="zh-TW"/>
    </w:rPr>
  </w:style>
  <w:style w:type="paragraph" w:customStyle="1" w:styleId="51">
    <w:name w:val="表1表2"/>
    <w:basedOn w:val="1"/>
    <w:autoRedefine/>
    <w:qFormat/>
    <w:uiPriority w:val="0"/>
    <w:pPr>
      <w:autoSpaceDE w:val="0"/>
      <w:autoSpaceDN w:val="0"/>
      <w:adjustRightInd w:val="0"/>
      <w:jc w:val="center"/>
      <w:textAlignment w:val="center"/>
    </w:pPr>
    <w:rPr>
      <w:rFonts w:ascii="Times New Roman" w:hAnsi="Times New Roman" w:eastAsia="仿宋体"/>
      <w:kern w:val="0"/>
      <w:szCs w:val="24"/>
    </w:rPr>
  </w:style>
  <w:style w:type="paragraph" w:customStyle="1" w:styleId="52">
    <w:name w:val="1表头"/>
    <w:autoRedefine/>
    <w:qFormat/>
    <w:uiPriority w:val="0"/>
    <w:pPr>
      <w:adjustRightInd w:val="0"/>
      <w:snapToGrid w:val="0"/>
      <w:spacing w:before="25" w:beforeLines="25" w:after="25" w:afterLines="25" w:line="240" w:lineRule="auto"/>
      <w:ind w:firstLine="0" w:firstLineChars="0"/>
      <w:jc w:val="center"/>
    </w:pPr>
    <w:rPr>
      <w:rFonts w:ascii="Times New Roman" w:hAnsi="Times New Roman" w:eastAsia="宋体" w:cs="Times New Roman"/>
      <w:b/>
      <w:color w:val="0000CC"/>
      <w:sz w:val="24"/>
      <w:szCs w:val="24"/>
    </w:rPr>
  </w:style>
  <w:style w:type="paragraph" w:customStyle="1" w:styleId="53">
    <w:name w:val="1表中文字"/>
    <w:basedOn w:val="1"/>
    <w:autoRedefine/>
    <w:qFormat/>
    <w:uiPriority w:val="0"/>
    <w:pPr>
      <w:spacing w:before="1" w:beforeLines="1" w:after="1" w:afterLines="1" w:line="240" w:lineRule="auto"/>
      <w:ind w:left="21" w:leftChars="9" w:right="21" w:rightChars="9"/>
      <w:jc w:val="center"/>
    </w:pPr>
    <w:rPr>
      <w:color w:val="0000CC"/>
      <w:szCs w:val="21"/>
    </w:rPr>
  </w:style>
  <w:style w:type="paragraph" w:customStyle="1" w:styleId="54">
    <w:name w:val="Other|1"/>
    <w:basedOn w:val="1"/>
    <w:autoRedefine/>
    <w:qFormat/>
    <w:uiPriority w:val="0"/>
    <w:pPr>
      <w:widowControl w:val="0"/>
      <w:shd w:val="clear" w:color="auto" w:fill="auto"/>
      <w:spacing w:line="437" w:lineRule="auto"/>
      <w:ind w:firstLine="400"/>
    </w:pPr>
    <w:rPr>
      <w:rFonts w:ascii="宋体" w:hAnsi="宋体" w:eastAsia="宋体" w:cs="宋体"/>
      <w:sz w:val="20"/>
      <w:szCs w:val="20"/>
      <w:u w:val="none"/>
      <w:shd w:val="clear" w:color="auto" w:fill="auto"/>
      <w:lang w:val="zh-TW" w:eastAsia="zh-TW" w:bidi="zh-TW"/>
    </w:rPr>
  </w:style>
  <w:style w:type="paragraph" w:customStyle="1" w:styleId="55">
    <w:name w:val="表内文字"/>
    <w:basedOn w:val="1"/>
    <w:autoRedefine/>
    <w:qFormat/>
    <w:uiPriority w:val="0"/>
    <w:pPr>
      <w:spacing w:line="320" w:lineRule="exact"/>
      <w:jc w:val="center"/>
    </w:pPr>
    <w:rPr>
      <w:rFonts w:eastAsia="MS Mincho"/>
      <w:kern w:val="0"/>
      <w:sz w:val="21"/>
      <w:szCs w:val="24"/>
    </w:rPr>
  </w:style>
  <w:style w:type="paragraph" w:customStyle="1" w:styleId="56">
    <w:name w:val="样式 正文缩进正文缩进2正文缩进 Char Char正文缩进 Char Char Char Char正文缩进 Char ..."/>
    <w:basedOn w:val="7"/>
    <w:autoRedefine/>
    <w:qFormat/>
    <w:uiPriority w:val="0"/>
    <w:pPr>
      <w:adjustRightInd w:val="0"/>
      <w:snapToGrid w:val="0"/>
      <w:spacing w:beforeLines="25" w:afterLines="25" w:line="360" w:lineRule="auto"/>
      <w:ind w:firstLine="640"/>
    </w:pPr>
    <w:rPr>
      <w:rFonts w:cs="宋体"/>
      <w:color w:val="7030A0"/>
      <w:kern w:val="2"/>
      <w:szCs w:val="28"/>
      <w:u w:val="words"/>
      <w:lang w:val="en-US" w:eastAsia="zh-CN"/>
    </w:rPr>
  </w:style>
  <w:style w:type="paragraph" w:customStyle="1" w:styleId="57">
    <w:name w:val="con-title"/>
    <w:basedOn w:val="1"/>
    <w:autoRedefine/>
    <w:qFormat/>
    <w:uiPriority w:val="0"/>
    <w:pPr>
      <w:pBdr>
        <w:bottom w:val="single" w:color="717171" w:sz="12" w:space="0"/>
      </w:pBdr>
      <w:spacing w:line="600" w:lineRule="atLeast"/>
      <w:jc w:val="center"/>
    </w:pPr>
    <w:rPr>
      <w:color w:val="000000"/>
      <w:kern w:val="0"/>
      <w:sz w:val="30"/>
      <w:szCs w:val="30"/>
      <w:lang w:val="en-US" w:eastAsia="zh-CN" w:bidi="ar"/>
    </w:rPr>
  </w:style>
  <w:style w:type="table" w:customStyle="1" w:styleId="58">
    <w:name w:val="Table Normal"/>
    <w:autoRedefine/>
    <w:semiHidden/>
    <w:unhideWhenUsed/>
    <w:qFormat/>
    <w:uiPriority w:val="0"/>
    <w:tblPr>
      <w:tblCellMar>
        <w:top w:w="0" w:type="dxa"/>
        <w:left w:w="0" w:type="dxa"/>
        <w:bottom w:w="0" w:type="dxa"/>
        <w:right w:w="0" w:type="dxa"/>
      </w:tblCellMar>
    </w:tblPr>
  </w:style>
  <w:style w:type="paragraph" w:customStyle="1" w:styleId="59">
    <w:name w:val="+正文"/>
    <w:basedOn w:val="1"/>
    <w:autoRedefine/>
    <w:qFormat/>
    <w:uiPriority w:val="0"/>
    <w:pPr>
      <w:adjustRightInd/>
      <w:snapToGrid/>
      <w:spacing w:line="360" w:lineRule="auto"/>
      <w:ind w:firstLine="200" w:firstLineChars="200"/>
    </w:pPr>
    <w:rPr>
      <w:rFonts w:ascii="Times New Roman"/>
      <w:sz w:val="24"/>
    </w:rPr>
  </w:style>
  <w:style w:type="paragraph" w:customStyle="1" w:styleId="60">
    <w:name w:val="Body text|1"/>
    <w:basedOn w:val="1"/>
    <w:autoRedefine/>
    <w:qFormat/>
    <w:uiPriority w:val="0"/>
    <w:pPr>
      <w:widowControl w:val="0"/>
      <w:shd w:val="clear" w:color="auto" w:fill="auto"/>
      <w:spacing w:after="140"/>
      <w:ind w:firstLine="400"/>
    </w:pPr>
    <w:rPr>
      <w:rFonts w:ascii="宋体" w:hAnsi="宋体" w:eastAsia="宋体" w:cs="宋体"/>
      <w:sz w:val="20"/>
      <w:szCs w:val="20"/>
      <w:u w:val="none"/>
      <w:shd w:val="clear" w:color="auto" w:fill="auto"/>
      <w:lang w:val="zh-TW" w:eastAsia="zh-TW" w:bidi="zh-TW"/>
    </w:rPr>
  </w:style>
  <w:style w:type="paragraph" w:customStyle="1" w:styleId="61">
    <w:name w:val="Table caption|1"/>
    <w:basedOn w:val="1"/>
    <w:autoRedefine/>
    <w:qFormat/>
    <w:uiPriority w:val="0"/>
    <w:pPr>
      <w:widowControl w:val="0"/>
      <w:shd w:val="clear" w:color="auto" w:fill="auto"/>
      <w:spacing w:line="409" w:lineRule="exact"/>
      <w:jc w:val="center"/>
    </w:pPr>
    <w:rPr>
      <w:rFonts w:ascii="宋体" w:hAnsi="宋体" w:eastAsia="宋体" w:cs="宋体"/>
      <w:b/>
      <w:bCs/>
      <w:sz w:val="20"/>
      <w:szCs w:val="20"/>
      <w:u w:val="none"/>
      <w:shd w:val="clear" w:color="auto" w:fill="auto"/>
      <w:lang w:val="zh-TW" w:eastAsia="zh-TW" w:bidi="zh-TW"/>
    </w:rPr>
  </w:style>
  <w:style w:type="paragraph" w:customStyle="1" w:styleId="62">
    <w:name w:val="正文-ls"/>
    <w:basedOn w:val="1"/>
    <w:autoRedefine/>
    <w:qFormat/>
    <w:uiPriority w:val="0"/>
    <w:pPr>
      <w:ind w:firstLine="200" w:firstLineChars="200"/>
    </w:pPr>
    <w:rPr>
      <w:rFonts w:hAnsi="宋体" w:cs="宋体"/>
      <w:szCs w:val="20"/>
    </w:rPr>
  </w:style>
  <w:style w:type="paragraph" w:customStyle="1" w:styleId="63">
    <w:name w:val="Other|2"/>
    <w:basedOn w:val="1"/>
    <w:autoRedefine/>
    <w:qFormat/>
    <w:uiPriority w:val="0"/>
    <w:pPr>
      <w:widowControl w:val="0"/>
      <w:shd w:val="clear" w:color="auto" w:fill="auto"/>
      <w:spacing w:before="280"/>
      <w:ind w:firstLine="180"/>
    </w:pPr>
    <w:rPr>
      <w:rFonts w:ascii="宋体" w:hAnsi="宋体" w:eastAsia="宋体" w:cs="宋体"/>
      <w:sz w:val="20"/>
      <w:szCs w:val="20"/>
      <w:u w:val="none"/>
      <w:shd w:val="clear" w:color="auto" w:fill="auto"/>
      <w:lang w:val="zh-TW" w:eastAsia="zh-TW" w:bidi="zh-TW"/>
    </w:rPr>
  </w:style>
  <w:style w:type="paragraph" w:customStyle="1" w:styleId="64">
    <w:name w:val="表格mm"/>
    <w:basedOn w:val="1"/>
    <w:autoRedefine/>
    <w:qFormat/>
    <w:uiPriority w:val="0"/>
    <w:pPr>
      <w:spacing w:line="0" w:lineRule="atLeast"/>
      <w:jc w:val="center"/>
    </w:pPr>
    <w:rPr>
      <w:rFonts w:ascii="Calibri" w:hAnsi="Calibri" w:cs="微软雅黑"/>
      <w:color w:val="000000"/>
      <w:szCs w:val="28"/>
      <w:u w:val="words"/>
    </w:rPr>
  </w:style>
  <w:style w:type="paragraph" w:customStyle="1" w:styleId="65">
    <w:name w:val="项目正文，无格式"/>
    <w:basedOn w:val="1"/>
    <w:autoRedefine/>
    <w:qFormat/>
    <w:uiPriority w:val="0"/>
    <w:pPr>
      <w:spacing w:line="520" w:lineRule="exact"/>
      <w:ind w:firstLine="644"/>
      <w:jc w:val="center"/>
    </w:pPr>
    <w:rPr>
      <w:kern w:val="0"/>
      <w:sz w:val="20"/>
      <w:szCs w:val="18"/>
      <w:lang w:val="en-US" w:eastAsia="zh-CN"/>
    </w:rPr>
  </w:style>
  <w:style w:type="character" w:customStyle="1" w:styleId="66">
    <w:name w:val="font11"/>
    <w:basedOn w:val="23"/>
    <w:autoRedefine/>
    <w:qFormat/>
    <w:uiPriority w:val="0"/>
    <w:rPr>
      <w:rFonts w:hint="eastAsia" w:ascii="宋体" w:hAnsi="宋体" w:eastAsia="宋体" w:cs="宋体"/>
      <w:color w:val="000000"/>
      <w:sz w:val="21"/>
      <w:szCs w:val="21"/>
      <w:u w:val="none"/>
    </w:rPr>
  </w:style>
  <w:style w:type="character" w:customStyle="1" w:styleId="67">
    <w:name w:val="font21"/>
    <w:basedOn w:val="23"/>
    <w:autoRedefine/>
    <w:qFormat/>
    <w:uiPriority w:val="0"/>
    <w:rPr>
      <w:rFonts w:hint="default" w:ascii="Times New Roman" w:hAnsi="Times New Roman" w:cs="Times New Roman"/>
      <w:color w:val="000000"/>
      <w:sz w:val="21"/>
      <w:szCs w:val="21"/>
      <w:u w:val="none"/>
    </w:rPr>
  </w:style>
  <w:style w:type="paragraph" w:customStyle="1" w:styleId="68">
    <w:name w:val="样式5"/>
    <w:autoRedefine/>
    <w:qFormat/>
    <w:uiPriority w:val="0"/>
    <w:rPr>
      <w:rFonts w:ascii="黑体" w:hAnsi="Times New Roman" w:eastAsia="宋体" w:cs="Times New Roman"/>
    </w:rPr>
  </w:style>
  <w:style w:type="paragraph" w:customStyle="1" w:styleId="69">
    <w:name w:val="000000"/>
    <w:basedOn w:val="70"/>
    <w:autoRedefine/>
    <w:qFormat/>
    <w:uiPriority w:val="0"/>
    <w:pPr>
      <w:spacing w:line="240" w:lineRule="auto"/>
      <w:ind w:firstLine="0" w:firstLineChars="0"/>
      <w:jc w:val="center"/>
    </w:pPr>
    <w:rPr>
      <w:rFonts w:ascii="Times New Roman" w:hAnsi="Times New Roman" w:eastAsia="宋体"/>
      <w:b/>
      <w:sz w:val="21"/>
    </w:rPr>
  </w:style>
  <w:style w:type="paragraph" w:customStyle="1" w:styleId="70">
    <w:name w:val="1正文"/>
    <w:autoRedefine/>
    <w:qFormat/>
    <w:uiPriority w:val="0"/>
    <w:pPr>
      <w:widowControl/>
      <w:spacing w:line="360" w:lineRule="auto"/>
      <w:ind w:firstLine="200" w:firstLineChars="200"/>
      <w:jc w:val="both"/>
    </w:pPr>
    <w:rPr>
      <w:rFonts w:ascii="Calibri" w:hAnsi="Calibri" w:eastAsia="宋体" w:cs="Times New Roman"/>
      <w:kern w:val="0"/>
      <w:sz w:val="24"/>
      <w:szCs w:val="20"/>
      <w:lang w:val="en-GB" w:eastAsia="zh-CN" w:bidi="ar-SA"/>
    </w:rPr>
  </w:style>
  <w:style w:type="paragraph" w:customStyle="1" w:styleId="71">
    <w:name w:val="Table Text"/>
    <w:basedOn w:val="1"/>
    <w:semiHidden/>
    <w:qFormat/>
    <w:uiPriority w:val="0"/>
    <w:rPr>
      <w:rFonts w:ascii="宋体" w:hAnsi="宋体" w:eastAsia="宋体" w:cs="宋体"/>
      <w:sz w:val="24"/>
      <w:szCs w:val="24"/>
      <w:lang w:val="en-US" w:eastAsia="en-US" w:bidi="ar-SA"/>
    </w:rPr>
  </w:style>
  <w:style w:type="character" w:customStyle="1" w:styleId="72">
    <w:name w:val="font31"/>
    <w:basedOn w:val="23"/>
    <w:qFormat/>
    <w:uiPriority w:val="0"/>
    <w:rPr>
      <w:rFonts w:hint="default" w:ascii="Times New Roman" w:hAnsi="Times New Roman" w:cs="Times New Roman"/>
      <w:color w:val="000000"/>
      <w:sz w:val="21"/>
      <w:szCs w:val="21"/>
      <w:u w:val="none"/>
      <w:vertAlign w:val="superscript"/>
    </w:rPr>
  </w:style>
  <w:style w:type="character" w:customStyle="1" w:styleId="73">
    <w:name w:val="font41"/>
    <w:basedOn w:val="23"/>
    <w:qFormat/>
    <w:uiPriority w:val="0"/>
    <w:rPr>
      <w:rFonts w:hint="default" w:ascii="Times New Roman" w:hAnsi="Times New Roman" w:cs="Times New Roman"/>
      <w:color w:val="000000"/>
      <w:sz w:val="24"/>
      <w:szCs w:val="24"/>
      <w:u w:val="none"/>
    </w:rPr>
  </w:style>
  <w:style w:type="character" w:customStyle="1" w:styleId="74">
    <w:name w:val="font51"/>
    <w:basedOn w:val="23"/>
    <w:qFormat/>
    <w:uiPriority w:val="0"/>
    <w:rPr>
      <w:rFonts w:hint="default" w:ascii="Times New Roman" w:hAnsi="Times New Roman" w:cs="Times New Roman"/>
      <w:color w:val="000000"/>
      <w:sz w:val="21"/>
      <w:szCs w:val="21"/>
      <w:u w:val="none"/>
      <w:vertAlign w:val="subscript"/>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7" Type="http://schemas.openxmlformats.org/officeDocument/2006/relationships/fontTable" Target="fontTable.xml"/><Relationship Id="rId56" Type="http://schemas.openxmlformats.org/officeDocument/2006/relationships/customXml" Target="../customXml/item2.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34.png"/><Relationship Id="rId52" Type="http://schemas.openxmlformats.org/officeDocument/2006/relationships/image" Target="media/image33.jpe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footer" Target="footer2.xml"/><Relationship Id="rId49" Type="http://schemas.openxmlformats.org/officeDocument/2006/relationships/image" Target="media/image30.jpeg"/><Relationship Id="rId48" Type="http://schemas.openxmlformats.org/officeDocument/2006/relationships/image" Target="media/image29.jpeg"/><Relationship Id="rId47" Type="http://schemas.openxmlformats.org/officeDocument/2006/relationships/image" Target="media/image28.pn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jpeg"/><Relationship Id="rId43" Type="http://schemas.openxmlformats.org/officeDocument/2006/relationships/image" Target="media/image24.jpeg"/><Relationship Id="rId42" Type="http://schemas.openxmlformats.org/officeDocument/2006/relationships/image" Target="media/image23.jpeg"/><Relationship Id="rId41" Type="http://schemas.openxmlformats.org/officeDocument/2006/relationships/image" Target="media/image22.jpeg"/><Relationship Id="rId40" Type="http://schemas.openxmlformats.org/officeDocument/2006/relationships/image" Target="media/image21.jpeg"/><Relationship Id="rId4" Type="http://schemas.openxmlformats.org/officeDocument/2006/relationships/footer" Target="footer1.xml"/><Relationship Id="rId39" Type="http://schemas.openxmlformats.org/officeDocument/2006/relationships/image" Target="media/image20.jpeg"/><Relationship Id="rId38" Type="http://schemas.openxmlformats.org/officeDocument/2006/relationships/image" Target="media/image19.jpe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png"/><Relationship Id="rId31" Type="http://schemas.openxmlformats.org/officeDocument/2006/relationships/image" Target="media/image12.png"/><Relationship Id="rId30" Type="http://schemas.openxmlformats.org/officeDocument/2006/relationships/image" Target="media/image11.png"/><Relationship Id="rId3" Type="http://schemas.openxmlformats.org/officeDocument/2006/relationships/header" Target="header1.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image" Target="media/image8.png"/><Relationship Id="rId26" Type="http://schemas.openxmlformats.org/officeDocument/2006/relationships/chart" Target="charts/chart2.xml"/><Relationship Id="rId25" Type="http://schemas.openxmlformats.org/officeDocument/2006/relationships/chart" Target="charts/chart1.xml"/><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header" Target="header5.xml"/><Relationship Id="rId15" Type="http://schemas.openxmlformats.org/officeDocument/2006/relationships/footer" Target="footer9.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header" Target="head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E:\&#21016;&#20329;&#20329;\&#24037;&#20316;\93&#12289;&#38471;&#21439;&#27745;&#27700;&#22788;&#29702;&#21378;\&#22320;&#34920;&#27700;&#39044;&#27979;&#35745;&#31639;.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21016;&#20329;&#20329;\&#24037;&#20316;\93&#12289;&#38471;&#21439;&#27745;&#27700;&#22788;&#29702;&#21378;\&#22320;&#34920;&#27700;&#39044;&#27979;&#35745;&#3163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[地表水预测计算.xlsx]源强计算!$C$20</c:f>
              <c:strCache>
                <c:ptCount val="1"/>
                <c:pt idx="0">
                  <c:v>2022年</c:v>
                </c:pt>
              </c:strCache>
            </c:strRef>
          </c:tx>
          <c:spPr>
            <a:solidFill>
              <a:schemeClr val="accent1"/>
            </a:solidFill>
            <a:ln>
              <a:noFill/>
            </a:ln>
            <a:effectLst/>
          </c:spPr>
          <c:invertIfNegative val="0"/>
          <c:dLbls>
            <c:delete val="1"/>
          </c:dLbls>
          <c:cat>
            <c:strRef>
              <c:f>[地表水预测计算.xlsx]源强计算!$B$21:$B$26</c:f>
              <c:strCache>
                <c:ptCount val="6"/>
                <c:pt idx="1">
                  <c:v>化学需氧量</c:v>
                </c:pt>
                <c:pt idx="2">
                  <c:v>五日生化需氧量</c:v>
                </c:pt>
                <c:pt idx="3">
                  <c:v>氨氮</c:v>
                </c:pt>
                <c:pt idx="4">
                  <c:v>总磷</c:v>
                </c:pt>
                <c:pt idx="5">
                  <c:v>溶解氧</c:v>
                </c:pt>
              </c:strCache>
            </c:strRef>
          </c:cat>
          <c:val>
            <c:numRef>
              <c:f>[地表水预测计算.xlsx]源强计算!$C$21:$C$26</c:f>
              <c:numCache>
                <c:formatCode>General</c:formatCode>
                <c:ptCount val="6"/>
                <c:pt idx="1">
                  <c:v>8.9</c:v>
                </c:pt>
                <c:pt idx="2">
                  <c:v>1.1</c:v>
                </c:pt>
                <c:pt idx="3">
                  <c:v>0.15</c:v>
                </c:pt>
                <c:pt idx="4">
                  <c:v>0.041</c:v>
                </c:pt>
                <c:pt idx="5">
                  <c:v>9.9</c:v>
                </c:pt>
              </c:numCache>
            </c:numRef>
          </c:val>
        </c:ser>
        <c:ser>
          <c:idx val="1"/>
          <c:order val="1"/>
          <c:tx>
            <c:strRef>
              <c:f>[地表水预测计算.xlsx]源强计算!$D$20</c:f>
              <c:strCache>
                <c:ptCount val="1"/>
                <c:pt idx="0">
                  <c:v>2023年</c:v>
                </c:pt>
              </c:strCache>
            </c:strRef>
          </c:tx>
          <c:spPr>
            <a:solidFill>
              <a:schemeClr val="accent2"/>
            </a:solidFill>
            <a:ln>
              <a:noFill/>
            </a:ln>
            <a:effectLst/>
          </c:spPr>
          <c:invertIfNegative val="0"/>
          <c:dLbls>
            <c:delete val="1"/>
          </c:dLbls>
          <c:cat>
            <c:strRef>
              <c:f>[地表水预测计算.xlsx]源强计算!$B$21:$B$26</c:f>
              <c:strCache>
                <c:ptCount val="6"/>
                <c:pt idx="1">
                  <c:v>化学需氧量</c:v>
                </c:pt>
                <c:pt idx="2">
                  <c:v>五日生化需氧量</c:v>
                </c:pt>
                <c:pt idx="3">
                  <c:v>氨氮</c:v>
                </c:pt>
                <c:pt idx="4">
                  <c:v>总磷</c:v>
                </c:pt>
                <c:pt idx="5">
                  <c:v>溶解氧</c:v>
                </c:pt>
              </c:strCache>
            </c:strRef>
          </c:cat>
          <c:val>
            <c:numRef>
              <c:f>[地表水预测计算.xlsx]源强计算!$D$21:$D$26</c:f>
              <c:numCache>
                <c:formatCode>General</c:formatCode>
                <c:ptCount val="6"/>
                <c:pt idx="1">
                  <c:v>10.6</c:v>
                </c:pt>
                <c:pt idx="2">
                  <c:v>1.1</c:v>
                </c:pt>
                <c:pt idx="3">
                  <c:v>0.15</c:v>
                </c:pt>
                <c:pt idx="4">
                  <c:v>0.042</c:v>
                </c:pt>
                <c:pt idx="5">
                  <c:v>9.2</c:v>
                </c:pt>
              </c:numCache>
            </c:numRef>
          </c:val>
        </c:ser>
        <c:dLbls>
          <c:showLegendKey val="0"/>
          <c:showVal val="0"/>
          <c:showCatName val="0"/>
          <c:showSerName val="0"/>
          <c:showPercent val="0"/>
          <c:showBubbleSize val="0"/>
        </c:dLbls>
        <c:gapWidth val="246"/>
        <c:overlap val="-28"/>
        <c:axId val="758894516"/>
        <c:axId val="499067621"/>
      </c:barChart>
      <c:catAx>
        <c:axId val="75889451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99067621"/>
        <c:crosses val="autoZero"/>
        <c:auto val="1"/>
        <c:lblAlgn val="ctr"/>
        <c:lblOffset val="100"/>
        <c:noMultiLvlLbl val="0"/>
      </c:catAx>
      <c:valAx>
        <c:axId val="499067621"/>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5889451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0a961be8-d7f8-41ac-bba5-27c2c3072962}"/>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76733977801647"/>
          <c:y val="0.169489265161576"/>
          <c:w val="0.912157894736842"/>
          <c:h val="0.606805555555556"/>
        </c:manualLayout>
      </c:layout>
      <c:lineChart>
        <c:grouping val="standard"/>
        <c:varyColors val="0"/>
        <c:ser>
          <c:idx val="0"/>
          <c:order val="0"/>
          <c:tx>
            <c:strRef>
              <c:f>[地表水预测计算.xlsx]源强计算!$C$20</c:f>
              <c:strCache>
                <c:ptCount val="1"/>
                <c:pt idx="0">
                  <c:v>2022年</c:v>
                </c:pt>
              </c:strCache>
            </c:strRef>
          </c:tx>
          <c:spPr>
            <a:ln w="28575" cap="rnd">
              <a:solidFill>
                <a:schemeClr val="accent1"/>
              </a:solidFill>
              <a:round/>
            </a:ln>
            <a:effectLst/>
          </c:spPr>
          <c:marker>
            <c:symbol val="none"/>
          </c:marker>
          <c:dLbls>
            <c:delete val="1"/>
          </c:dLbls>
          <c:cat>
            <c:strRef>
              <c:f>[地表水预测计算.xlsx]源强计算!$B$21:$B$26</c:f>
              <c:strCache>
                <c:ptCount val="6"/>
                <c:pt idx="1">
                  <c:v>化学需氧量</c:v>
                </c:pt>
                <c:pt idx="2">
                  <c:v>五日生化需氧量</c:v>
                </c:pt>
                <c:pt idx="3">
                  <c:v>氨氮</c:v>
                </c:pt>
                <c:pt idx="4">
                  <c:v>总磷</c:v>
                </c:pt>
                <c:pt idx="5">
                  <c:v>溶解氧</c:v>
                </c:pt>
              </c:strCache>
            </c:strRef>
          </c:cat>
          <c:val>
            <c:numRef>
              <c:f>[地表水预测计算.xlsx]源强计算!$C$21:$C$26</c:f>
              <c:numCache>
                <c:formatCode>General</c:formatCode>
                <c:ptCount val="6"/>
                <c:pt idx="1">
                  <c:v>8.9</c:v>
                </c:pt>
                <c:pt idx="2">
                  <c:v>1.1</c:v>
                </c:pt>
                <c:pt idx="3">
                  <c:v>0.15</c:v>
                </c:pt>
                <c:pt idx="4">
                  <c:v>0.041</c:v>
                </c:pt>
                <c:pt idx="5">
                  <c:v>9.9</c:v>
                </c:pt>
              </c:numCache>
            </c:numRef>
          </c:val>
          <c:smooth val="0"/>
        </c:ser>
        <c:ser>
          <c:idx val="1"/>
          <c:order val="1"/>
          <c:tx>
            <c:strRef>
              <c:f>[地表水预测计算.xlsx]源强计算!$D$20</c:f>
              <c:strCache>
                <c:ptCount val="1"/>
                <c:pt idx="0">
                  <c:v>2023年</c:v>
                </c:pt>
              </c:strCache>
            </c:strRef>
          </c:tx>
          <c:spPr>
            <a:ln w="28575" cap="rnd">
              <a:solidFill>
                <a:schemeClr val="accent2"/>
              </a:solidFill>
              <a:round/>
            </a:ln>
            <a:effectLst/>
          </c:spPr>
          <c:marker>
            <c:symbol val="none"/>
          </c:marker>
          <c:dLbls>
            <c:delete val="1"/>
          </c:dLbls>
          <c:cat>
            <c:strRef>
              <c:f>[地表水预测计算.xlsx]源强计算!$B$21:$B$26</c:f>
              <c:strCache>
                <c:ptCount val="6"/>
                <c:pt idx="1">
                  <c:v>化学需氧量</c:v>
                </c:pt>
                <c:pt idx="2">
                  <c:v>五日生化需氧量</c:v>
                </c:pt>
                <c:pt idx="3">
                  <c:v>氨氮</c:v>
                </c:pt>
                <c:pt idx="4">
                  <c:v>总磷</c:v>
                </c:pt>
                <c:pt idx="5">
                  <c:v>溶解氧</c:v>
                </c:pt>
              </c:strCache>
            </c:strRef>
          </c:cat>
          <c:val>
            <c:numRef>
              <c:f>[地表水预测计算.xlsx]源强计算!$D$21:$D$26</c:f>
              <c:numCache>
                <c:formatCode>General</c:formatCode>
                <c:ptCount val="6"/>
                <c:pt idx="1">
                  <c:v>10.6</c:v>
                </c:pt>
                <c:pt idx="2">
                  <c:v>1.1</c:v>
                </c:pt>
                <c:pt idx="3">
                  <c:v>0.15</c:v>
                </c:pt>
                <c:pt idx="4">
                  <c:v>0.042</c:v>
                </c:pt>
                <c:pt idx="5">
                  <c:v>9.2</c:v>
                </c:pt>
              </c:numCache>
            </c:numRef>
          </c:val>
          <c:smooth val="0"/>
        </c:ser>
        <c:dLbls>
          <c:showLegendKey val="0"/>
          <c:showVal val="0"/>
          <c:showCatName val="0"/>
          <c:showSerName val="0"/>
          <c:showPercent val="0"/>
          <c:showBubbleSize val="0"/>
        </c:dLbls>
        <c:marker val="0"/>
        <c:smooth val="0"/>
        <c:axId val="183230106"/>
        <c:axId val="661549057"/>
      </c:lineChart>
      <c:catAx>
        <c:axId val="18323010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61549057"/>
        <c:crosses val="autoZero"/>
        <c:auto val="1"/>
        <c:lblAlgn val="ctr"/>
        <c:lblOffset val="100"/>
        <c:noMultiLvlLbl val="0"/>
      </c:catAx>
      <c:valAx>
        <c:axId val="661549057"/>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8323010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4fbbd902-5b9e-4246-867d-817979985fd3}"/>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Q1Mzc2MDE4NTE3IiwKCSJHcm91cElkIiA6ICIyNjU2MzEwNTQiLAoJIkltYWdlIiA6ICJpVkJPUncwS0dnb0FBQUFOU1VoRVVnQUFBMGNBQUFRS0NBWUFBQUNMMndHL0FBQUFBWE5TUjBJQXJzNGM2UUFBSUFCSlJFRlVlSnpzM1hsWVZOWC9CL0QzdlF5TFNHcUtDaTZKcUpHYWlRdWxscG1WVnBxV2xwbGFWdVpXU29wTHJybVVXV3J1SWxhV2lpdWFLNHFoQ1YvRkpSY0V3WDBMUlFVTlV4WmhZR2J1K2YwQmMzOE1Nd2dvTUN6djEvUHdPUGZjWlQ0elBnenp1ZWVjendH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WEZEK0h4UGxva1NrTWV3eUFBQUFBRWxGVGtTdVFtQ0MiLAoJIlRoZW1lIiA6ICIiLAoJIlR5cGUiIDogImZsb3ciLAoJIlVzZXJJZCIgOiAiMjU5OTI5MDY1IiwKCSJWZXJzaW9uIiA6ICIxNyIKfQo="/>
    </extobj>
  </extobjs>
</s:customData>
</file>

<file path=customXml/item2.xml><?xml version="1.0" encoding="utf-8"?>
<contractReview xmlns="http://schemas.wps.cn/vas-ai-hub/contract-review">
  <reviewItems>
    <reviewItem>
      <errorID>b517e365-5618-44bc-81f4-9ff8e0a14b4a</errorID>
      <errorWord>发改发</errorWord>
      <group>L1_Knowledge</group>
      <groupName>知识性问题</groupName>
      <ability>L2_Knowledge</ability>
      <abilityName>其他知识</abilityName>
      <candidateList>
        <item>发改委</item>
      </candidateList>
      <explain/>
      <paraID>2A364CD5</paraID>
      <start>1</start>
      <end>4</end>
      <status>ignored</status>
      <modifiedWord/>
      <trackRevisions>false</trackRevisions>
    </reviewItem>
    <reviewItem>
      <errorID>08085fde-eebd-4fdb-9fcd-218c39fa29dc</errorID>
      <errorWord>水</errorWord>
      <group>L1_Word</group>
      <groupName>字词问题</groupName>
      <ability>L2_Typo</ability>
      <abilityName>字词错误</abilityName>
      <candidateList>
        <item>水处</item>
      </candidateList>
      <explain/>
      <paraID>68253B8F</paraID>
      <start>19</start>
      <end>21</end>
      <status>modified</status>
      <modifiedWord>水处</modifiedWord>
      <trackRevisions>false</trackRevisions>
    </reviewItem>
    <reviewItem>
      <errorID>e565d569-e290-45ef-b37d-77e0f31f32bc</errorID>
      <errorWord>其他的</errorWord>
      <group>L1_Word</group>
      <groupName>字词问题</groupName>
      <ability>L2_Typo</ability>
      <abilityName>字词错误</abilityName>
      <candidateList>
        <item>其他</item>
      </candidateList>
      <explain>〈代〉指示代词。别的：今天的文娱晚会，除了京剧、曲艺以外，还有～精彩节目。</explain>
      <paraID>3D8FA704</paraID>
      <start>54</start>
      <end>57</end>
      <status>ignored</status>
      <modifiedWord/>
      <trackRevisions>false</trackRevisions>
    </reviewItem>
    <reviewItem>
      <errorID>67a36c58-b02e-4218-b13b-c491e93adcaa</errorID>
      <errorWord>浸出</errorWord>
      <group>L1_Word</group>
      <groupName>字词问题</groupName>
      <ability>L2_Typo</ability>
      <abilityName>字词错误</abilityName>
      <candidateList>
        <item>检测</item>
      </candidateList>
      <explain/>
      <paraID>3DAE8516</paraID>
      <start>38</start>
      <end>40</end>
      <status>ignored</status>
      <modifiedWord/>
      <trackRevisions>false</trackRevisions>
    </reviewItem>
    <reviewItem>
      <errorID>8d51f023-7c28-4693-a481-6cdefa674edc</errorID>
      <errorWord>浸出</errorWord>
      <group>L1_Word</group>
      <groupName>字词问题</groupName>
      <ability>L2_Typo</ability>
      <abilityName>字词错误</abilityName>
      <candidateList>
        <item>检测</item>
      </candidateList>
      <explain/>
      <paraID>33CA52A5</paraID>
      <start>42</start>
      <end>44</end>
      <status>ignored</status>
      <modifiedWord/>
      <trackRevisions>false</trackRevisions>
    </reviewItem>
    <reviewItem>
      <errorID>8f491534-d1c8-4def-a809-09a6d643491d</errorID>
      <errorWord>会</errorWord>
      <group>L1_Word</group>
      <groupName>字词问题</groupName>
      <ability>L2_Typo</ability>
      <abilityName>字词错误</abilityName>
      <candidateList>
        <item>会第</item>
      </candidateList>
      <explain/>
      <paraID>63EDA50D</paraID>
      <start>42</start>
      <end>43</end>
      <status>ignored</status>
      <modifiedWord/>
      <trackRevisions>false</trackRevisions>
    </reviewItem>
    <reviewItem>
      <errorID>0859562b-0b77-44b8-aa66-b8265396dee7</errorID>
      <errorWord>城乡结合部</errorWord>
      <group>L1_Knowledge</group>
      <groupName>知识性问题</groupName>
      <ability>L2_Knowledge</ability>
      <abilityName>其他知识</abilityName>
      <candidateList>
        <item>城乡接合部</item>
      </candidateList>
      <explain/>
      <paraID>4E9BDFAB</paraID>
      <start>57</start>
      <end>62</end>
      <status>ignored</status>
      <modifiedWord/>
      <trackRevisions>false</trackRevisions>
    </reviewItem>
    <reviewItem>
      <errorID>e87f8c93-9cbd-4b04-b000-b0b41aed3d98</errorID>
      <errorWord>区</errorWord>
      <group>L1_Word</group>
      <groupName>字词问题</groupName>
      <ability>L2_Typo</ability>
      <abilityName>字词错误</abilityName>
      <candidateList>
        <item>区域</item>
      </candidateList>
      <explain/>
      <paraID>71B89597</paraID>
      <start>12</start>
      <end>13</end>
      <status>ignored</status>
      <modifiedWord/>
      <trackRevisions>false</trackRevisions>
    </reviewItem>
    <reviewItem>
      <errorID>38d30250-908a-46d5-9108-34167f594415</errorID>
      <errorWord>千河</errorWord>
      <group>L1_Word</group>
      <groupName>字词问题</groupName>
      <ability>L2_Typo</ability>
      <abilityName>字词错误</abilityName>
      <candidateList>
        <item>干河</item>
      </candidateList>
      <explain/>
      <paraID>35486758</paraID>
      <start>312</start>
      <end>314</end>
      <status>ignored</status>
      <modifiedWord/>
      <trackRevisions>false</trackRevisions>
    </reviewItem>
    <reviewItem>
      <errorID>9075ab76-4caf-437e-b3be-35274b6c8702</errorID>
      <errorWord>沉砂池</errorWord>
      <group>L1_Word</group>
      <groupName>字词问题</groupName>
      <ability>L2_Typo</ability>
      <abilityName>字词错误</abilityName>
      <candidateList>
        <item>沉沙池</item>
      </candidateList>
      <explain>存在发音相同字词的误用。</explain>
      <paraID>4FD5117E</paraID>
      <start>15</start>
      <end>18</end>
      <status>ignored</status>
      <modifiedWord/>
      <trackRevisions>false</trackRevisions>
    </reviewItem>
    <reviewItem>
      <errorID>fdbbcafe-2b96-47a8-8a86-37eb51aa4f52</errorID>
      <errorWord>沉砂池</errorWord>
      <group>L1_Word</group>
      <groupName>字词问题</groupName>
      <ability>L2_Typo</ability>
      <abilityName>字词错误</abilityName>
      <candidateList>
        <item>沉沙池</item>
      </candidateList>
      <explain>存在发音相同字词的误用。</explain>
      <paraID>71B3A9A9</paraID>
      <start>0</start>
      <end>3</end>
      <status>ignored</status>
      <modifiedWord/>
      <trackRevisions>false</trackRevisions>
    </reviewItem>
    <reviewItem>
      <errorID>6e44b986-7182-4a7d-b567-4d99a1f00cb1</errorID>
      <errorWord>监测</errorWord>
      <group>L1_Word</group>
      <groupName>字词问题</groupName>
      <ability>L2_Typo</ability>
      <abilityName>字词错误</abilityName>
      <candidateList>
        <item>检测</item>
      </candidateList>
      <explain/>
      <paraID>20B934B2</paraID>
      <start>2</start>
      <end>4</end>
      <status>ignored</status>
      <modifiedWord/>
      <trackRevisions>false</trackRevisions>
    </reviewItem>
    <reviewItem>
      <errorID>3e1b4b1f-b372-4fc5-8579-c89f20d0393c</errorID>
      <errorWord>桶装</errorWord>
      <group>L1_Word</group>
      <groupName>字词问题</groupName>
      <ability>L2_Typo</ability>
      <abilityName>字词错误</abilityName>
      <candidateList>
        <item>桶状</item>
      </candidateList>
      <explain/>
      <paraID>37256B3B</paraID>
      <start>3</start>
      <end>5</end>
      <status>ignored</status>
      <modifiedWord/>
      <trackRevisions>false</trackRevisions>
    </reviewItem>
    <reviewItem>
      <errorID>177655d6-5bfa-452d-bcd9-59a76a05caff</errorID>
      <errorWord>出水检测</errorWord>
      <group>L1_Word</group>
      <groupName>字词问题</groupName>
      <ability>L2_Typo</ability>
      <abilityName>字词错误</abilityName>
      <candidateList>
        <item>出水监测</item>
      </candidateList>
      <explain/>
      <paraID>51B52326</paraID>
      <start>53</start>
      <end>57</end>
      <status>ignored</status>
      <modifiedWord/>
      <trackRevisions>false</trackRevisions>
    </reviewItem>
    <reviewItem>
      <errorID>7b55e92e-ef7e-4c6f-9a9f-498a71be1c1f</errorID>
      <errorWord>期</errorWord>
      <group>L1_Word</group>
      <groupName>字词问题</groupName>
      <ability>L2_Typo</ability>
      <abilityName>字词错误</abilityName>
      <candidateList>
        <item>期为</item>
      </candidateList>
      <explain/>
      <paraID>5DA9AE43</paraID>
      <start>33</start>
      <end>35</end>
      <status>modified</status>
      <modifiedWord>期为</modifiedWord>
      <trackRevisions>false</trackRevisions>
    </reviewItem>
    <reviewItem>
      <errorID>918ea08c-dc11-4e48-b851-964738be8e83</errorID>
      <errorWord>施工期</errorWord>
      <group>L1_Word</group>
      <groupName>字词问题</groupName>
      <ability>L2_Typo</ability>
      <abilityName>字词错误</abilityName>
      <candidateList>
        <item>施工</item>
      </candidateList>
      <explain>〈动〉按照设计的规格和要求建筑房屋、桥梁、道路、水利工程等。</explain>
      <paraID>625E5319</paraID>
      <start>2</start>
      <end>5</end>
      <status>ignored</status>
      <modifiedWord/>
      <trackRevisions>false</trackRevisions>
    </reviewItem>
    <reviewItem>
      <errorID>4c7829d2-9b9b-49e8-a4f4-b23a11e7ac44</errorID>
      <errorWord>施工期</errorWord>
      <group>L1_Word</group>
      <groupName>字词问题</groupName>
      <ability>L2_Typo</ability>
      <abilityName>字词错误</abilityName>
      <candidateList>
        <item>施工</item>
      </candidateList>
      <explain>〈动〉按照设计的规格和要求建筑房屋、桥梁、道路、水利工程等。</explain>
      <paraID>6664F4BA</paraID>
      <start>0</start>
      <end>3</end>
      <status>ignored</status>
      <modifiedWord/>
      <trackRevisions>false</trackRevisions>
    </reviewItem>
    <reviewItem>
      <errorID>3a9772cd-af8a-4328-964c-93d03e1aae0d</errorID>
      <errorWord>)</errorWord>
      <group>L1_Format</group>
      <groupName>格式问题</groupName>
      <ability>L2_HalfPunc</ability>
      <abilityName>全半角检查</abilityName>
      <candidateList>
        <item>）</item>
      </candidateList>
      <explain>文本全半角错误。</explain>
      <paraID>45515E22</paraID>
      <start>5</start>
      <end>6</end>
      <status>modified</status>
      <modifiedWord>）</modifiedWord>
      <trackRevisions>false</trackRevisions>
    </reviewItem>
    <reviewItem>
      <errorID>239d0dc4-b8c6-4f52-b67c-67aa0da7f823</errorID>
      <errorWord>)</errorWord>
      <group>L1_Format</group>
      <groupName>格式问题</groupName>
      <ability>L2_HalfPunc</ability>
      <abilityName>全半角检查</abilityName>
      <candidateList>
        <item>）</item>
      </candidateList>
      <explain>文本全半角错误。</explain>
      <paraID>4F52918F</paraID>
      <start>4</start>
      <end>5</end>
      <status>modified</status>
      <modifiedWord>）</modifiedWord>
      <trackRevisions>false</trackRevisions>
    </reviewItem>
    <reviewItem>
      <errorID>e73f305c-492d-49a6-843f-fa4b984494a0</errorID>
      <errorWord>臭气</errorWord>
      <group>L1_Word</group>
      <groupName>字词问题</groupName>
      <ability>L2_Typo</ability>
      <abilityName>字词错误</abilityName>
      <candidateList>
        <item>臭氧</item>
      </candidateList>
      <explain/>
      <paraID>42F5A711</paraID>
      <start>19</start>
      <end>21</end>
      <status>ignored</status>
      <modifiedWord/>
      <trackRevisions>false</trackRevisions>
    </reviewItem>
    <reviewItem>
      <errorID>bb99dfa7-3c60-443e-9c01-2c05ab915fd1</errorID>
      <errorWord>沉砂池</errorWord>
      <group>L1_Word</group>
      <groupName>字词问题</groupName>
      <ability>L2_Typo</ability>
      <abilityName>字词错误</abilityName>
      <candidateList>
        <item>沉沙池</item>
      </candidateList>
      <explain>存在发音相同字词的误用。</explain>
      <paraID>2830FC8D</paraID>
      <start>0</start>
      <end>3</end>
      <status>ignored</status>
      <modifiedWord/>
      <trackRevisions>false</trackRevisions>
    </reviewItem>
    <reviewItem>
      <errorID>9347cc31-dfe7-44c3-ba55-754b717fa72c</errorID>
      <errorWord>沉砂池</errorWord>
      <group>L1_Word</group>
      <groupName>字词问题</groupName>
      <ability>L2_Typo</ability>
      <abilityName>字词错误</abilityName>
      <candidateList>
        <item>沉沙池</item>
      </candidateList>
      <explain>存在发音相同字词的误用。</explain>
      <paraID>47D11E90</paraID>
      <start>0</start>
      <end>3</end>
      <status>ignored</status>
      <modifiedWord/>
      <trackRevisions>false</trackRevisions>
    </reviewItem>
    <reviewItem>
      <errorID>e025c9bd-e981-43a4-8b4c-900be2ff99ee</errorID>
      <errorWord>）</errorWord>
      <group>L1_Format</group>
      <groupName>格式问题</groupName>
      <ability>L2_HalfPunc</ability>
      <abilityName>全半角检查</abilityName>
      <candidateList>
        <item>)</item>
      </candidateList>
      <explain>文本全半角错误。</explain>
      <paraID>58F8FEEA</paraID>
      <start>33</start>
      <end>34</end>
      <status>modified</status>
      <modifiedWord>)</modifiedWord>
      <trackRevisions>false</trackRevisions>
    </reviewItem>
    <reviewItem>
      <errorID>b44d1903-9d8f-40e2-a4f1-9db26cc31a6f</errorID>
      <errorWord>）</errorWord>
      <group>L1_Format</group>
      <groupName>格式问题</groupName>
      <ability>L2_HalfPunc</ability>
      <abilityName>全半角检查</abilityName>
      <candidateList>
        <item>)</item>
      </candidateList>
      <explain>文本全半角错误。</explain>
      <paraID>400B477F</paraID>
      <start>23</start>
      <end>24</end>
      <status>modified</status>
      <modifiedWord>)</modifiedWord>
      <trackRevisions>false</trackRevisions>
    </reviewItem>
    <reviewItem>
      <errorID>9118c9b4-7711-4703-90ee-23b32da4d878</errorID>
      <errorWord>(</errorWord>
      <group>L1_Format</group>
      <groupName>格式问题</groupName>
      <ability>L2_HalfPunc</ability>
      <abilityName>全半角检查</abilityName>
      <candidateList>
        <item>（</item>
      </candidateList>
      <explain>文本全半角错误。</explain>
      <paraID>3857221A</paraID>
      <start>79</start>
      <end>80</end>
      <status>modified</status>
      <modifiedWord>（</modifiedWord>
      <trackRevisions>false</trackRevisions>
    </reviewItem>
    <reviewItem>
      <errorID>5e4614f9-1459-4cf1-9337-8738b527da85</errorID>
      <errorWord>）</errorWord>
      <group>L1_Format</group>
      <groupName>格式问题</groupName>
      <ability>L2_HalfPunc</ability>
      <abilityName>全半角检查</abilityName>
      <candidateList>
        <item>)</item>
      </candidateList>
      <explain>文本全半角错误。</explain>
      <paraID>4D7951BD</paraID>
      <start>32</start>
      <end>33</end>
      <status>modified</status>
      <modifiedWord>)</modifiedWord>
      <trackRevisions>false</trackRevisions>
    </reviewItem>
    <reviewItem>
      <errorID>63cdd4ed-90c7-4c4b-ac5c-84c5fb3339b7</errorID>
      <errorWord>）</errorWord>
      <group>L1_Format</group>
      <groupName>格式问题</groupName>
      <ability>L2_HalfPunc</ability>
      <abilityName>全半角检查</abilityName>
      <candidateList>
        <item>)</item>
      </candidateList>
      <explain>文本全半角错误。</explain>
      <paraID>7080D4B9</paraID>
      <start>27</start>
      <end>28</end>
      <status>modified</status>
      <modifiedWord>)</modifiedWord>
      <trackRevisions>false</trackRevisions>
    </reviewItem>
    <reviewItem>
      <errorID>7f5928f0-ab4c-4e72-b8f2-06da89c70b81</errorID>
      <errorWord>）</errorWord>
      <group>L1_Format</group>
      <groupName>格式问题</groupName>
      <ability>L2_HalfPunc</ability>
      <abilityName>全半角检查</abilityName>
      <candidateList>
        <item>)</item>
      </candidateList>
      <explain>文本全半角错误。</explain>
      <paraID>627EE6D4</paraID>
      <start>29</start>
      <end>30</end>
      <status>modified</status>
      <modifiedWord>)</modifiedWord>
      <trackRevisions>false</trackRevisions>
    </reviewItem>
    <reviewItem>
      <errorID>b4d78562-d358-410b-952b-a966185754aa</errorID>
      <errorWord>）</errorWord>
      <group>L1_Format</group>
      <groupName>格式问题</groupName>
      <ability>L2_HalfPunc</ability>
      <abilityName>全半角检查</abilityName>
      <candidateList>
        <item>)</item>
      </candidateList>
      <explain>文本全半角错误。</explain>
      <paraID>189BC970</paraID>
      <start>29</start>
      <end>30</end>
      <status>modified</status>
      <modifiedWord>)</modifiedWord>
      <trackRevisions>false</trackRevisions>
    </reviewItem>
    <reviewItem>
      <errorID>82494970-4eb4-4795-86e2-a7182bc43b12</errorID>
      <errorWord>浸出</errorWord>
      <group>L1_Word</group>
      <groupName>字词问题</groupName>
      <ability>L2_Typo</ability>
      <abilityName>字词错误</abilityName>
      <candidateList>
        <item>检测</item>
      </candidateList>
      <explain/>
      <paraID>238DC915</paraID>
      <start>244</start>
      <end>246</end>
      <status>ignored</status>
      <modifiedWord/>
      <trackRevisions>false</trackRevisions>
    </reviewItem>
    <reviewItem>
      <errorID>a30ce14c-3afb-43b5-9291-9911d3b2079b</errorID>
      <errorWord>砂</errorWord>
      <group>L1_Word</group>
      <groupName>字词问题</groupName>
      <ability>L2_Typo</ability>
      <abilityName>字词错误</abilityName>
      <candidateList>
        <item>沙</item>
      </candidateList>
      <explain>存在发音相同字词的误用。</explain>
      <paraID>19B80784</paraID>
      <start>5</start>
      <end>6</end>
      <status>ignored</status>
      <modifiedWord/>
      <trackRevisions>false</trackRevisions>
    </reviewItem>
    <reviewItem>
      <errorID>84015988-8e72-45af-8bf7-cfc1250fc704</errorID>
      <errorWord>浸出</errorWord>
      <group>L1_Word</group>
      <groupName>字词问题</groupName>
      <ability>L2_Typo</ability>
      <abilityName>字词错误</abilityName>
      <candidateList>
        <item>检测</item>
      </candidateList>
      <explain/>
      <paraID>2CC77EB6</paraID>
      <start>18</start>
      <end>20</end>
      <status>ignored</status>
      <modifiedWord/>
      <trackRevisions>false</trackRevisions>
    </reviewItem>
    <reviewItem>
      <errorID>d1a942b7-c3c6-489f-92a6-ce53e0a8fc89</errorID>
      <errorWord>砂</errorWord>
      <group>L1_Word</group>
      <groupName>字词问题</groupName>
      <ability>L2_Typo</ability>
      <abilityName>字词错误</abilityName>
      <candidateList>
        <item>沙</item>
      </candidateList>
      <explain>存在发音相同字词的误用。</explain>
      <paraID>6D79551F</paraID>
      <start>14</start>
      <end>15</end>
      <status>ignored</status>
      <modifiedWord/>
      <trackRevisions>false</trackRevisions>
    </reviewItem>
    <reviewItem>
      <errorID>7c1738e5-bef5-40c7-b85d-40b93b4688e2</errorID>
      <errorWord>浸出</errorWord>
      <group>L1_Word</group>
      <groupName>字词问题</groupName>
      <ability>L2_Typo</ability>
      <abilityName>字词错误</abilityName>
      <candidateList>
        <item>检出</item>
      </candidateList>
      <explain/>
      <paraID> F6E757F</paraID>
      <start>54</start>
      <end>56</end>
      <status>ignored</status>
      <modifiedWord/>
      <trackRevisions>false</trackRevisions>
    </reviewItem>
    <reviewItem>
      <errorID>1640b524-4fbf-4857-80d2-00109604ba48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79CD35B0</paraID>
      <start>0</start>
      <end>2</end>
      <status>ignored</status>
      <modifiedWord/>
      <trackRevisions>false</trackRevisions>
    </reviewItem>
    <reviewItem>
      <errorID>adb48293-71a1-4b7a-af4d-e6d35f8df662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18588125</paraID>
      <start>46</start>
      <end>47</end>
      <status>ignored</status>
      <modifiedWord/>
      <trackRevisions>false</trackRevisions>
    </reviewItem>
    <reviewItem>
      <errorID>5d46cc84-7725-40b6-95f8-41997c2a891a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18588125</paraID>
      <start>177</start>
      <end>178</end>
      <status>ignored</status>
      <modifiedWord/>
      <trackRevisions>false</trackRevisions>
    </reviewItem>
    <reviewItem>
      <errorID>90ed0c89-b2e9-44df-ae5e-09c335a1a83e</errorID>
      <errorWord>座</errorWord>
      <group>L1_Knowledge</group>
      <groupName>知识性问题</groupName>
      <ability>L2_Knowledge</ability>
      <abilityName>其他知识</abilityName>
      <candidateList>
        <item>口</item>
      </candidateList>
      <explain/>
      <paraID>73044621</paraID>
      <start>153</start>
      <end>154</end>
      <status>ignored</status>
      <modifiedWord/>
      <trackRevisions>false</trackRevisions>
    </reviewItem>
    <reviewItem>
      <errorID>2375c5e2-ce88-41f3-b2af-53125b6eeb1b</errorID>
      <errorWord>、</errorWord>
      <group>L1_Punc</group>
      <groupName>标点问题</groupName>
      <ability>L2_Punc</ability>
      <abilityName>标点符号检查</abilityName>
      <candidateList>
        <item>.</item>
      </candidateList>
      <explain/>
      <paraID> F3F8FBE</paraID>
      <start>1</start>
      <end>2</end>
      <status>ignored</status>
      <modifiedWord/>
      <trackRevisions>false</trackRevisions>
    </reviewItem>
    <reviewItem>
      <errorID>e587c699-d435-4b80-98ba-b8629069a1ca</errorID>
      <errorWord>、</errorWord>
      <group>L1_Punc</group>
      <groupName>标点问题</groupName>
      <ability>L2_Punc</ability>
      <abilityName>标点符号检查</abilityName>
      <candidateList>
        <item>.</item>
      </candidateList>
      <explain/>
      <paraID>71A55C32</paraID>
      <start>1</start>
      <end>2</end>
      <status>ignored</status>
      <modifiedWord/>
      <trackRevisions>false</trackRevisions>
    </reviewItem>
    <reviewItem>
      <errorID>a4ecdfff-fc09-4cee-97c1-6a3d7004ff94</errorID>
      <errorWord>、</errorWord>
      <group>L1_Punc</group>
      <groupName>标点问题</groupName>
      <ability>L2_Punc</ability>
      <abilityName>标点符号检查</abilityName>
      <candidateList>
        <item>.</item>
      </candidateList>
      <explain/>
      <paraID>271E619E</paraID>
      <start>1</start>
      <end>2</end>
      <status>ignored</status>
      <modifiedWord/>
      <trackRevisions>false</trackRevisions>
    </reviewItem>
    <reviewItem>
      <errorID>5cf5c9d1-ab6b-473f-9c7d-6cba07fb0e53</errorID>
      <errorWord>、</errorWord>
      <group>L1_Punc</group>
      <groupName>标点问题</groupName>
      <ability>L2_Punc</ability>
      <abilityName>标点符号检查</abilityName>
      <candidateList>
        <item>.</item>
      </candidateList>
      <explain/>
      <paraID>2AFD16C9</paraID>
      <start>1</start>
      <end>2</end>
      <status>ignored</status>
      <modifiedWord/>
      <trackRevisions>false</trackRevisions>
    </reviewItem>
    <reviewItem>
      <errorID>227a3905-cefc-42d6-a677-3c86b69fdcdf</errorID>
      <errorWord>、</errorWord>
      <group>L1_Punc</group>
      <groupName>标点问题</groupName>
      <ability>L2_Punc</ability>
      <abilityName>标点符号检查</abilityName>
      <candidateList>
        <item>.</item>
      </candidateList>
      <explain/>
      <paraID>746AE89D</paraID>
      <start>1</start>
      <end>2</end>
      <status>ignored</status>
      <modifiedWord/>
      <trackRevisions>false</trackRevisions>
    </reviewItem>
    <reviewItem>
      <errorID>43e12d29-c5ff-4964-987c-d638a6d6f802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6C537596</paraID>
      <start>112</start>
      <end>113</end>
      <status>ignored</status>
      <modifiedWord/>
      <trackRevisions>false</trackRevisions>
    </reviewItem>
    <reviewItem>
      <errorID>6c679fe7-de3d-4678-b711-4b677dd0a5f7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57C9E799</paraID>
      <start>123</start>
      <end>124</end>
      <status>ignored</status>
      <modifiedWord/>
      <trackRevisions>false</trackRevisions>
    </reviewItem>
    <reviewItem>
      <errorID>1c5fbfce-140e-4d1f-9710-c3d4d6fb5257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1F37F66B</paraID>
      <start>0</start>
      <end>2</end>
      <status>ignored</status>
      <modifiedWord/>
      <trackRevisions>false</trackRevisions>
    </reviewItem>
    <reviewItem>
      <errorID>b5086f7d-0754-4052-a7c0-b34c4417768e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7282B1D</paraID>
      <start>0</start>
      <end>2</end>
      <status>ignored</status>
      <modifiedWord/>
      <trackRevisions>false</trackRevisions>
    </reviewItem>
    <reviewItem>
      <errorID>b94b30b5-1f93-4d9b-8fa4-598dfa69164b</errorID>
      <errorWord>、</errorWord>
      <group>L1_Punc</group>
      <groupName>标点问题</groupName>
      <ability>L2_Punc</ability>
      <abilityName>标点符号检查</abilityName>
      <candidateList>
        <item>.</item>
      </candidateList>
      <explain/>
      <paraID>72C305D4</paraID>
      <start>1</start>
      <end>2</end>
      <status>ignored</status>
      <modifiedWord/>
      <trackRevisions>false</trackRevisions>
    </reviewItem>
    <reviewItem>
      <errorID>353a704a-9b5e-4305-97e9-908b5ec91dd5</errorID>
      <errorWord>、</errorWord>
      <group>L1_Punc</group>
      <groupName>标点问题</groupName>
      <ability>L2_Punc</ability>
      <abilityName>标点符号检查</abilityName>
      <candidateList>
        <item>.</item>
      </candidateList>
      <explain/>
      <paraID>43DCFF74</paraID>
      <start>1</start>
      <end>2</end>
      <status>ignored</status>
      <modifiedWord/>
      <trackRevisions>false</trackRevisions>
    </reviewItem>
    <reviewItem>
      <errorID>e1d67dfb-a3b4-437b-8080-5a01f0256736</errorID>
      <errorWord>、</errorWord>
      <group>L1_Punc</group>
      <groupName>标点问题</groupName>
      <ability>L2_Punc</ability>
      <abilityName>标点符号检查</abilityName>
      <candidateList>
        <item>.</item>
      </candidateList>
      <explain/>
      <paraID>3BDD60E0</paraID>
      <start>1</start>
      <end>2</end>
      <status>ignored</status>
      <modifiedWord/>
      <trackRevisions>false</trackRevisions>
    </reviewItem>
    <reviewItem>
      <errorID>9a166ed5-c6a6-40ad-819a-d229680e8140</errorID>
      <errorWord>、</errorWord>
      <group>L1_Punc</group>
      <groupName>标点问题</groupName>
      <ability>L2_Punc</ability>
      <abilityName>标点符号检查</abilityName>
      <candidateList>
        <item>.</item>
      </candidateList>
      <explain/>
      <paraID>328A5E97</paraID>
      <start>1</start>
      <end>2</end>
      <status>ignored</status>
      <modifiedWord/>
      <trackRevisions>false</trackRevisions>
    </reviewItem>
    <reviewItem>
      <errorID>14d8b4d3-8713-4f32-8feb-245a73057d07</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132A6E6A</paraID>
      <start>0</start>
      <end>3</end>
      <status>ignored</status>
      <modifiedWord/>
      <trackRevisions>false</trackRevisions>
    </reviewItem>
    <reviewItem>
      <errorID>4c2c7273-5893-4699-9455-dfb45942a84b</errorID>
      <errorWord>污染处理</errorWord>
      <group>L1_Knowledge</group>
      <groupName>知识性问题</groupName>
      <ability>L2_Term</ability>
      <abilityName>专业术语</abilityName>
      <candidateList>
        <item>污水处理</item>
      </candidateList>
      <explain/>
      <paraID>64CFC1FB</paraID>
      <start>3</start>
      <end>7</end>
      <status>ignored</status>
      <modifiedWord/>
      <trackRevisions>false</trackRevisions>
    </reviewItem>
    <reviewItem>
      <errorID>5ef607f6-9688-4d02-ae4e-2ab891632bac</errorID>
      <errorWord>砂</errorWord>
      <group>L1_Word</group>
      <groupName>字词问题</groupName>
      <ability>L2_Typo</ability>
      <abilityName>字词错误</abilityName>
      <candidateList>
        <item>沙</item>
      </candidateList>
      <explain>存在发音相同字词的误用。</explain>
      <paraID>6F0F7AEA</paraID>
      <start>5</start>
      <end>6</end>
      <status>ignored</status>
      <modifiedWord/>
      <trackRevisions>false</trackRevisions>
    </reviewItem>
    <reviewItem>
      <errorID>9c8e385d-128f-41fc-be52-f1ac09c993a2</errorID>
      <errorWord>〈</errorWord>
      <group>L1_Punc</group>
      <groupName>标点问题</groupName>
      <ability>L2_Punc</ability>
      <abilityName>标点符号检查</abilityName>
      <candidateList/>
      <explain/>
      <paraID>6AD9BE1E</paraID>
      <start>8</start>
      <end>9</end>
      <status>unmodified</status>
      <modifiedWord/>
      <trackRevisions>false</trackRevisions>
    </reviewItem>
    <reviewItem>
      <errorID>93982934-e4da-470f-b664-e316ec550a1f</errorID>
      <errorWord>&gt;的通知》</errorWord>
      <group>L1_Punc</group>
      <groupName>标点问题</groupName>
      <ability>L2_Punc</ability>
      <abilityName>标点符号检查</abilityName>
      <candidateList>
        <item>〉的通知》</item>
      </candidateList>
      <explain/>
      <paraID>6AD9BE1E</paraID>
      <start>33</start>
      <end>38</end>
      <status>unmodified</status>
      <modifiedWord/>
      <trackRevisions>false</trackRevisions>
    </reviewItem>
    <reviewItem>
      <errorID>e1c8ea1c-cdb8-41ae-95b1-7f6a55236672</errorID>
      <errorWord>陕西省实施〈中华人民共和国环境影响评价法&gt;办法</errorWord>
      <group>L1_Knowledge</group>
      <groupName>知识性问题</groupName>
      <ability>L2_Knowledge</ability>
      <abilityName>其他知识</abilityName>
      <candidateList>
        <item>陕西省实施《中华人民共和国环境影响评价法》办法</item>
      </candidateList>
      <explain>当前法律法规未收录或尚未生效，注意核查是否正确。</explain>
      <paraID> 897782C</paraID>
      <start>1</start>
      <end>24</end>
      <status>unmodified</status>
      <modifiedWord/>
      <trackRevisions>false</trackRevisions>
    </reviewItem>
    <reviewItem>
      <errorID>9335002d-2aa2-4b57-8d35-bf2deaa0b1c2</errorID>
      <errorWord>)</errorWord>
      <group>L1_Format</group>
      <groupName>格式问题</groupName>
      <ability>L2_HalfPunc</ability>
      <abilityName>全半角检查</abilityName>
      <candidateList>
        <item>）</item>
      </candidateList>
      <explain>文本全半角错误。</explain>
      <paraID>58C5B8F3</paraID>
      <start>50</start>
      <end>51</end>
      <status>modified</status>
      <modifiedWord>）</modifiedWord>
      <trackRevisions>false</trackRevisions>
    </reviewItem>
    <reviewItem>
      <errorID>ba039704-2aa6-41d7-9d4d-c60a78219c05</errorID>
      <errorWord>(</errorWord>
      <group>L1_Format</group>
      <groupName>格式问题</groupName>
      <ability>L2_HalfPunc</ability>
      <abilityName>全半角检查</abilityName>
      <candidateList>
        <item>（</item>
      </candidateList>
      <explain>文本全半角错误。</explain>
      <paraID>24059F54</paraID>
      <start>52</start>
      <end>53</end>
      <status>modified</status>
      <modifiedWord>（</modifiedWord>
      <trackRevisions>false</trackRevisions>
    </reviewItem>
    <reviewItem>
      <errorID>9fa14c69-4b72-405d-86ce-e0c724fcce49</errorID>
      <errorWord>)</errorWord>
      <group>L1_Format</group>
      <groupName>格式问题</groupName>
      <ability>L2_HalfPunc</ability>
      <abilityName>全半角检查</abilityName>
      <candidateList>
        <item>）</item>
      </candidateList>
      <explain>文本全半角错误。</explain>
      <paraID>24059F54</paraID>
      <start>63</start>
      <end>64</end>
      <status>modified</status>
      <modifiedWord>）</modifiedWord>
      <trackRevisions>false</trackRevisions>
    </reviewItem>
    <reviewItem>
      <errorID>2c79509d-29bf-491e-b1da-27b366b639de</errorID>
      <errorWord>收</errorWord>
      <group>L1_Word</group>
      <groupName>字词问题</groupName>
      <ability>L2_Typo</ability>
      <abilityName>字词错误</abilityName>
      <candidateList>
        <item>受</item>
      </candidateList>
      <explain>存在发音相同字词的误用。</explain>
      <paraID>6C5FA676</paraID>
      <start>130</start>
      <end>131</end>
      <status>ignored</status>
      <modifiedWord/>
      <trackRevisions>false</trackRevisions>
    </reviewItem>
    <reviewItem>
      <errorID>df59ee7e-d94e-45dc-8ea5-826874548351</errorID>
      <errorWord>’</errorWord>
      <group>L1_Punc</group>
      <groupName>标点问题</groupName>
      <ability>L2_Punc</ability>
      <abilityName>标点符号检查</abilityName>
      <candidateList/>
      <explain/>
      <paraID>4D4308BA</paraID>
      <start>39</start>
      <end>40</end>
      <status>ignored</status>
      <modifiedWord/>
      <trackRevisions>false</trackRevisions>
    </reviewItem>
    <reviewItem>
      <errorID>f62febca-0c1f-41f9-aeae-d6428739596a</errorID>
      <errorWord>1   千</errorWord>
      <group>L1_Knowledge</group>
      <groupName>知识性问题</groupName>
      <ability>L2_Knowledge</ability>
      <abilityName>其他知识</abilityName>
      <candidateList>
        <item>1000</item>
      </candidateList>
      <explain/>
      <paraID>65A946F9</paraID>
      <start>3</start>
      <end>8</end>
      <status>ignored</status>
      <modifiedWord/>
      <trackRevisions>false</trackRevisions>
    </reviewItem>
    <reviewItem>
      <errorID>f3003ba9-d2ea-4e92-9e34-5d10081e6e45</errorID>
      <errorWord>2      千</errorWord>
      <group>L1_Knowledge</group>
      <groupName>知识性问题</groupName>
      <ability>L2_Knowledge</ability>
      <abilityName>其他知识</abilityName>
      <candidateList>
        <item>2000</item>
      </candidateList>
      <explain/>
      <paraID>5E87292E</paraID>
      <start>5</start>
      <end>13</end>
      <status>ignored</status>
      <modifiedWord/>
      <trackRevisions>false</trackRevisions>
    </reviewItem>
    <reviewItem>
      <errorID>d4944786-0e35-4f45-91a2-9ac88af3e37c</errorID>
      <errorWord>张家川县</errorWord>
      <group>L1_Knowledge</group>
      <groupName>知识性问题</groupName>
      <ability>L2_Location</ability>
      <abilityName>地名检查</abilityName>
      <candidateList>
        <item>张家川回族自治县</item>
      </candidateList>
      <explain>自治区州县缩写不规范。《地名管理条例》第十八条规定，标识牌、公共平台发布的信息、各类公文证件、学习类公开出版物、地图、法律法规规定等场景范围内必须使用标准地名。</explain>
      <paraID>6284F576</paraID>
      <start>50</start>
      <end>54</end>
      <status>ignored</status>
      <modifiedWord/>
      <trackRevisions>false</trackRevisions>
    </reviewItem>
    <reviewItem>
      <errorID>059053e3-4b56-4a61-bf63-90eb7c3cf0c0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73E9679B</paraID>
      <start>0</start>
      <end>2</end>
      <status>ignored</status>
      <modifiedWord/>
      <trackRevisions>false</trackRevisions>
    </reviewItem>
    <reviewItem>
      <errorID>d29ebfce-5ba5-437c-ae77-85a5c8d7a706</errorID>
      <errorWord>千</errorWord>
      <group>L1_Word</group>
      <groupName>字词问题</groupName>
      <ability>L2_Typo</ability>
      <abilityName>字词错误</abilityName>
      <candidateList>
        <item>干</item>
      </candidateList>
      <explain>存在字形相近字词的误用。</explain>
      <paraID>6B0BE11A</paraID>
      <start>34</start>
      <end>35</end>
      <status>ignored</status>
      <modifiedWord/>
      <trackRevisions>false</trackRevisions>
    </reviewItem>
    <reviewItem>
      <errorID>11bdf03f-897f-4e1a-ae20-95ffabc0536b</errorID>
      <errorWord>收纳</errorWord>
      <group>L1_Word</group>
      <groupName>字词问题</groupName>
      <ability>L2_Typo</ability>
      <abilityName>字词错误</abilityName>
      <candidateList>
        <item>受纳</item>
      </candidateList>
      <explain/>
      <paraID>4FCA14D6</paraID>
      <start>27</start>
      <end>29</end>
      <status>ignored</status>
      <modifiedWord/>
      <trackRevisions>false</trackRevisions>
    </reviewItem>
    <reviewItem>
      <errorID>80cb6776-f557-44ee-9b9e-ca7ef5872bc4</errorID>
      <errorWord>千</errorWord>
      <group>L1_Word</group>
      <groupName>字词问题</groupName>
      <ability>L2_Typo</ability>
      <abilityName>字词错误</abilityName>
      <candidateList>
        <item>干</item>
      </candidateList>
      <explain/>
      <paraID>50D4F05A</paraID>
      <start>378</start>
      <end>379</end>
      <status>ignored</status>
      <modifiedWord/>
      <trackRevisions>false</trackRevisions>
    </reviewItem>
    <reviewItem>
      <errorID>3893bb87-30a1-4a80-9b43-3e9abbf53d27</errorID>
      <errorWord>千河</errorWord>
      <group>L1_Word</group>
      <groupName>字词问题</groupName>
      <ability>L2_Typo</ability>
      <abilityName>字词错误</abilityName>
      <candidateList>
        <item>黄河</item>
      </candidateList>
      <explain/>
      <paraID>1ADEB657</paraID>
      <start>9</start>
      <end>11</end>
      <status>ignored</status>
      <modifiedWord/>
      <trackRevisions>false</trackRevisions>
    </reviewItem>
    <reviewItem>
      <errorID>c9134738-4b34-45e6-bf5c-1d87a826c2f8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17D96137</paraID>
      <start>0</start>
      <end>2</end>
      <status>ignored</status>
      <modifiedWord/>
      <trackRevisions>false</trackRevisions>
    </reviewItem>
    <reviewItem>
      <errorID>f9c42d25-85ed-4165-8bf9-497a1c17d234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160E6A93</paraID>
      <start>0</start>
      <end>2</end>
      <status>ignored</status>
      <modifiedWord/>
      <trackRevisions>false</trackRevisions>
    </reviewItem>
    <reviewItem>
      <errorID>1ff1fcfd-6845-4b98-a131-5d2f00ef2d8b</errorID>
      <errorWord>农业部</errorWord>
      <group>L1_Knowledge</group>
      <groupName>知识性问题</groupName>
      <ability>L2_Knowledge</ability>
      <abilityName>其他知识</abilityName>
      <candidateList>
        <item>农业农村部</item>
      </candidateList>
      <explain/>
      <paraID>6E6FB562</paraID>
      <start>3</start>
      <end>6</end>
      <status>ignored</status>
      <modifiedWord/>
      <trackRevisions>false</trackRevisions>
    </reviewItem>
    <reviewItem>
      <errorID>47249cf1-d20f-41bd-940b-08061063b9f9</errorID>
      <errorWord>’</errorWord>
      <group>L1_Punc</group>
      <groupName>标点问题</groupName>
      <ability>L2_Punc</ability>
      <abilityName>标点符号检查</abilityName>
      <candidateList/>
      <explain/>
      <paraID>6D46D76E</paraID>
      <start>20</start>
      <end>21</end>
      <status>ignored</status>
      <modifiedWord/>
      <trackRevisions>false</trackRevisions>
    </reviewItem>
    <reviewItem>
      <errorID>dbc15d43-b6e7-4e67-9cd1-46c5cdd2ba99</errorID>
      <errorWord>年</errorWord>
      <group>L1_Word</group>
      <groupName>字词问题</groupName>
      <ability>L2_Typo</ability>
      <abilityName>字词错误</abilityName>
      <candidateList>
        <item>年度</item>
      </candidateList>
      <explain/>
      <paraID>2DBCDCF6</paraID>
      <start>2</start>
      <end>3</end>
      <status>ignored</status>
      <modifiedWord/>
      <trackRevisions>false</trackRevisions>
    </reviewItem>
    <reviewItem>
      <errorID>5b8c7545-1c60-4c75-8917-e4a6869aceee</errorID>
      <errorWord>上线</errorWord>
      <group>L1_Word</group>
      <groupName>字词问题</groupName>
      <ability>L2_Typo</ability>
      <abilityName>字词错误</abilityName>
      <candidateList>
        <item>上限</item>
      </candidateList>
      <explain/>
      <paraID>499D0F54</paraID>
      <start>134</start>
      <end>136</end>
      <status>ignored</status>
      <modifiedWord/>
      <trackRevisions>false</trackRevisions>
    </reviewItem>
    <reviewItem>
      <errorID>80677755-5ab0-468e-b884-e426502cc0a8</errorID>
      <errorWord>小1.5倍</errorWord>
      <group>L1_Knowledge</group>
      <groupName>知识性问题</groupName>
      <ability>L2_Knowledge</ability>
      <abilityName>其他知识</abilityName>
      <candidateList/>
      <explain>表达减少时不使用“倍”。</explain>
      <paraID>68EF88E0</paraID>
      <start>41</start>
      <end>46</end>
      <status>ignored</status>
      <modifiedWord/>
      <trackRevisions>false</trackRevisions>
    </reviewItem>
    <reviewItem>
      <errorID>0adf226d-3e61-4cfa-a060-daf511d3ff83</errorID>
      <errorWord>在线检测</errorWord>
      <group>L1_Word</group>
      <groupName>字词问题</groupName>
      <ability>L2_Typo</ability>
      <abilityName>字词错误</abilityName>
      <candidateList>
        <item>在线监测</item>
      </candidateList>
      <explain/>
      <paraID>7991513D</paraID>
      <start>19</start>
      <end>23</end>
      <status>ignored</status>
      <modifiedWord/>
      <trackRevisions>false</trackRevisions>
    </reviewItem>
    <reviewItem>
      <errorID>2a04088a-231a-4a97-bb3c-52e487b199cd</errorID>
      <errorWord>千河南岸</errorWord>
      <group>L1_Word</group>
      <groupName>字词问题</groupName>
      <ability>L2_Typo</ability>
      <abilityName>字词错误</abilityName>
      <candidateList>
        <item>干河南岸</item>
      </candidateList>
      <explain/>
      <paraID>2DC6F045</paraID>
      <start>10</start>
      <end>14</end>
      <status>ignored</status>
      <modifiedWord/>
      <trackRevisions>false</trackRevisions>
    </reviewItem>
    <reviewItem>
      <errorID>e70dd60c-e404-4098-96a1-b3e3fc4d2aef</errorID>
      <errorWord>出口水质</errorWord>
      <group>L1_Knowledge</group>
      <groupName>知识性问题</groupName>
      <ability>L2_Term</ability>
      <abilityName>专业术语</abilityName>
      <candidateList>
        <item>出水水质</item>
      </candidateList>
      <explain/>
      <paraID>389F645D</paraID>
      <start>45</start>
      <end>49</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b6b9bb9-3e4d-4e0d-aed2-87da8aa4ef2a}">
  <ds:schemaRefs/>
</ds:datastoreItem>
</file>

<file path=docProps/app.xml><?xml version="1.0" encoding="utf-8"?>
<Properties xmlns="http://schemas.openxmlformats.org/officeDocument/2006/extended-properties" xmlns:vt="http://schemas.openxmlformats.org/officeDocument/2006/docPropsVTypes">
  <Template>Normal.dotm</Template>
  <Pages>107</Pages>
  <Words>13776</Words>
  <Characters>15492</Characters>
  <Lines>0</Lines>
  <Paragraphs>0</Paragraphs>
  <TotalTime>2</TotalTime>
  <ScaleCrop>false</ScaleCrop>
  <LinksUpToDate>false</LinksUpToDate>
  <CharactersWithSpaces>15617</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2021-01-04T06:13:00Z</dcterms:created>
  <dc:creator>……</dc:creator>
  <cp:lastModifiedBy>Huge.   Force</cp:lastModifiedBy>
  <cp:lastPrinted>2021-04-19T08:52:00Z</cp:lastPrinted>
  <dcterms:modified xsi:type="dcterms:W3CDTF">2025-12-29T02:46:48Z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2011A86E0D0A4DBAA037E72F3270C2C0_13</vt:lpwstr>
  </property>
  <property fmtid="{D5CDD505-2E9C-101B-9397-08002B2CF9AE}" pid="4" name="KSOTemplateDocerSaveRecord">
    <vt:lpwstr>eyJoZGlkIjoiOTQ5ZThkYzQxODVjOWQ4MWE5ODBkZGUxMmVkZmFhYWQiLCJ1c2VySWQiOiIyNTk5MjkwNjUifQ==</vt:lpwstr>
  </property>
</Properties>
</file>