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F433">
      <w:pPr>
        <w:spacing w:line="360" w:lineRule="auto"/>
        <w:jc w:val="center"/>
        <w:outlineLvl w:val="0"/>
        <w:rPr>
          <w:rFonts w:ascii="黑体" w:hAnsi="黑体" w:eastAsia="黑体" w:cs="仿宋_GB2312"/>
          <w:color w:val="auto"/>
          <w:sz w:val="32"/>
          <w:szCs w:val="36"/>
        </w:rPr>
      </w:pPr>
    </w:p>
    <w:p w14:paraId="203D19F0">
      <w:pPr>
        <w:spacing w:line="360" w:lineRule="auto"/>
        <w:jc w:val="center"/>
        <w:outlineLvl w:val="0"/>
        <w:rPr>
          <w:rFonts w:ascii="黑体" w:hAnsi="黑体" w:eastAsia="黑体" w:cs="仿宋_GB2312"/>
          <w:color w:val="auto"/>
          <w:sz w:val="32"/>
          <w:szCs w:val="36"/>
        </w:rPr>
      </w:pPr>
    </w:p>
    <w:p w14:paraId="78260C5D">
      <w:pPr>
        <w:spacing w:line="360" w:lineRule="auto"/>
        <w:jc w:val="center"/>
        <w:outlineLvl w:val="0"/>
        <w:rPr>
          <w:rFonts w:hint="eastAsia" w:ascii="黑体" w:hAnsi="黑体" w:eastAsia="黑体" w:cs="仿宋_GB2312"/>
          <w:color w:val="auto"/>
          <w:sz w:val="32"/>
          <w:szCs w:val="36"/>
        </w:rPr>
      </w:pPr>
    </w:p>
    <w:p w14:paraId="6C562CB4">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1A873505">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289DFCFB">
      <w:pPr>
        <w:adjustRightInd w:val="0"/>
        <w:snapToGrid w:val="0"/>
        <w:spacing w:line="288" w:lineRule="auto"/>
        <w:jc w:val="center"/>
        <w:outlineLvl w:val="0"/>
        <w:rPr>
          <w:rFonts w:ascii="华文仿宋" w:hAnsi="华文仿宋" w:eastAsia="华文仿宋" w:cs="华文仿宋"/>
          <w:color w:val="auto"/>
          <w:kern w:val="44"/>
          <w:sz w:val="44"/>
          <w:szCs w:val="44"/>
        </w:rPr>
      </w:pPr>
    </w:p>
    <w:p w14:paraId="19C4D0C4">
      <w:pPr>
        <w:jc w:val="center"/>
        <w:rPr>
          <w:rFonts w:eastAsia="仿宋"/>
          <w:b/>
          <w:color w:val="auto"/>
          <w:sz w:val="52"/>
          <w:szCs w:val="52"/>
        </w:rPr>
      </w:pPr>
    </w:p>
    <w:p w14:paraId="60F7FA4B">
      <w:pPr>
        <w:spacing w:line="360" w:lineRule="auto"/>
        <w:jc w:val="center"/>
        <w:outlineLvl w:val="0"/>
        <w:rPr>
          <w:rFonts w:ascii="黑体" w:hAnsi="黑体" w:eastAsia="黑体"/>
          <w:color w:val="auto"/>
          <w:sz w:val="32"/>
          <w:szCs w:val="44"/>
        </w:rPr>
      </w:pPr>
    </w:p>
    <w:p w14:paraId="689B5D38">
      <w:pPr>
        <w:spacing w:line="360" w:lineRule="auto"/>
        <w:jc w:val="center"/>
        <w:outlineLvl w:val="0"/>
        <w:rPr>
          <w:rFonts w:ascii="黑体" w:hAnsi="黑体" w:eastAsia="黑体"/>
          <w:color w:val="auto"/>
          <w:sz w:val="32"/>
          <w:szCs w:val="44"/>
        </w:rPr>
      </w:pPr>
    </w:p>
    <w:p w14:paraId="78791A73">
      <w:pPr>
        <w:spacing w:line="360" w:lineRule="auto"/>
        <w:jc w:val="center"/>
        <w:outlineLvl w:val="0"/>
        <w:rPr>
          <w:rFonts w:hint="eastAsia" w:ascii="黑体" w:hAnsi="黑体" w:eastAsia="黑体"/>
          <w:color w:val="auto"/>
          <w:sz w:val="32"/>
          <w:szCs w:val="44"/>
        </w:rPr>
      </w:pPr>
    </w:p>
    <w:p w14:paraId="56D14118">
      <w:pPr>
        <w:spacing w:line="360" w:lineRule="auto"/>
        <w:jc w:val="center"/>
        <w:outlineLvl w:val="0"/>
        <w:rPr>
          <w:rFonts w:hint="eastAsia" w:ascii="黑体" w:hAnsi="黑体" w:eastAsia="黑体"/>
          <w:color w:val="auto"/>
          <w:sz w:val="32"/>
          <w:szCs w:val="44"/>
        </w:rPr>
      </w:pPr>
    </w:p>
    <w:p w14:paraId="72AB04FD">
      <w:pPr>
        <w:tabs>
          <w:tab w:val="left" w:pos="4915"/>
        </w:tabs>
        <w:spacing w:before="0" w:line="290" w:lineRule="auto"/>
        <w:ind w:left="235" w:right="271" w:firstLine="4"/>
        <w:jc w:val="both"/>
        <w:rPr>
          <w:rFonts w:hint="default" w:ascii="仿宋_GB2312" w:eastAsia="仿宋_GB2312"/>
          <w:color w:val="auto"/>
          <w:w w:val="95"/>
          <w:sz w:val="36"/>
          <w:u w:val="single"/>
          <w:lang w:val="en-US" w:eastAsia="zh-CN"/>
        </w:rPr>
      </w:pPr>
      <w:bookmarkStart w:id="0" w:name="_Hlk57884087"/>
      <w:r>
        <w:rPr>
          <w:color w:val="auto"/>
        </w:rPr>
        <mc:AlternateContent>
          <mc:Choice Requires="wps">
            <w:drawing>
              <wp:anchor distT="0" distB="0" distL="114300" distR="114300" simplePos="0" relativeHeight="251659264" behindDoc="1" locked="0" layoutInCell="1" allowOverlap="1">
                <wp:simplePos x="0" y="0"/>
                <wp:positionH relativeFrom="page">
                  <wp:posOffset>2042160</wp:posOffset>
                </wp:positionH>
                <wp:positionV relativeFrom="paragraph">
                  <wp:posOffset>968375</wp:posOffset>
                </wp:positionV>
                <wp:extent cx="4617085" cy="0"/>
                <wp:effectExtent l="0" t="0" r="0" b="0"/>
                <wp:wrapNone/>
                <wp:docPr id="1" name="直线 2"/>
                <wp:cNvGraphicFramePr/>
                <a:graphic xmlns:a="http://schemas.openxmlformats.org/drawingml/2006/main">
                  <a:graphicData uri="http://schemas.microsoft.com/office/word/2010/wordprocessingShape">
                    <wps:wsp>
                      <wps:cNvCnPr/>
                      <wps:spPr>
                        <a:xfrm>
                          <a:off x="0" y="0"/>
                          <a:ext cx="461708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60.8pt;margin-top:76.25pt;height:0pt;width:363.55pt;mso-position-horizontal-relative:page;z-index:-251657216;mso-width-relative:page;mso-height-relative:page;" filled="f" stroked="t" coordsize="21600,21600" o:gfxdata="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Bm&#10;a9LaAAAADAEAAA8AAAAAAAAAAQAgAAAAIgAAAGRycy9kb3ducmV2LnhtbFBLAQIUABQAAAAIAIdO&#10;4kDZV3t46AEAANwDAAAOAAAAAAAAAAEAIAAAACkBAABkcnMvZTJvRG9jLnhtbFBLBQYAAAAABgAG&#10;AFkBAACDBQAAAAA=&#10;">
                <v:fill on="f" focussize="0,0"/>
                <v:stroke weight="0.84pt" color="#000000" joinstyle="round"/>
                <v:imagedata o:title=""/>
                <o:lock v:ext="edit" aspectratio="f"/>
              </v:line>
            </w:pict>
          </mc:Fallback>
        </mc:AlternateContent>
      </w:r>
      <w:r>
        <w:rPr>
          <w:rFonts w:hint="eastAsia" w:ascii="仿宋_GB2312" w:eastAsia="仿宋_GB2312"/>
          <w:color w:val="auto"/>
          <w:w w:val="95"/>
          <w:sz w:val="36"/>
        </w:rPr>
        <w:t>项目名称</w:t>
      </w:r>
      <w:r>
        <w:rPr>
          <w:rFonts w:hint="eastAsia" w:ascii="仿宋_GB2312" w:eastAsia="仿宋_GB2312"/>
          <w:color w:val="auto"/>
          <w:spacing w:val="-48"/>
          <w:w w:val="95"/>
          <w:sz w:val="36"/>
        </w:rPr>
        <w:t>：</w:t>
      </w:r>
      <w:r>
        <w:rPr>
          <w:rFonts w:hint="eastAsia" w:ascii="仿宋_GB2312" w:eastAsia="仿宋_GB2312"/>
          <w:color w:val="auto"/>
          <w:w w:val="95"/>
          <w:sz w:val="36"/>
          <w:u w:val="single"/>
          <w:lang w:val="en-US" w:eastAsia="zh-CN"/>
        </w:rPr>
        <w:t xml:space="preserve">          陇县第一污水处理厂供热站项目               </w:t>
      </w:r>
    </w:p>
    <w:p w14:paraId="325AE36F">
      <w:pPr>
        <w:tabs>
          <w:tab w:val="left" w:pos="4915"/>
        </w:tabs>
        <w:spacing w:before="0" w:line="290" w:lineRule="auto"/>
        <w:ind w:left="235" w:right="271" w:firstLine="4"/>
        <w:jc w:val="both"/>
        <w:rPr>
          <w:rFonts w:hint="default" w:ascii="仿宋_GB2312" w:eastAsia="仿宋_GB2312"/>
          <w:color w:val="auto"/>
          <w:sz w:val="36"/>
          <w:u w:val="single"/>
          <w:lang w:val="en-US" w:eastAsia="zh-CN"/>
        </w:rPr>
      </w:pPr>
      <w:r>
        <w:rPr>
          <w:rFonts w:hint="eastAsia" w:ascii="仿宋_GB2312" w:eastAsia="仿宋_GB2312"/>
          <w:color w:val="auto"/>
          <w:sz w:val="36"/>
        </w:rPr>
        <w:t>建设单位（盖章）：</w:t>
      </w:r>
      <w:r>
        <w:rPr>
          <w:rFonts w:hint="eastAsia" w:ascii="仿宋_GB2312" w:eastAsia="仿宋_GB2312"/>
          <w:color w:val="auto"/>
          <w:sz w:val="36"/>
          <w:u w:val="single"/>
          <w:lang w:val="en-US" w:eastAsia="zh-CN"/>
        </w:rPr>
        <w:t xml:space="preserve">      陇县城区热力有限公司          </w:t>
      </w:r>
    </w:p>
    <w:p w14:paraId="5BB03597">
      <w:pPr>
        <w:tabs>
          <w:tab w:val="right" w:pos="9399"/>
        </w:tabs>
        <w:spacing w:before="0" w:line="290" w:lineRule="auto"/>
        <w:ind w:left="235" w:right="271" w:firstLine="4"/>
        <w:jc w:val="both"/>
        <w:rPr>
          <w:rFonts w:hint="eastAsia" w:ascii="仿宋_GB2312" w:eastAsia="仿宋_GB2312"/>
          <w:color w:val="auto"/>
          <w:sz w:val="36"/>
          <w:lang w:val="en-US" w:eastAsia="zh-CN"/>
        </w:rPr>
      </w:pPr>
      <w:r>
        <w:rPr>
          <w:rFonts w:hint="eastAsia" w:ascii="仿宋_GB2312" w:eastAsia="仿宋_GB2312"/>
          <w:color w:val="auto"/>
          <w:sz w:val="36"/>
        </w:rPr>
        <w:t>编制日期：</w:t>
      </w:r>
      <w:r>
        <w:rPr>
          <w:rFonts w:hint="eastAsia" w:ascii="Times New Roman" w:eastAsia="宋体"/>
          <w:color w:val="auto"/>
          <w:spacing w:val="0"/>
          <w:sz w:val="36"/>
          <w:lang w:val="en-US" w:eastAsia="zh-CN"/>
        </w:rPr>
        <w:t xml:space="preserve">                </w:t>
      </w:r>
      <w:r>
        <w:rPr>
          <w:rFonts w:ascii="Times New Roman" w:eastAsia="Times New Roman"/>
          <w:color w:val="auto"/>
          <w:spacing w:val="0"/>
          <w:sz w:val="36"/>
        </w:rPr>
        <w:t>202</w:t>
      </w:r>
      <w:r>
        <w:rPr>
          <w:rFonts w:hint="eastAsia" w:ascii="Times New Roman" w:eastAsia="宋体"/>
          <w:color w:val="auto"/>
          <w:spacing w:val="0"/>
          <w:sz w:val="36"/>
          <w:lang w:val="en-US" w:eastAsia="zh-CN"/>
        </w:rPr>
        <w:t>5</w:t>
      </w:r>
      <w:r>
        <w:rPr>
          <w:rFonts w:hint="eastAsia" w:ascii="仿宋_GB2312" w:eastAsia="仿宋_GB2312"/>
          <w:color w:val="auto"/>
          <w:spacing w:val="0"/>
          <w:sz w:val="36"/>
        </w:rPr>
        <w:t>年</w:t>
      </w:r>
      <w:r>
        <w:rPr>
          <w:rFonts w:hint="eastAsia" w:ascii="Times New Roman" w:hAnsi="Times New Roman" w:eastAsia="Times New Roman" w:cs="Times New Roman"/>
          <w:color w:val="000000"/>
          <w:spacing w:val="0"/>
          <w:sz w:val="36"/>
          <w:lang w:val="en-US" w:eastAsia="zh-CN"/>
        </w:rPr>
        <w:t>9</w:t>
      </w:r>
      <w:r>
        <w:rPr>
          <w:rFonts w:hint="eastAsia" w:ascii="仿宋_GB2312" w:eastAsia="仿宋_GB2312"/>
          <w:color w:val="auto"/>
          <w:spacing w:val="0"/>
          <w:sz w:val="36"/>
        </w:rPr>
        <w:t>月</w:t>
      </w:r>
    </w:p>
    <w:p w14:paraId="05FB32B5">
      <w:pPr>
        <w:adjustRightInd w:val="0"/>
        <w:snapToGrid w:val="0"/>
        <w:spacing w:line="288" w:lineRule="auto"/>
        <w:ind w:firstLine="1040"/>
        <w:rPr>
          <w:rFonts w:ascii="仿宋_GB2312" w:eastAsia="仿宋_GB2312"/>
          <w:color w:val="auto"/>
          <w:sz w:val="36"/>
          <w:szCs w:val="36"/>
        </w:rPr>
      </w:pPr>
    </w:p>
    <w:p w14:paraId="6CA4BEEC">
      <w:pPr>
        <w:adjustRightInd w:val="0"/>
        <w:snapToGrid w:val="0"/>
        <w:spacing w:line="288" w:lineRule="auto"/>
        <w:ind w:firstLine="1040"/>
        <w:rPr>
          <w:rFonts w:ascii="仿宋_GB2312" w:eastAsia="仿宋_GB2312"/>
          <w:color w:val="auto"/>
          <w:sz w:val="36"/>
          <w:szCs w:val="36"/>
        </w:rPr>
      </w:pPr>
    </w:p>
    <w:p w14:paraId="5347FDD3">
      <w:pPr>
        <w:adjustRightInd w:val="0"/>
        <w:snapToGrid w:val="0"/>
        <w:spacing w:line="288" w:lineRule="auto"/>
        <w:ind w:firstLine="1040"/>
        <w:rPr>
          <w:rFonts w:ascii="仿宋_GB2312" w:eastAsia="仿宋_GB2312"/>
          <w:color w:val="auto"/>
          <w:sz w:val="36"/>
          <w:szCs w:val="36"/>
        </w:rPr>
      </w:pPr>
    </w:p>
    <w:p w14:paraId="07FE8856">
      <w:pPr>
        <w:adjustRightInd w:val="0"/>
        <w:snapToGrid w:val="0"/>
        <w:spacing w:line="288" w:lineRule="auto"/>
        <w:ind w:firstLine="1040"/>
        <w:rPr>
          <w:rFonts w:hint="eastAsia" w:ascii="仿宋_GB2312" w:eastAsia="仿宋_GB2312"/>
          <w:color w:val="auto"/>
          <w:sz w:val="36"/>
          <w:szCs w:val="36"/>
        </w:rPr>
      </w:pPr>
    </w:p>
    <w:p w14:paraId="25B377CE">
      <w:pPr>
        <w:adjustRightInd w:val="0"/>
        <w:snapToGrid w:val="0"/>
        <w:spacing w:line="288" w:lineRule="auto"/>
        <w:ind w:firstLine="1040"/>
        <w:rPr>
          <w:rFonts w:hint="eastAsia" w:ascii="仿宋_GB2312" w:eastAsia="仿宋_GB2312"/>
          <w:color w:val="auto"/>
          <w:sz w:val="36"/>
          <w:szCs w:val="36"/>
        </w:rPr>
      </w:pPr>
    </w:p>
    <w:bookmarkEnd w:id="0"/>
    <w:p w14:paraId="67E19183">
      <w:pPr>
        <w:adjustRightInd w:val="0"/>
        <w:snapToGrid w:val="0"/>
        <w:spacing w:line="288" w:lineRule="auto"/>
        <w:jc w:val="center"/>
        <w:rPr>
          <w:rFonts w:hint="eastAsia" w:ascii="楷体_GB2312" w:eastAsia="楷体_GB2312"/>
          <w:color w:val="auto"/>
          <w:sz w:val="36"/>
          <w:szCs w:val="36"/>
        </w:rPr>
        <w:sectPr>
          <w:footerReference r:id="rId3" w:type="default"/>
          <w:pgSz w:w="11906" w:h="16838"/>
          <w:pgMar w:top="1134" w:right="1134" w:bottom="1134" w:left="1134" w:header="851" w:footer="1077" w:gutter="0"/>
          <w:pgBorders>
            <w:top w:val="none" w:sz="0" w:space="0"/>
            <w:left w:val="none" w:sz="0" w:space="0"/>
            <w:bottom w:val="none" w:sz="0" w:space="0"/>
            <w:right w:val="none" w:sz="0" w:space="0"/>
          </w:pgBorders>
          <w:cols w:space="720" w:num="1"/>
          <w:docGrid w:linePitch="312" w:charSpace="0"/>
        </w:sectPr>
      </w:pPr>
      <w:r>
        <w:rPr>
          <w:rFonts w:hint="eastAsia" w:ascii="楷体_GB2312" w:eastAsia="楷体_GB2312"/>
          <w:color w:val="auto"/>
          <w:sz w:val="36"/>
          <w:szCs w:val="36"/>
        </w:rPr>
        <w:t>中华人民共和国生态环境部制</w:t>
      </w:r>
    </w:p>
    <w:p w14:paraId="4EA5F9C1">
      <w:pPr>
        <w:pStyle w:val="35"/>
        <w:rPr>
          <w:rFonts w:hint="eastAsia"/>
          <w:color w:val="auto"/>
        </w:rPr>
        <w:sectPr>
          <w:footerReference r:id="rId4" w:type="default"/>
          <w:pgSz w:w="11906" w:h="16838"/>
          <w:pgMar w:top="1134" w:right="1134" w:bottom="1134" w:left="1134" w:header="851" w:footer="1077" w:gutter="0"/>
          <w:pgBorders>
            <w:top w:val="none" w:sz="0" w:space="0"/>
            <w:left w:val="none" w:sz="0" w:space="0"/>
            <w:bottom w:val="none" w:sz="0" w:space="0"/>
            <w:right w:val="none" w:sz="0" w:space="0"/>
          </w:pgBorders>
          <w:pgNumType w:start="1"/>
          <w:cols w:space="720" w:num="1"/>
          <w:docGrid w:linePitch="312" w:charSpace="0"/>
        </w:sectPr>
      </w:pPr>
    </w:p>
    <w:p w14:paraId="7A92ACC6">
      <w:pPr>
        <w:pStyle w:val="16"/>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0"/>
        <w:gridCol w:w="1283"/>
        <w:gridCol w:w="2276"/>
        <w:gridCol w:w="277"/>
        <w:gridCol w:w="1935"/>
        <w:gridCol w:w="2639"/>
      </w:tblGrid>
      <w:tr w14:paraId="162AF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743" w:type="dxa"/>
            <w:gridSpan w:val="2"/>
            <w:noWrap w:val="0"/>
            <w:tcMar>
              <w:top w:w="16" w:type="dxa"/>
              <w:left w:w="16" w:type="dxa"/>
              <w:right w:w="16" w:type="dxa"/>
            </w:tcMar>
            <w:vAlign w:val="center"/>
          </w:tcPr>
          <w:p w14:paraId="68173C1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建设项目名称</w:t>
            </w:r>
          </w:p>
        </w:tc>
        <w:tc>
          <w:tcPr>
            <w:tcW w:w="7127" w:type="dxa"/>
            <w:gridSpan w:val="4"/>
            <w:noWrap w:val="0"/>
            <w:vAlign w:val="center"/>
          </w:tcPr>
          <w:p w14:paraId="7242CAD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rPr>
              <w:t>陇县第一污水处理厂供热站项目</w:t>
            </w:r>
          </w:p>
        </w:tc>
      </w:tr>
      <w:tr w14:paraId="121B4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1743" w:type="dxa"/>
            <w:gridSpan w:val="2"/>
            <w:noWrap w:val="0"/>
            <w:tcMar>
              <w:top w:w="16" w:type="dxa"/>
              <w:left w:w="16" w:type="dxa"/>
              <w:right w:w="16" w:type="dxa"/>
            </w:tcMar>
            <w:vAlign w:val="center"/>
          </w:tcPr>
          <w:p w14:paraId="53A265F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项目代码</w:t>
            </w:r>
          </w:p>
        </w:tc>
        <w:tc>
          <w:tcPr>
            <w:tcW w:w="7127" w:type="dxa"/>
            <w:gridSpan w:val="4"/>
            <w:noWrap w:val="0"/>
            <w:vAlign w:val="center"/>
          </w:tcPr>
          <w:p w14:paraId="114D9C9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2507-610327-04-01-900359</w:t>
            </w:r>
          </w:p>
        </w:tc>
      </w:tr>
      <w:tr w14:paraId="5CD3F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743" w:type="dxa"/>
            <w:gridSpan w:val="2"/>
            <w:noWrap w:val="0"/>
            <w:tcMar>
              <w:top w:w="16" w:type="dxa"/>
              <w:left w:w="16" w:type="dxa"/>
              <w:right w:w="16" w:type="dxa"/>
            </w:tcMar>
            <w:vAlign w:val="center"/>
          </w:tcPr>
          <w:p w14:paraId="01C5BC4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建设单位联系人</w:t>
            </w:r>
          </w:p>
        </w:tc>
        <w:tc>
          <w:tcPr>
            <w:tcW w:w="2276" w:type="dxa"/>
            <w:noWrap w:val="0"/>
            <w:vAlign w:val="center"/>
          </w:tcPr>
          <w:p w14:paraId="7C007FF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李耽</w:t>
            </w:r>
          </w:p>
        </w:tc>
        <w:tc>
          <w:tcPr>
            <w:tcW w:w="2212" w:type="dxa"/>
            <w:gridSpan w:val="2"/>
            <w:noWrap w:val="0"/>
            <w:vAlign w:val="center"/>
          </w:tcPr>
          <w:p w14:paraId="781DD2D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联系方式</w:t>
            </w:r>
          </w:p>
        </w:tc>
        <w:tc>
          <w:tcPr>
            <w:tcW w:w="2639" w:type="dxa"/>
            <w:noWrap w:val="0"/>
            <w:vAlign w:val="center"/>
          </w:tcPr>
          <w:p w14:paraId="1445F09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17789281080</w:t>
            </w:r>
          </w:p>
        </w:tc>
      </w:tr>
      <w:tr w14:paraId="3C1EB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3" w:type="dxa"/>
            <w:gridSpan w:val="2"/>
            <w:noWrap w:val="0"/>
            <w:tcMar>
              <w:top w:w="16" w:type="dxa"/>
              <w:left w:w="16" w:type="dxa"/>
              <w:right w:w="16" w:type="dxa"/>
            </w:tcMar>
            <w:vAlign w:val="center"/>
          </w:tcPr>
          <w:p w14:paraId="19D10AA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建设地点</w:t>
            </w:r>
          </w:p>
        </w:tc>
        <w:tc>
          <w:tcPr>
            <w:tcW w:w="7127" w:type="dxa"/>
            <w:gridSpan w:val="4"/>
            <w:noWrap w:val="0"/>
            <w:vAlign w:val="center"/>
          </w:tcPr>
          <w:p w14:paraId="1891A7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lang w:val="en-US" w:eastAsia="zh-CN"/>
              </w:rPr>
              <w:t>陕西省宝鸡市</w:t>
            </w:r>
            <w:r>
              <w:rPr>
                <w:rFonts w:hint="eastAsia"/>
              </w:rPr>
              <w:t>陇县东关村老宝平路东南侧</w:t>
            </w:r>
          </w:p>
        </w:tc>
      </w:tr>
      <w:tr w14:paraId="37843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3" w:type="dxa"/>
            <w:gridSpan w:val="2"/>
            <w:noWrap w:val="0"/>
            <w:tcMar>
              <w:top w:w="16" w:type="dxa"/>
              <w:left w:w="16" w:type="dxa"/>
              <w:right w:w="16" w:type="dxa"/>
            </w:tcMar>
            <w:vAlign w:val="center"/>
          </w:tcPr>
          <w:p w14:paraId="53D8CFA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地理坐标</w:t>
            </w:r>
          </w:p>
        </w:tc>
        <w:tc>
          <w:tcPr>
            <w:tcW w:w="7127" w:type="dxa"/>
            <w:gridSpan w:val="4"/>
            <w:noWrap w:val="0"/>
            <w:vAlign w:val="center"/>
          </w:tcPr>
          <w:p w14:paraId="47AFB4F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FF0000"/>
                <w:sz w:val="21"/>
                <w:szCs w:val="21"/>
              </w:rPr>
            </w:pPr>
            <w:r>
              <w:rPr>
                <w:rFonts w:hint="eastAsia" w:ascii="Times New Roman" w:hAnsi="Times New Roman" w:cs="宋体"/>
                <w:color w:val="auto"/>
                <w:szCs w:val="21"/>
                <w:u w:val="single"/>
                <w:lang w:val="en-US" w:eastAsia="zh-CN"/>
              </w:rPr>
              <w:t>106</w:t>
            </w:r>
            <w:r>
              <w:rPr>
                <w:rFonts w:hint="eastAsia" w:ascii="Times New Roman" w:hAnsi="Times New Roman" w:cs="宋体"/>
                <w:color w:val="auto"/>
                <w:szCs w:val="21"/>
              </w:rPr>
              <w:t>度</w:t>
            </w:r>
            <w:r>
              <w:rPr>
                <w:rFonts w:hint="eastAsia" w:ascii="Times New Roman" w:hAnsi="Times New Roman" w:cs="宋体"/>
                <w:color w:val="auto"/>
                <w:szCs w:val="21"/>
                <w:u w:val="single"/>
                <w:lang w:val="en-US" w:eastAsia="zh-CN"/>
              </w:rPr>
              <w:t>52</w:t>
            </w:r>
            <w:r>
              <w:rPr>
                <w:rFonts w:hint="eastAsia" w:ascii="Times New Roman" w:hAnsi="Times New Roman" w:cs="宋体"/>
                <w:color w:val="auto"/>
                <w:szCs w:val="21"/>
              </w:rPr>
              <w:t>分</w:t>
            </w:r>
            <w:r>
              <w:rPr>
                <w:rFonts w:hint="eastAsia" w:ascii="Times New Roman" w:hAnsi="Times New Roman" w:cs="宋体"/>
                <w:color w:val="auto"/>
                <w:szCs w:val="21"/>
                <w:u w:val="single"/>
                <w:lang w:val="en-US" w:eastAsia="zh-CN"/>
              </w:rPr>
              <w:t>7.905</w:t>
            </w:r>
            <w:r>
              <w:rPr>
                <w:rFonts w:hint="eastAsia" w:ascii="Times New Roman" w:hAnsi="Times New Roman" w:cs="宋体"/>
                <w:color w:val="auto"/>
                <w:szCs w:val="21"/>
              </w:rPr>
              <w:t>秒，</w:t>
            </w:r>
            <w:r>
              <w:rPr>
                <w:rFonts w:hint="eastAsia" w:ascii="Times New Roman" w:hAnsi="Times New Roman" w:cs="宋体"/>
                <w:color w:val="auto"/>
                <w:szCs w:val="21"/>
                <w:u w:val="single"/>
                <w:lang w:val="en-US" w:eastAsia="zh-CN"/>
              </w:rPr>
              <w:t>34</w:t>
            </w:r>
            <w:r>
              <w:rPr>
                <w:rFonts w:hint="eastAsia" w:ascii="Times New Roman" w:hAnsi="Times New Roman" w:cs="宋体"/>
                <w:color w:val="auto"/>
                <w:szCs w:val="21"/>
              </w:rPr>
              <w:t>度</w:t>
            </w:r>
            <w:r>
              <w:rPr>
                <w:rFonts w:hint="eastAsia" w:ascii="Times New Roman" w:hAnsi="Times New Roman" w:cs="宋体"/>
                <w:color w:val="auto"/>
                <w:szCs w:val="21"/>
                <w:u w:val="single"/>
                <w:lang w:val="en-US" w:eastAsia="zh-CN"/>
              </w:rPr>
              <w:t>53</w:t>
            </w:r>
            <w:r>
              <w:rPr>
                <w:rFonts w:hint="eastAsia" w:ascii="Times New Roman" w:hAnsi="Times New Roman" w:cs="宋体"/>
                <w:color w:val="auto"/>
                <w:szCs w:val="21"/>
              </w:rPr>
              <w:t>分</w:t>
            </w:r>
            <w:r>
              <w:rPr>
                <w:rFonts w:hint="eastAsia" w:ascii="Times New Roman" w:hAnsi="Times New Roman" w:cs="宋体"/>
                <w:color w:val="auto"/>
                <w:szCs w:val="21"/>
                <w:u w:val="single"/>
                <w:lang w:val="en-US" w:eastAsia="zh-CN"/>
              </w:rPr>
              <w:t>25.812</w:t>
            </w:r>
            <w:r>
              <w:rPr>
                <w:rFonts w:hint="eastAsia" w:ascii="Times New Roman" w:hAnsi="Times New Roman" w:cs="宋体"/>
                <w:color w:val="auto"/>
                <w:szCs w:val="21"/>
              </w:rPr>
              <w:t>秒</w:t>
            </w:r>
          </w:p>
        </w:tc>
      </w:tr>
      <w:tr w14:paraId="54B4E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1743" w:type="dxa"/>
            <w:gridSpan w:val="2"/>
            <w:noWrap w:val="0"/>
            <w:tcMar>
              <w:top w:w="16" w:type="dxa"/>
              <w:left w:w="16" w:type="dxa"/>
              <w:right w:w="16" w:type="dxa"/>
            </w:tcMar>
            <w:vAlign w:val="center"/>
          </w:tcPr>
          <w:p w14:paraId="33A225B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国民经济</w:t>
            </w:r>
          </w:p>
          <w:p w14:paraId="6CBC770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行业类别</w:t>
            </w:r>
          </w:p>
        </w:tc>
        <w:tc>
          <w:tcPr>
            <w:tcW w:w="2553" w:type="dxa"/>
            <w:gridSpan w:val="2"/>
            <w:noWrap w:val="0"/>
            <w:vAlign w:val="center"/>
          </w:tcPr>
          <w:p w14:paraId="552991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D4430热力生产和供应</w:t>
            </w:r>
          </w:p>
        </w:tc>
        <w:tc>
          <w:tcPr>
            <w:tcW w:w="1935" w:type="dxa"/>
            <w:noWrap w:val="0"/>
            <w:vAlign w:val="center"/>
          </w:tcPr>
          <w:p w14:paraId="267E539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bookmarkStart w:id="1" w:name="_Hlk49843745"/>
            <w:r>
              <w:rPr>
                <w:rFonts w:hint="eastAsia" w:ascii="Times New Roman" w:hAnsi="Times New Roman" w:cs="宋体"/>
                <w:color w:val="auto"/>
                <w:szCs w:val="21"/>
              </w:rPr>
              <w:t>建设项目</w:t>
            </w:r>
          </w:p>
          <w:p w14:paraId="4D7B6C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行业类别</w:t>
            </w:r>
            <w:bookmarkEnd w:id="1"/>
          </w:p>
        </w:tc>
        <w:tc>
          <w:tcPr>
            <w:tcW w:w="2639" w:type="dxa"/>
            <w:noWrap w:val="0"/>
            <w:vAlign w:val="center"/>
          </w:tcPr>
          <w:p w14:paraId="73FD3FD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四十一、电力、热力生产和供应业</w:t>
            </w:r>
          </w:p>
        </w:tc>
      </w:tr>
      <w:tr w14:paraId="688FF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41" w:hRule="atLeast"/>
          <w:jc w:val="center"/>
        </w:trPr>
        <w:tc>
          <w:tcPr>
            <w:tcW w:w="1743" w:type="dxa"/>
            <w:gridSpan w:val="2"/>
            <w:noWrap w:val="0"/>
            <w:tcMar>
              <w:top w:w="16" w:type="dxa"/>
              <w:left w:w="16" w:type="dxa"/>
              <w:right w:w="16" w:type="dxa"/>
            </w:tcMar>
            <w:vAlign w:val="center"/>
          </w:tcPr>
          <w:p w14:paraId="725409E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建设性质</w:t>
            </w:r>
          </w:p>
        </w:tc>
        <w:tc>
          <w:tcPr>
            <w:tcW w:w="2553" w:type="dxa"/>
            <w:gridSpan w:val="2"/>
            <w:noWrap w:val="0"/>
            <w:vAlign w:val="center"/>
          </w:tcPr>
          <w:p w14:paraId="1FD6FE01">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cs="宋体"/>
                <w:color w:val="auto"/>
                <w:szCs w:val="21"/>
                <w:lang w:eastAsia="zh-CN"/>
              </w:rPr>
              <w:t>☑</w:t>
            </w:r>
            <w:r>
              <w:rPr>
                <w:rFonts w:hint="eastAsia" w:ascii="Times New Roman" w:hAnsi="Times New Roman" w:cs="宋体"/>
                <w:color w:val="auto"/>
                <w:szCs w:val="21"/>
              </w:rPr>
              <w:t>新建（迁建）</w:t>
            </w:r>
          </w:p>
          <w:p w14:paraId="12805F3B">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eastAsia" w:ascii="Times New Roman" w:hAnsi="Times New Roman" w:eastAsia="宋体" w:cs="宋体"/>
                <w:color w:val="auto"/>
                <w:szCs w:val="21"/>
                <w:lang w:eastAsia="zh-CN"/>
              </w:rPr>
            </w:pPr>
            <w:r>
              <w:rPr>
                <w:rFonts w:hint="eastAsia" w:ascii="Times New Roman" w:hAnsi="Times New Roman" w:cs="宋体"/>
                <w:color w:val="auto"/>
                <w:szCs w:val="21"/>
                <w:lang w:eastAsia="zh-CN"/>
              </w:rPr>
              <w:t>□技改</w:t>
            </w:r>
          </w:p>
          <w:p w14:paraId="4B5D88D7">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eastAsia" w:ascii="Times New Roman" w:hAnsi="Times New Roman" w:cs="宋体"/>
                <w:color w:val="auto"/>
                <w:szCs w:val="21"/>
              </w:rPr>
            </w:pPr>
            <w:r>
              <w:rPr>
                <w:rFonts w:hint="eastAsia" w:ascii="Times New Roman" w:hAnsi="Times New Roman" w:cs="宋体"/>
                <w:color w:val="auto"/>
                <w:szCs w:val="21"/>
              </w:rPr>
              <w:t>□扩建</w:t>
            </w:r>
          </w:p>
          <w:p w14:paraId="0FF16757">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cs="宋体"/>
                <w:color w:val="auto"/>
                <w:szCs w:val="21"/>
                <w:lang w:eastAsia="zh-CN"/>
              </w:rPr>
              <w:t>□</w:t>
            </w:r>
            <w:r>
              <w:rPr>
                <w:rFonts w:hint="eastAsia" w:ascii="Times New Roman" w:hAnsi="Times New Roman" w:cs="宋体"/>
                <w:color w:val="auto"/>
                <w:szCs w:val="21"/>
              </w:rPr>
              <w:t>技术改造</w:t>
            </w:r>
          </w:p>
        </w:tc>
        <w:tc>
          <w:tcPr>
            <w:tcW w:w="1935" w:type="dxa"/>
            <w:noWrap w:val="0"/>
            <w:vAlign w:val="center"/>
          </w:tcPr>
          <w:p w14:paraId="0110EB3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建设项目</w:t>
            </w:r>
          </w:p>
          <w:p w14:paraId="0E03DD3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申报情形</w:t>
            </w:r>
          </w:p>
        </w:tc>
        <w:tc>
          <w:tcPr>
            <w:tcW w:w="2639" w:type="dxa"/>
            <w:noWrap w:val="0"/>
            <w:vAlign w:val="center"/>
          </w:tcPr>
          <w:p w14:paraId="7460B741">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ascii="Times New Roman" w:hAnsi="Times New Roman" w:cs="宋体"/>
                <w:color w:val="auto"/>
                <w:szCs w:val="21"/>
                <w:lang w:eastAsia="zh-CN"/>
              </w:rPr>
              <w:t>☑</w:t>
            </w:r>
            <w:r>
              <w:rPr>
                <w:rFonts w:hint="eastAsia" w:ascii="Times New Roman" w:hAnsi="Times New Roman" w:cs="宋体"/>
                <w:color w:val="auto"/>
                <w:szCs w:val="21"/>
              </w:rPr>
              <w:t>首次申报项目</w:t>
            </w:r>
          </w:p>
          <w:p w14:paraId="2C766DA1">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ascii="Times New Roman" w:hAnsi="Times New Roman" w:cs="宋体"/>
                <w:color w:val="auto"/>
                <w:szCs w:val="21"/>
              </w:rPr>
              <w:t>□不予批准后再次申报项目</w:t>
            </w:r>
          </w:p>
          <w:p w14:paraId="6CBFDC43">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ascii="Times New Roman" w:hAnsi="Times New Roman" w:cs="宋体"/>
                <w:color w:val="auto"/>
                <w:szCs w:val="21"/>
              </w:rPr>
              <w:t>□超五年重新审核项目</w:t>
            </w:r>
          </w:p>
          <w:p w14:paraId="21E89667">
            <w:pPr>
              <w:keepNext w:val="0"/>
              <w:keepLines w:val="0"/>
              <w:pageBreakBefore w:val="0"/>
              <w:widowControl w:val="0"/>
              <w:suppressLineNumbers w:val="0"/>
              <w:kinsoku/>
              <w:wordWrap/>
              <w:overflowPunct/>
              <w:topLinePunct w:val="0"/>
              <w:bidi w:val="0"/>
              <w:spacing w:before="0" w:beforeAutospacing="0" w:after="0" w:afterAutospacing="0" w:line="360" w:lineRule="exact"/>
              <w:ind w:left="0" w:right="0"/>
              <w:jc w:val="left"/>
              <w:textAlignment w:val="auto"/>
              <w:rPr>
                <w:rFonts w:hint="default" w:ascii="Times New Roman" w:hAnsi="Times New Roman" w:cs="宋体"/>
                <w:color w:val="auto"/>
                <w:szCs w:val="21"/>
              </w:rPr>
            </w:pPr>
            <w:r>
              <w:rPr>
                <w:rFonts w:hint="eastAsia" w:ascii="Times New Roman" w:hAnsi="Times New Roman" w:cs="宋体"/>
                <w:color w:val="auto"/>
                <w:szCs w:val="21"/>
              </w:rPr>
              <w:t>□重大变动重新报批项目</w:t>
            </w:r>
          </w:p>
        </w:tc>
      </w:tr>
      <w:tr w14:paraId="5A2F4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1743" w:type="dxa"/>
            <w:gridSpan w:val="2"/>
            <w:noWrap w:val="0"/>
            <w:tcMar>
              <w:top w:w="16" w:type="dxa"/>
              <w:left w:w="16" w:type="dxa"/>
              <w:right w:w="16" w:type="dxa"/>
            </w:tcMar>
            <w:vAlign w:val="center"/>
          </w:tcPr>
          <w:p w14:paraId="302AC4D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项目审批（核准</w:t>
            </w:r>
            <w:r>
              <w:rPr>
                <w:rFonts w:hint="default" w:ascii="Times New Roman" w:hAnsi="Times New Roman" w:cs="宋体"/>
                <w:color w:val="auto"/>
                <w:szCs w:val="21"/>
              </w:rPr>
              <w:t>/</w:t>
            </w:r>
          </w:p>
          <w:p w14:paraId="5D0305B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备案）部门（选填）</w:t>
            </w:r>
          </w:p>
        </w:tc>
        <w:tc>
          <w:tcPr>
            <w:tcW w:w="2553" w:type="dxa"/>
            <w:gridSpan w:val="2"/>
            <w:noWrap w:val="0"/>
            <w:vAlign w:val="center"/>
          </w:tcPr>
          <w:p w14:paraId="3FB1FE5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陇县发展和改革局</w:t>
            </w:r>
          </w:p>
        </w:tc>
        <w:tc>
          <w:tcPr>
            <w:tcW w:w="1935" w:type="dxa"/>
            <w:noWrap w:val="0"/>
            <w:vAlign w:val="center"/>
          </w:tcPr>
          <w:p w14:paraId="5B0CEA2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项目审批（核准</w:t>
            </w:r>
            <w:r>
              <w:rPr>
                <w:rFonts w:hint="default" w:ascii="Times New Roman" w:hAnsi="Times New Roman" w:cs="宋体"/>
                <w:color w:val="auto"/>
                <w:szCs w:val="21"/>
              </w:rPr>
              <w:t>/</w:t>
            </w:r>
          </w:p>
          <w:p w14:paraId="6D740F1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备案）文号（选填）</w:t>
            </w:r>
          </w:p>
        </w:tc>
        <w:tc>
          <w:tcPr>
            <w:tcW w:w="2639" w:type="dxa"/>
            <w:noWrap w:val="0"/>
            <w:vAlign w:val="center"/>
          </w:tcPr>
          <w:p w14:paraId="0E5560A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2507-610327-04-01-900359</w:t>
            </w:r>
          </w:p>
        </w:tc>
      </w:tr>
      <w:tr w14:paraId="73D36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743" w:type="dxa"/>
            <w:gridSpan w:val="2"/>
            <w:noWrap w:val="0"/>
            <w:tcMar>
              <w:top w:w="16" w:type="dxa"/>
              <w:left w:w="16" w:type="dxa"/>
              <w:right w:w="16" w:type="dxa"/>
            </w:tcMar>
            <w:vAlign w:val="center"/>
          </w:tcPr>
          <w:p w14:paraId="4594559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总投资（万元）</w:t>
            </w:r>
          </w:p>
        </w:tc>
        <w:tc>
          <w:tcPr>
            <w:tcW w:w="2553" w:type="dxa"/>
            <w:gridSpan w:val="2"/>
            <w:noWrap w:val="0"/>
            <w:vAlign w:val="center"/>
          </w:tcPr>
          <w:p w14:paraId="16063C8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1848.18</w:t>
            </w:r>
          </w:p>
        </w:tc>
        <w:tc>
          <w:tcPr>
            <w:tcW w:w="1935" w:type="dxa"/>
            <w:noWrap w:val="0"/>
            <w:tcMar>
              <w:top w:w="16" w:type="dxa"/>
              <w:left w:w="16" w:type="dxa"/>
              <w:right w:w="16" w:type="dxa"/>
            </w:tcMar>
            <w:vAlign w:val="center"/>
          </w:tcPr>
          <w:p w14:paraId="1841C5A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环保投资（万元）</w:t>
            </w:r>
          </w:p>
        </w:tc>
        <w:tc>
          <w:tcPr>
            <w:tcW w:w="2639" w:type="dxa"/>
            <w:noWrap w:val="0"/>
            <w:vAlign w:val="center"/>
          </w:tcPr>
          <w:p w14:paraId="4EE222F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19</w:t>
            </w:r>
          </w:p>
        </w:tc>
      </w:tr>
      <w:tr w14:paraId="340BB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743" w:type="dxa"/>
            <w:gridSpan w:val="2"/>
            <w:noWrap w:val="0"/>
            <w:tcMar>
              <w:top w:w="16" w:type="dxa"/>
              <w:left w:w="16" w:type="dxa"/>
              <w:right w:w="16" w:type="dxa"/>
            </w:tcMar>
            <w:vAlign w:val="center"/>
          </w:tcPr>
          <w:p w14:paraId="27927B0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环保投资占比（</w:t>
            </w:r>
            <w:r>
              <w:rPr>
                <w:rFonts w:hint="default" w:ascii="Times New Roman" w:hAnsi="Times New Roman" w:cs="宋体"/>
                <w:color w:val="auto"/>
                <w:szCs w:val="21"/>
              </w:rPr>
              <w:t>%</w:t>
            </w:r>
            <w:r>
              <w:rPr>
                <w:rFonts w:hint="eastAsia" w:ascii="Times New Roman" w:hAnsi="Times New Roman" w:cs="宋体"/>
                <w:color w:val="auto"/>
                <w:szCs w:val="21"/>
              </w:rPr>
              <w:t>）</w:t>
            </w:r>
          </w:p>
        </w:tc>
        <w:tc>
          <w:tcPr>
            <w:tcW w:w="2553" w:type="dxa"/>
            <w:gridSpan w:val="2"/>
            <w:noWrap w:val="0"/>
            <w:vAlign w:val="center"/>
          </w:tcPr>
          <w:p w14:paraId="7CBF7BE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1.02</w:t>
            </w:r>
          </w:p>
        </w:tc>
        <w:tc>
          <w:tcPr>
            <w:tcW w:w="1935" w:type="dxa"/>
            <w:noWrap w:val="0"/>
            <w:tcMar>
              <w:top w:w="16" w:type="dxa"/>
              <w:left w:w="16" w:type="dxa"/>
              <w:right w:w="16" w:type="dxa"/>
            </w:tcMar>
            <w:vAlign w:val="center"/>
          </w:tcPr>
          <w:p w14:paraId="5A4A7E8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施工工期</w:t>
            </w:r>
          </w:p>
        </w:tc>
        <w:tc>
          <w:tcPr>
            <w:tcW w:w="2639" w:type="dxa"/>
            <w:noWrap w:val="0"/>
            <w:vAlign w:val="center"/>
          </w:tcPr>
          <w:p w14:paraId="36904A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18</w:t>
            </w:r>
            <w:r>
              <w:rPr>
                <w:rFonts w:hint="eastAsia" w:ascii="Times New Roman" w:hAnsi="Times New Roman" w:cs="宋体"/>
                <w:color w:val="auto"/>
                <w:szCs w:val="21"/>
                <w:lang w:val="en-US" w:eastAsia="zh-CN"/>
              </w:rPr>
              <w:t>个月</w:t>
            </w:r>
          </w:p>
        </w:tc>
      </w:tr>
      <w:tr w14:paraId="4C59C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1743" w:type="dxa"/>
            <w:gridSpan w:val="2"/>
            <w:noWrap w:val="0"/>
            <w:tcMar>
              <w:top w:w="16" w:type="dxa"/>
              <w:left w:w="16" w:type="dxa"/>
              <w:right w:w="16" w:type="dxa"/>
            </w:tcMar>
            <w:vAlign w:val="center"/>
          </w:tcPr>
          <w:p w14:paraId="01CED9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zCs w:val="21"/>
              </w:rPr>
              <w:t>是否开工建设</w:t>
            </w:r>
          </w:p>
        </w:tc>
        <w:tc>
          <w:tcPr>
            <w:tcW w:w="2553" w:type="dxa"/>
            <w:gridSpan w:val="2"/>
            <w:noWrap w:val="0"/>
            <w:vAlign w:val="center"/>
          </w:tcPr>
          <w:p w14:paraId="4BCF8AA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default" w:ascii="Times New Roman" w:hAnsi="Times New Roman" w:cs="宋体"/>
                <w:color w:val="auto"/>
                <w:szCs w:val="21"/>
              </w:rPr>
            </w:pPr>
            <w:r>
              <w:rPr>
                <w:rFonts w:hint="eastAsia" w:cs="宋体"/>
                <w:color w:val="auto"/>
                <w:szCs w:val="21"/>
                <w:lang w:eastAsia="zh-CN"/>
              </w:rPr>
              <w:t>☑</w:t>
            </w:r>
            <w:r>
              <w:rPr>
                <w:rFonts w:hint="eastAsia" w:ascii="Times New Roman" w:hAnsi="Times New Roman" w:cs="宋体"/>
                <w:color w:val="auto"/>
                <w:szCs w:val="21"/>
              </w:rPr>
              <w:t>否</w:t>
            </w:r>
          </w:p>
          <w:p w14:paraId="3CA39FC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default" w:ascii="Times New Roman" w:hAnsi="Times New Roman" w:cs="宋体"/>
                <w:color w:val="auto"/>
                <w:szCs w:val="21"/>
                <w:lang w:val="en-US"/>
              </w:rPr>
            </w:pPr>
            <w:r>
              <w:rPr>
                <w:rFonts w:hint="eastAsia" w:cs="宋体"/>
                <w:color w:val="auto"/>
                <w:szCs w:val="21"/>
                <w:lang w:eastAsia="zh-CN"/>
              </w:rPr>
              <w:t>□</w:t>
            </w:r>
            <w:r>
              <w:rPr>
                <w:rFonts w:hint="eastAsia" w:ascii="Times New Roman" w:hAnsi="Times New Roman" w:cs="宋体"/>
                <w:color w:val="auto"/>
                <w:szCs w:val="21"/>
              </w:rPr>
              <w:t>是：</w:t>
            </w:r>
          </w:p>
        </w:tc>
        <w:tc>
          <w:tcPr>
            <w:tcW w:w="1935" w:type="dxa"/>
            <w:noWrap w:val="0"/>
            <w:tcMar>
              <w:top w:w="16" w:type="dxa"/>
              <w:left w:w="16" w:type="dxa"/>
              <w:right w:w="16" w:type="dxa"/>
            </w:tcMar>
            <w:vAlign w:val="center"/>
          </w:tcPr>
          <w:p w14:paraId="352A01B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pacing w:val="-6"/>
                <w:szCs w:val="21"/>
              </w:rPr>
            </w:pPr>
            <w:r>
              <w:rPr>
                <w:rFonts w:hint="eastAsia" w:ascii="Times New Roman" w:hAnsi="Times New Roman" w:cs="宋体"/>
                <w:color w:val="auto"/>
                <w:spacing w:val="-6"/>
                <w:szCs w:val="21"/>
              </w:rPr>
              <w:t>用地（用海）</w:t>
            </w:r>
          </w:p>
          <w:p w14:paraId="596DCF9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szCs w:val="21"/>
              </w:rPr>
            </w:pPr>
            <w:r>
              <w:rPr>
                <w:rFonts w:hint="eastAsia" w:ascii="Times New Roman" w:hAnsi="Times New Roman" w:cs="宋体"/>
                <w:color w:val="auto"/>
                <w:spacing w:val="-6"/>
                <w:szCs w:val="21"/>
              </w:rPr>
              <w:t>面积（</w:t>
            </w:r>
            <w:r>
              <w:rPr>
                <w:rFonts w:hint="default" w:ascii="Times New Roman" w:hAnsi="Times New Roman" w:cs="宋体"/>
                <w:color w:val="auto"/>
                <w:spacing w:val="-6"/>
                <w:szCs w:val="21"/>
              </w:rPr>
              <w:t>m</w:t>
            </w:r>
            <w:r>
              <w:rPr>
                <w:rFonts w:hint="default" w:ascii="Times New Roman" w:hAnsi="Times New Roman" w:cs="宋体"/>
                <w:color w:val="auto"/>
                <w:spacing w:val="-6"/>
                <w:szCs w:val="21"/>
                <w:vertAlign w:val="superscript"/>
              </w:rPr>
              <w:t>2</w:t>
            </w:r>
            <w:r>
              <w:rPr>
                <w:rFonts w:hint="eastAsia" w:ascii="Times New Roman" w:hAnsi="Times New Roman" w:cs="宋体"/>
                <w:color w:val="auto"/>
                <w:spacing w:val="-6"/>
                <w:szCs w:val="21"/>
              </w:rPr>
              <w:t>）</w:t>
            </w:r>
          </w:p>
        </w:tc>
        <w:tc>
          <w:tcPr>
            <w:tcW w:w="2639" w:type="dxa"/>
            <w:noWrap w:val="0"/>
            <w:vAlign w:val="center"/>
          </w:tcPr>
          <w:p w14:paraId="405BB33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zCs w:val="21"/>
                <w:lang w:val="en-US" w:eastAsia="zh-CN"/>
              </w:rPr>
            </w:pPr>
            <w:r>
              <w:rPr>
                <w:rFonts w:hint="eastAsia" w:cs="宋体"/>
                <w:color w:val="auto"/>
                <w:szCs w:val="21"/>
                <w:lang w:val="en-US" w:eastAsia="zh-CN"/>
              </w:rPr>
              <w:t>650</w:t>
            </w:r>
          </w:p>
        </w:tc>
      </w:tr>
      <w:tr w14:paraId="4A01A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743" w:type="dxa"/>
            <w:gridSpan w:val="2"/>
            <w:noWrap w:val="0"/>
            <w:vAlign w:val="center"/>
          </w:tcPr>
          <w:p w14:paraId="078523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kern w:val="0"/>
                <w:szCs w:val="21"/>
              </w:rPr>
            </w:pPr>
            <w:r>
              <w:rPr>
                <w:rFonts w:hint="eastAsia" w:ascii="Times New Roman" w:hAnsi="Times New Roman" w:cs="宋体"/>
                <w:color w:val="auto"/>
                <w:kern w:val="0"/>
                <w:szCs w:val="21"/>
              </w:rPr>
              <w:t>专项评价设置情况</w:t>
            </w:r>
          </w:p>
        </w:tc>
        <w:tc>
          <w:tcPr>
            <w:tcW w:w="7127" w:type="dxa"/>
            <w:gridSpan w:val="4"/>
            <w:noWrap w:val="0"/>
            <w:vAlign w:val="center"/>
          </w:tcPr>
          <w:p w14:paraId="6AC6012F">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cs="Times New Roman"/>
                <w:color w:val="000000"/>
                <w:kern w:val="0"/>
                <w:sz w:val="24"/>
                <w:szCs w:val="24"/>
                <w:highlight w:val="none"/>
              </w:rPr>
              <w:t>对照《建设项目环境影响报告表编制技术指南（污染影响类）》（试行）中专项评价设置原则表，本项目不需开展专项评价工作，具体对照分析见表1-1</w:t>
            </w:r>
            <w:r>
              <w:rPr>
                <w:rFonts w:hint="default" w:ascii="Times New Roman" w:hAnsi="Times New Roman" w:eastAsia="宋体" w:cs="Times New Roman"/>
                <w:color w:val="000000"/>
                <w:kern w:val="0"/>
                <w:sz w:val="24"/>
                <w:szCs w:val="24"/>
                <w:highlight w:val="none"/>
                <w:lang w:val="en-US" w:eastAsia="zh-CN" w:bidi="ar"/>
              </w:rPr>
              <w:t>。</w:t>
            </w:r>
          </w:p>
          <w:p w14:paraId="68AFD039">
            <w:pPr>
              <w:keepNext w:val="0"/>
              <w:keepLines w:val="0"/>
              <w:numPr>
                <w:ilvl w:val="0"/>
                <w:numId w:val="0"/>
              </w:numPr>
              <w:suppressLineNumbers w:val="0"/>
              <w:tabs>
                <w:tab w:val="left" w:pos="0"/>
              </w:tabs>
              <w:spacing w:before="0" w:beforeAutospacing="0" w:after="0" w:afterAutospacing="0"/>
              <w:ind w:left="0" w:leftChars="0" w:right="0" w:rightChars="0"/>
              <w:jc w:val="center"/>
              <w:rPr>
                <w:rFonts w:hint="default" w:ascii="Times New Roman" w:hAnsi="Times New Roman" w:eastAsia="宋体" w:cs="Times New Roman"/>
                <w:color w:val="000000"/>
                <w:szCs w:val="21"/>
                <w:highlight w:val="none"/>
              </w:rPr>
            </w:pPr>
            <w:r>
              <w:rPr>
                <w:rFonts w:hint="eastAsia" w:ascii="Times New Roman" w:hAnsi="Times New Roman" w:cs="Times New Roman"/>
                <w:b/>
                <w:bCs/>
                <w:color w:val="000000"/>
                <w:szCs w:val="21"/>
                <w:highlight w:val="none"/>
                <w:lang w:val="en-US" w:eastAsia="zh-CN"/>
              </w:rPr>
              <w:t>表1-1</w:t>
            </w:r>
            <w:r>
              <w:rPr>
                <w:rFonts w:hint="default" w:ascii="Times New Roman" w:hAnsi="Times New Roman" w:eastAsia="宋体" w:cs="Times New Roman"/>
                <w:b/>
                <w:bCs/>
                <w:color w:val="000000"/>
                <w:szCs w:val="21"/>
                <w:highlight w:val="none"/>
              </w:rPr>
              <w:t>专项评价设置情况表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3"/>
              <w:gridCol w:w="2853"/>
              <w:gridCol w:w="2157"/>
              <w:gridCol w:w="938"/>
            </w:tblGrid>
            <w:tr w14:paraId="055F25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302F6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专项评价类别</w:t>
                  </w:r>
                </w:p>
              </w:tc>
              <w:tc>
                <w:tcPr>
                  <w:tcW w:w="2066" w:type="pct"/>
                  <w:noWrap w:val="0"/>
                  <w:vAlign w:val="center"/>
                </w:tcPr>
                <w:p w14:paraId="2512F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设置原则</w:t>
                  </w:r>
                </w:p>
              </w:tc>
              <w:tc>
                <w:tcPr>
                  <w:tcW w:w="1562" w:type="pct"/>
                  <w:noWrap w:val="0"/>
                  <w:vAlign w:val="center"/>
                </w:tcPr>
                <w:p w14:paraId="2E8C7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本项目情况</w:t>
                  </w:r>
                </w:p>
              </w:tc>
              <w:tc>
                <w:tcPr>
                  <w:tcW w:w="679" w:type="pct"/>
                  <w:noWrap w:val="0"/>
                  <w:vAlign w:val="center"/>
                </w:tcPr>
                <w:p w14:paraId="0280B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专题设置情况</w:t>
                  </w:r>
                </w:p>
              </w:tc>
            </w:tr>
            <w:tr w14:paraId="09BB3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28362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大气</w:t>
                  </w:r>
                </w:p>
              </w:tc>
              <w:tc>
                <w:tcPr>
                  <w:tcW w:w="2066" w:type="pct"/>
                  <w:noWrap w:val="0"/>
                  <w:vAlign w:val="center"/>
                </w:tcPr>
                <w:p w14:paraId="25372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排放废气含有有毒有害污染物、二噁英、苯并[a]芘、氰化物、氯气且厂界外500米范围内有环境空气保护目标的建设项目。</w:t>
                  </w:r>
                </w:p>
              </w:tc>
              <w:tc>
                <w:tcPr>
                  <w:tcW w:w="1562" w:type="pct"/>
                  <w:noWrap w:val="0"/>
                  <w:vAlign w:val="center"/>
                </w:tcPr>
                <w:p w14:paraId="0E82C702">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bidi="ar"/>
                    </w:rPr>
                    <w:t>本项目废气污染物主要为颗粒物、</w:t>
                  </w:r>
                  <w:r>
                    <w:rPr>
                      <w:rFonts w:hint="eastAsia" w:ascii="Times New Roman" w:hAnsi="Times New Roman" w:eastAsia="宋体" w:cs="Times New Roman"/>
                      <w:color w:val="000000"/>
                      <w:kern w:val="0"/>
                      <w:sz w:val="21"/>
                      <w:szCs w:val="21"/>
                      <w:highlight w:val="none"/>
                      <w:lang w:val="en-US" w:eastAsia="zh-CN" w:bidi="ar"/>
                    </w:rPr>
                    <w:t>二氧化硫和氮氧化物</w:t>
                  </w:r>
                  <w:r>
                    <w:rPr>
                      <w:rFonts w:hint="default"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000000"/>
                      <w:sz w:val="21"/>
                      <w:szCs w:val="21"/>
                      <w:highlight w:val="none"/>
                    </w:rPr>
                    <w:t>本项目不涉及二噁英、苯并[a]芘、氰化物、氯气等废气排放</w:t>
                  </w:r>
                  <w:r>
                    <w:rPr>
                      <w:rFonts w:hint="eastAsia" w:ascii="Times New Roman" w:hAnsi="Times New Roman" w:cs="Times New Roman"/>
                      <w:color w:val="000000"/>
                      <w:sz w:val="21"/>
                      <w:szCs w:val="21"/>
                      <w:highlight w:val="none"/>
                      <w:lang w:eastAsia="zh-CN"/>
                    </w:rPr>
                    <w:t>。</w:t>
                  </w:r>
                </w:p>
              </w:tc>
              <w:tc>
                <w:tcPr>
                  <w:tcW w:w="679" w:type="pct"/>
                  <w:noWrap w:val="0"/>
                  <w:vAlign w:val="center"/>
                </w:tcPr>
                <w:p w14:paraId="4F678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3D8B4E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304B7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地表水</w:t>
                  </w:r>
                </w:p>
              </w:tc>
              <w:tc>
                <w:tcPr>
                  <w:tcW w:w="2066" w:type="pct"/>
                  <w:noWrap w:val="0"/>
                  <w:vAlign w:val="center"/>
                </w:tcPr>
                <w:p w14:paraId="6DE66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新增工业废水直排建设项目（槽罐车外送污水处理厂的除外）；</w:t>
                  </w:r>
                </w:p>
                <w:p w14:paraId="014C8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新增废水直排的污水集中处理厂。</w:t>
                  </w:r>
                </w:p>
              </w:tc>
              <w:tc>
                <w:tcPr>
                  <w:tcW w:w="1562" w:type="pct"/>
                  <w:noWrap w:val="0"/>
                  <w:vAlign w:val="center"/>
                </w:tcPr>
                <w:p w14:paraId="32C81180">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本项目废水</w:t>
                  </w:r>
                  <w:r>
                    <w:rPr>
                      <w:rFonts w:hint="eastAsia" w:cs="Times New Roman"/>
                      <w:color w:val="000000"/>
                      <w:kern w:val="0"/>
                      <w:sz w:val="21"/>
                      <w:szCs w:val="21"/>
                      <w:highlight w:val="none"/>
                      <w:lang w:val="en-US" w:eastAsia="zh-CN"/>
                    </w:rPr>
                    <w:t>排入陇县第一污水处理厂处理</w:t>
                  </w:r>
                </w:p>
              </w:tc>
              <w:tc>
                <w:tcPr>
                  <w:tcW w:w="679" w:type="pct"/>
                  <w:noWrap w:val="0"/>
                  <w:vAlign w:val="center"/>
                </w:tcPr>
                <w:p w14:paraId="52BA4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3EBEFF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247F924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地下水</w:t>
                  </w:r>
                </w:p>
              </w:tc>
              <w:tc>
                <w:tcPr>
                  <w:tcW w:w="2066" w:type="pct"/>
                  <w:noWrap w:val="0"/>
                  <w:vAlign w:val="center"/>
                </w:tcPr>
                <w:p w14:paraId="52BE8E91">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kern w:val="0"/>
                      <w:sz w:val="21"/>
                      <w:szCs w:val="21"/>
                      <w:highlight w:val="none"/>
                    </w:rPr>
                    <w:t>地下水原则上不开展专项评价，及集中式饮用水水源和热</w:t>
                  </w:r>
                  <w:r>
                    <w:rPr>
                      <w:rFonts w:hint="default" w:ascii="Times New Roman" w:hAnsi="Times New Roman" w:eastAsia="宋体" w:cs="Times New Roman"/>
                      <w:color w:val="000000"/>
                      <w:kern w:val="0"/>
                      <w:sz w:val="21"/>
                      <w:szCs w:val="21"/>
                      <w:highlight w:val="none"/>
                    </w:rPr>
                    <w:cr/>
                  </w:r>
                  <w:r>
                    <w:rPr>
                      <w:rFonts w:hint="default" w:ascii="Times New Roman" w:hAnsi="Times New Roman" w:eastAsia="宋体" w:cs="Times New Roman"/>
                      <w:color w:val="000000"/>
                      <w:kern w:val="0"/>
                      <w:sz w:val="21"/>
                      <w:szCs w:val="21"/>
                      <w:highlight w:val="none"/>
                    </w:rPr>
                    <w:t>、矿泉水、温泉等特殊地下水资源保护区的开展地下水专项评价工作</w:t>
                  </w:r>
                  <w:r>
                    <w:rPr>
                      <w:rFonts w:hint="default" w:ascii="Times New Roman" w:hAnsi="Times New Roman" w:eastAsia="宋体" w:cs="Times New Roman"/>
                      <w:color w:val="000000"/>
                      <w:kern w:val="0"/>
                      <w:sz w:val="21"/>
                      <w:szCs w:val="21"/>
                      <w:highlight w:val="none"/>
                      <w:lang w:eastAsia="zh-CN"/>
                    </w:rPr>
                    <w:t>。</w:t>
                  </w:r>
                </w:p>
              </w:tc>
              <w:tc>
                <w:tcPr>
                  <w:tcW w:w="1562" w:type="pct"/>
                  <w:noWrap w:val="0"/>
                  <w:vAlign w:val="center"/>
                </w:tcPr>
                <w:p w14:paraId="23B022DC">
                  <w:pPr>
                    <w:keepNext w:val="0"/>
                    <w:keepLines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本项目不涉及集中式饮用水水源和热水、矿泉水、温泉等特殊地下水资源保护区</w:t>
                  </w:r>
                  <w:r>
                    <w:rPr>
                      <w:rFonts w:hint="default" w:ascii="Times New Roman" w:hAnsi="Times New Roman" w:eastAsia="宋体" w:cs="Times New Roman"/>
                      <w:color w:val="000000"/>
                      <w:kern w:val="0"/>
                      <w:sz w:val="21"/>
                      <w:szCs w:val="21"/>
                      <w:highlight w:val="none"/>
                      <w:lang w:eastAsia="zh-CN"/>
                    </w:rPr>
                    <w:t>。</w:t>
                  </w:r>
                </w:p>
              </w:tc>
              <w:tc>
                <w:tcPr>
                  <w:tcW w:w="679" w:type="pct"/>
                  <w:noWrap w:val="0"/>
                  <w:vAlign w:val="center"/>
                </w:tcPr>
                <w:p w14:paraId="2D48B06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66B81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12BD9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环境风险</w:t>
                  </w:r>
                </w:p>
              </w:tc>
              <w:tc>
                <w:tcPr>
                  <w:tcW w:w="2066" w:type="pct"/>
                  <w:noWrap w:val="0"/>
                  <w:vAlign w:val="center"/>
                </w:tcPr>
                <w:p w14:paraId="3A41F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有毒有害和易燃易爆危险物质存储量超过临界量的建设项目。</w:t>
                  </w:r>
                </w:p>
              </w:tc>
              <w:tc>
                <w:tcPr>
                  <w:tcW w:w="1562" w:type="pct"/>
                  <w:noWrap w:val="0"/>
                  <w:vAlign w:val="center"/>
                </w:tcPr>
                <w:p w14:paraId="2F46A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本项目不涉及</w:t>
                  </w:r>
                  <w:r>
                    <w:rPr>
                      <w:rFonts w:hint="eastAsia" w:ascii="Times New Roman" w:hAnsi="Times New Roman" w:eastAsia="宋体" w:cs="Times New Roman"/>
                      <w:color w:val="000000"/>
                      <w:sz w:val="21"/>
                      <w:szCs w:val="21"/>
                      <w:highlight w:val="none"/>
                      <w:lang w:val="en-US" w:eastAsia="zh-CN"/>
                    </w:rPr>
                    <w:t>有毒有害物质和易燃易爆危险物质</w:t>
                  </w:r>
                  <w:r>
                    <w:rPr>
                      <w:rFonts w:hint="default" w:ascii="Times New Roman" w:hAnsi="Times New Roman" w:eastAsia="宋体" w:cs="Times New Roman"/>
                      <w:color w:val="000000"/>
                      <w:sz w:val="21"/>
                      <w:szCs w:val="21"/>
                      <w:highlight w:val="none"/>
                      <w:lang w:eastAsia="zh-CN"/>
                    </w:rPr>
                    <w:t>。</w:t>
                  </w:r>
                </w:p>
              </w:tc>
              <w:tc>
                <w:tcPr>
                  <w:tcW w:w="679" w:type="pct"/>
                  <w:noWrap w:val="0"/>
                  <w:vAlign w:val="center"/>
                </w:tcPr>
                <w:p w14:paraId="63C00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47049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71D1A3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生态</w:t>
                  </w:r>
                </w:p>
              </w:tc>
              <w:tc>
                <w:tcPr>
                  <w:tcW w:w="2066" w:type="pct"/>
                  <w:noWrap w:val="0"/>
                  <w:vAlign w:val="center"/>
                </w:tcPr>
                <w:p w14:paraId="306BE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取水口下游500米范围内有重要水生生物的自然产卵场、索饵场、越冬场和洄游通道的新增河道取水的污染类建设项目。</w:t>
                  </w:r>
                </w:p>
              </w:tc>
              <w:tc>
                <w:tcPr>
                  <w:tcW w:w="1562" w:type="pct"/>
                  <w:noWrap w:val="0"/>
                  <w:vAlign w:val="center"/>
                </w:tcPr>
                <w:p w14:paraId="51C6D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本项目不涉及取水口</w:t>
                  </w:r>
                  <w:r>
                    <w:rPr>
                      <w:rFonts w:hint="default" w:ascii="Times New Roman" w:hAnsi="Times New Roman" w:eastAsia="宋体" w:cs="Times New Roman"/>
                      <w:color w:val="000000"/>
                      <w:sz w:val="21"/>
                      <w:szCs w:val="21"/>
                      <w:highlight w:val="none"/>
                    </w:rPr>
                    <w:t>。</w:t>
                  </w:r>
                </w:p>
              </w:tc>
              <w:tc>
                <w:tcPr>
                  <w:tcW w:w="679" w:type="pct"/>
                  <w:noWrap w:val="0"/>
                  <w:vAlign w:val="center"/>
                </w:tcPr>
                <w:p w14:paraId="6D9D7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r w14:paraId="3E9FC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1" w:type="pct"/>
                  <w:noWrap w:val="0"/>
                  <w:vAlign w:val="center"/>
                </w:tcPr>
                <w:p w14:paraId="27E31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海洋</w:t>
                  </w:r>
                </w:p>
              </w:tc>
              <w:tc>
                <w:tcPr>
                  <w:tcW w:w="2066" w:type="pct"/>
                  <w:noWrap w:val="0"/>
                  <w:vAlign w:val="center"/>
                </w:tcPr>
                <w:p w14:paraId="5104C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直接向海洋排放污染物的海洋工程建设项目。</w:t>
                  </w:r>
                </w:p>
              </w:tc>
              <w:tc>
                <w:tcPr>
                  <w:tcW w:w="1562" w:type="pct"/>
                  <w:noWrap w:val="0"/>
                  <w:vAlign w:val="center"/>
                </w:tcPr>
                <w:p w14:paraId="41E5A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本项目</w:t>
                  </w:r>
                  <w:r>
                    <w:rPr>
                      <w:rFonts w:hint="default" w:ascii="Times New Roman" w:hAnsi="Times New Roman" w:eastAsia="宋体" w:cs="Times New Roman"/>
                      <w:color w:val="000000"/>
                      <w:sz w:val="21"/>
                      <w:szCs w:val="21"/>
                      <w:highlight w:val="none"/>
                      <w:lang w:val="en-US" w:eastAsia="zh-CN"/>
                    </w:rPr>
                    <w:t>不属于海洋工程建设项目</w:t>
                  </w:r>
                  <w:r>
                    <w:rPr>
                      <w:rFonts w:hint="default" w:ascii="Times New Roman" w:hAnsi="Times New Roman" w:eastAsia="宋体" w:cs="Times New Roman"/>
                      <w:color w:val="000000"/>
                      <w:sz w:val="21"/>
                      <w:szCs w:val="21"/>
                      <w:highlight w:val="none"/>
                    </w:rPr>
                    <w:t>。</w:t>
                  </w:r>
                </w:p>
              </w:tc>
              <w:tc>
                <w:tcPr>
                  <w:tcW w:w="679" w:type="pct"/>
                  <w:noWrap w:val="0"/>
                  <w:vAlign w:val="center"/>
                </w:tcPr>
                <w:p w14:paraId="775F4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无</w:t>
                  </w:r>
                </w:p>
              </w:tc>
            </w:tr>
          </w:tbl>
          <w:p w14:paraId="1C9EACE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Cs w:val="21"/>
                <w:lang w:val="en-US" w:eastAsia="zh-CN"/>
              </w:rPr>
            </w:pPr>
          </w:p>
        </w:tc>
      </w:tr>
      <w:tr w14:paraId="5F804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743" w:type="dxa"/>
            <w:gridSpan w:val="2"/>
            <w:noWrap w:val="0"/>
            <w:vAlign w:val="center"/>
          </w:tcPr>
          <w:p w14:paraId="2B1F55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r>
              <w:rPr>
                <w:rFonts w:hint="eastAsia" w:ascii="Times New Roman" w:hAnsi="Times New Roman" w:cs="宋体"/>
                <w:color w:val="auto"/>
                <w:szCs w:val="21"/>
              </w:rPr>
              <w:t>规划情况</w:t>
            </w:r>
          </w:p>
        </w:tc>
        <w:tc>
          <w:tcPr>
            <w:tcW w:w="7127" w:type="dxa"/>
            <w:gridSpan w:val="4"/>
            <w:noWrap w:val="0"/>
            <w:vAlign w:val="center"/>
          </w:tcPr>
          <w:p w14:paraId="3A32569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lang w:val="en-US" w:eastAsia="zh-CN"/>
              </w:rPr>
              <w:t>无</w:t>
            </w:r>
          </w:p>
        </w:tc>
      </w:tr>
      <w:tr w14:paraId="05FFE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743" w:type="dxa"/>
            <w:gridSpan w:val="2"/>
            <w:noWrap w:val="0"/>
            <w:vAlign w:val="center"/>
          </w:tcPr>
          <w:p w14:paraId="3B4732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rPr>
              <w:t>规划环境影响</w:t>
            </w:r>
          </w:p>
          <w:p w14:paraId="3C453AC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r>
              <w:rPr>
                <w:rFonts w:hint="eastAsia" w:ascii="Times New Roman" w:hAnsi="Times New Roman" w:cs="宋体"/>
                <w:color w:val="auto"/>
                <w:szCs w:val="21"/>
              </w:rPr>
              <w:t>评价情况</w:t>
            </w:r>
          </w:p>
        </w:tc>
        <w:tc>
          <w:tcPr>
            <w:tcW w:w="7127" w:type="dxa"/>
            <w:gridSpan w:val="4"/>
            <w:noWrap w:val="0"/>
            <w:vAlign w:val="center"/>
          </w:tcPr>
          <w:p w14:paraId="4DAA249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lang w:val="en-US" w:eastAsia="zh-CN"/>
              </w:rPr>
              <w:t>无</w:t>
            </w:r>
          </w:p>
        </w:tc>
      </w:tr>
      <w:tr w14:paraId="3341E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743" w:type="dxa"/>
            <w:gridSpan w:val="2"/>
            <w:noWrap w:val="0"/>
            <w:vAlign w:val="center"/>
          </w:tcPr>
          <w:p w14:paraId="66D282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r>
              <w:rPr>
                <w:rFonts w:hint="eastAsia" w:ascii="Times New Roman" w:hAnsi="Times New Roman" w:cs="宋体"/>
                <w:color w:val="auto"/>
                <w:kern w:val="0"/>
                <w:szCs w:val="21"/>
              </w:rPr>
              <w:t>规划及规划环境</w:t>
            </w:r>
          </w:p>
          <w:p w14:paraId="7A0DF5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kern w:val="0"/>
                <w:szCs w:val="21"/>
              </w:rPr>
            </w:pPr>
            <w:r>
              <w:rPr>
                <w:rFonts w:hint="eastAsia" w:ascii="Times New Roman" w:hAnsi="Times New Roman" w:cs="宋体"/>
                <w:color w:val="auto"/>
                <w:kern w:val="0"/>
                <w:szCs w:val="21"/>
              </w:rPr>
              <w:t>影响评价符合性分析</w:t>
            </w:r>
          </w:p>
        </w:tc>
        <w:tc>
          <w:tcPr>
            <w:tcW w:w="7127" w:type="dxa"/>
            <w:gridSpan w:val="4"/>
            <w:noWrap w:val="0"/>
            <w:vAlign w:val="center"/>
          </w:tcPr>
          <w:p w14:paraId="4055BAC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cs="宋体"/>
                <w:color w:val="auto"/>
                <w:szCs w:val="21"/>
              </w:rPr>
            </w:pPr>
            <w:r>
              <w:rPr>
                <w:rFonts w:hint="eastAsia" w:ascii="Times New Roman" w:hAnsi="Times New Roman" w:cs="宋体"/>
                <w:color w:val="auto"/>
                <w:szCs w:val="21"/>
                <w:lang w:val="en-US" w:eastAsia="zh-CN"/>
              </w:rPr>
              <w:t>无</w:t>
            </w:r>
          </w:p>
        </w:tc>
      </w:tr>
      <w:tr w14:paraId="717C4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60" w:type="dxa"/>
            <w:noWrap w:val="0"/>
            <w:vAlign w:val="center"/>
          </w:tcPr>
          <w:p w14:paraId="29751F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r>
              <w:rPr>
                <w:rFonts w:hint="eastAsia" w:ascii="Times New Roman" w:hAnsi="Times New Roman" w:cs="宋体"/>
                <w:color w:val="auto"/>
                <w:kern w:val="0"/>
                <w:szCs w:val="21"/>
              </w:rPr>
              <w:t>其他符合性分析</w:t>
            </w:r>
          </w:p>
        </w:tc>
        <w:tc>
          <w:tcPr>
            <w:tcW w:w="8410" w:type="dxa"/>
            <w:gridSpan w:val="5"/>
            <w:noWrap w:val="0"/>
            <w:vAlign w:val="center"/>
          </w:tcPr>
          <w:p w14:paraId="0AA27DB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420" w:leftChars="200" w:right="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一、产业政策符合性分析</w:t>
            </w:r>
          </w:p>
          <w:p w14:paraId="3CB1A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宋体"/>
                <w:color w:val="auto"/>
                <w:sz w:val="24"/>
                <w:szCs w:val="24"/>
                <w:lang w:val="en-US" w:eastAsia="zh-CN"/>
              </w:rPr>
              <w:t>本项目为热力生产和供应项目，</w:t>
            </w:r>
            <w:r>
              <w:rPr>
                <w:rFonts w:hint="default" w:ascii="Times New Roman" w:hAnsi="Times New Roman" w:eastAsia="宋体" w:cs="宋体"/>
                <w:color w:val="auto"/>
                <w:sz w:val="24"/>
                <w:szCs w:val="24"/>
              </w:rPr>
              <w:t>项目的建设不属于国家发展和改革委员会令第29号《</w:t>
            </w:r>
            <w:r>
              <w:rPr>
                <w:rFonts w:hint="default" w:ascii="Times New Roman" w:hAnsi="Times New Roman" w:eastAsia="宋体" w:cs="Times New Roman"/>
                <w:color w:val="auto"/>
                <w:kern w:val="0"/>
                <w:sz w:val="24"/>
                <w:szCs w:val="24"/>
                <w:highlight w:val="none"/>
              </w:rPr>
              <w:t>产业结构调整指导目录（</w:t>
            </w:r>
            <w:r>
              <w:rPr>
                <w:rFonts w:hint="eastAsia" w:ascii="Times New Roman" w:hAnsi="Times New Roman" w:eastAsia="宋体" w:cs="Times New Roman"/>
                <w:color w:val="auto"/>
                <w:kern w:val="0"/>
                <w:sz w:val="24"/>
                <w:szCs w:val="24"/>
                <w:highlight w:val="none"/>
                <w:lang w:val="en-US" w:eastAsia="zh-CN"/>
              </w:rPr>
              <w:t>2024</w:t>
            </w:r>
            <w:r>
              <w:rPr>
                <w:rFonts w:hint="default" w:ascii="Times New Roman" w:hAnsi="Times New Roman" w:eastAsia="宋体" w:cs="Times New Roman"/>
                <w:color w:val="auto"/>
                <w:kern w:val="0"/>
                <w:sz w:val="24"/>
                <w:szCs w:val="24"/>
                <w:highlight w:val="none"/>
              </w:rPr>
              <w:t>年本）》中</w:t>
            </w:r>
            <w:r>
              <w:rPr>
                <w:rFonts w:hint="eastAsia" w:ascii="Times New Roman" w:hAnsi="Times New Roman" w:eastAsia="宋体" w:cs="Times New Roman"/>
                <w:color w:val="auto"/>
                <w:kern w:val="0"/>
                <w:sz w:val="24"/>
                <w:szCs w:val="24"/>
                <w:highlight w:val="none"/>
                <w:lang w:eastAsia="zh-CN"/>
              </w:rPr>
              <w:t>鼓励类、限制类和淘汰类</w:t>
            </w:r>
            <w:r>
              <w:rPr>
                <w:rFonts w:hint="eastAsia" w:ascii="Times New Roman" w:hAnsi="Times New Roman" w:eastAsia="宋体" w:cs="Times New Roman"/>
                <w:color w:val="auto"/>
                <w:kern w:val="0"/>
                <w:sz w:val="24"/>
                <w:szCs w:val="24"/>
                <w:highlight w:val="none"/>
                <w:lang w:val="en-US" w:eastAsia="zh-CN"/>
              </w:rPr>
              <w:t>项目，故本项目</w:t>
            </w:r>
            <w:r>
              <w:rPr>
                <w:rFonts w:hint="eastAsia" w:ascii="Times New Roman" w:hAnsi="Times New Roman" w:eastAsia="宋体" w:cs="Times New Roman"/>
                <w:color w:val="auto"/>
                <w:kern w:val="0"/>
                <w:sz w:val="24"/>
                <w:szCs w:val="24"/>
                <w:highlight w:val="none"/>
                <w:lang w:eastAsia="zh-CN"/>
              </w:rPr>
              <w:t>属于允许类</w:t>
            </w:r>
            <w:r>
              <w:rPr>
                <w:rFonts w:hint="default" w:ascii="Times New Roman" w:hAnsi="Times New Roman" w:eastAsia="宋体" w:cs="Times New Roman"/>
                <w:color w:val="auto"/>
                <w:kern w:val="0"/>
                <w:sz w:val="24"/>
                <w:szCs w:val="24"/>
                <w:highlight w:val="none"/>
              </w:rPr>
              <w:t>。且项目已取得</w:t>
            </w:r>
            <w:r>
              <w:rPr>
                <w:rFonts w:hint="eastAsia" w:cs="Times New Roman"/>
                <w:color w:val="auto"/>
                <w:kern w:val="0"/>
                <w:sz w:val="24"/>
                <w:szCs w:val="24"/>
                <w:highlight w:val="none"/>
                <w:lang w:val="en-US" w:eastAsia="zh-CN"/>
              </w:rPr>
              <w:t>陇县发展和改革局</w:t>
            </w:r>
            <w:r>
              <w:rPr>
                <w:rFonts w:hint="default" w:ascii="Times New Roman" w:hAnsi="Times New Roman" w:eastAsia="宋体" w:cs="Times New Roman"/>
                <w:color w:val="auto"/>
                <w:kern w:val="0"/>
                <w:sz w:val="24"/>
                <w:szCs w:val="24"/>
                <w:highlight w:val="none"/>
              </w:rPr>
              <w:t>的</w:t>
            </w:r>
            <w:r>
              <w:rPr>
                <w:rFonts w:hint="eastAsia" w:cs="Times New Roman"/>
                <w:color w:val="auto"/>
                <w:kern w:val="0"/>
                <w:sz w:val="24"/>
                <w:szCs w:val="24"/>
                <w:highlight w:val="none"/>
                <w:lang w:val="en-US" w:eastAsia="zh-CN"/>
              </w:rPr>
              <w:t>初设批复</w:t>
            </w:r>
            <w:r>
              <w:rPr>
                <w:rFonts w:hint="eastAsia" w:ascii="Times New Roman" w:hAnsi="Times New Roman" w:eastAsia="宋体" w:cs="Times New Roman"/>
                <w:color w:val="auto"/>
                <w:kern w:val="0"/>
                <w:sz w:val="24"/>
                <w:szCs w:val="24"/>
                <w:highlight w:val="none"/>
                <w:lang w:val="en-US" w:eastAsia="zh-CN"/>
              </w:rPr>
              <w:t>文件，项目代码为</w:t>
            </w:r>
            <w:r>
              <w:rPr>
                <w:rFonts w:hint="eastAsia" w:ascii="Times New Roman" w:hAnsi="Times New Roman" w:cs="宋体"/>
                <w:color w:val="auto"/>
                <w:sz w:val="24"/>
                <w:szCs w:val="24"/>
                <w:lang w:val="en-US" w:eastAsia="zh-CN"/>
              </w:rPr>
              <w:t>2507-610327-04-01-900359</w:t>
            </w:r>
            <w:r>
              <w:rPr>
                <w:rFonts w:hint="default" w:ascii="Times New Roman" w:hAnsi="Times New Roman" w:eastAsia="宋体" w:cs="Times New Roman"/>
                <w:color w:val="auto"/>
                <w:kern w:val="0"/>
                <w:sz w:val="24"/>
                <w:szCs w:val="24"/>
                <w:highlight w:val="none"/>
              </w:rPr>
              <w:t>。</w:t>
            </w:r>
          </w:p>
          <w:p w14:paraId="3ACED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本项目不在《陕西省限制投</w:t>
            </w:r>
            <w:r>
              <w:rPr>
                <w:rFonts w:hint="default" w:ascii="Times New Roman" w:hAnsi="Times New Roman" w:cs="Times New Roman"/>
                <w:color w:val="auto"/>
                <w:kern w:val="0"/>
                <w:sz w:val="24"/>
                <w:szCs w:val="24"/>
                <w:highlight w:val="none"/>
              </w:rPr>
              <w:t>资类产业指导目录》（陕发改产业〔2007〕97号）内，不属于《市场准入负面清单（20</w:t>
            </w:r>
            <w:r>
              <w:rPr>
                <w:rFonts w:hint="eastAsia" w:ascii="Times New Roman" w:hAnsi="Times New Roman" w:cs="Times New Roman"/>
                <w:color w:val="auto"/>
                <w:kern w:val="0"/>
                <w:sz w:val="24"/>
                <w:szCs w:val="24"/>
                <w:highlight w:val="none"/>
                <w:lang w:val="en-US" w:eastAsia="zh-CN"/>
              </w:rPr>
              <w:t>25</w:t>
            </w:r>
            <w:r>
              <w:rPr>
                <w:rFonts w:hint="default" w:ascii="Times New Roman" w:hAnsi="Times New Roman" w:cs="Times New Roman"/>
                <w:color w:val="auto"/>
                <w:kern w:val="0"/>
                <w:sz w:val="24"/>
                <w:szCs w:val="24"/>
                <w:highlight w:val="none"/>
              </w:rPr>
              <w:t>年版）》中禁止准入类及许可准入类项目，项目符合陕西省产业政策。</w:t>
            </w:r>
          </w:p>
          <w:p w14:paraId="067EF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综上，本项目符合国家产业政策。</w:t>
            </w:r>
          </w:p>
          <w:p w14:paraId="032CE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二</w:t>
            </w:r>
            <w:r>
              <w:rPr>
                <w:rFonts w:hint="default" w:ascii="Times New Roman" w:hAnsi="Times New Roman" w:eastAsia="宋体" w:cs="Times New Roman"/>
                <w:b/>
                <w:bCs/>
                <w:color w:val="auto"/>
                <w:kern w:val="0"/>
                <w:sz w:val="24"/>
                <w:szCs w:val="24"/>
                <w:highlight w:val="none"/>
                <w:lang w:val="en-US" w:eastAsia="zh-CN"/>
              </w:rPr>
              <w:t>、</w:t>
            </w:r>
            <w:r>
              <w:rPr>
                <w:rFonts w:hint="eastAsia" w:ascii="Times New Roman" w:hAnsi="Times New Roman" w:eastAsia="宋体" w:cs="Times New Roman"/>
                <w:b/>
                <w:bCs/>
                <w:color w:val="auto"/>
                <w:kern w:val="0"/>
                <w:sz w:val="24"/>
                <w:szCs w:val="24"/>
                <w:highlight w:val="none"/>
                <w:lang w:val="en-US" w:eastAsia="zh-CN"/>
              </w:rPr>
              <w:t>相关规划和环保政策符合性分析</w:t>
            </w:r>
          </w:p>
          <w:p w14:paraId="00512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项目与相关规划及环保政策符合性分析详见下表1-2</w:t>
            </w:r>
            <w:r>
              <w:rPr>
                <w:rFonts w:hint="eastAsia" w:ascii="Times New Roman" w:hAnsi="Times New Roman" w:eastAsia="宋体" w:cs="Times New Roman"/>
                <w:color w:val="auto"/>
                <w:kern w:val="0"/>
                <w:sz w:val="24"/>
                <w:szCs w:val="24"/>
                <w:highlight w:val="none"/>
              </w:rPr>
              <w:t>。</w:t>
            </w:r>
          </w:p>
          <w:p w14:paraId="1A239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b/>
                <w:color w:val="auto"/>
                <w:szCs w:val="21"/>
              </w:rPr>
              <w:t>表1-</w:t>
            </w:r>
            <w:r>
              <w:rPr>
                <w:rFonts w:hint="eastAsia" w:ascii="Times New Roman" w:hAnsi="Times New Roman" w:eastAsia="宋体" w:cs="Times New Roman"/>
                <w:b/>
                <w:color w:val="auto"/>
                <w:szCs w:val="21"/>
                <w:lang w:val="en-US" w:eastAsia="zh-CN"/>
              </w:rPr>
              <w:t>2</w:t>
            </w:r>
            <w:r>
              <w:rPr>
                <w:rFonts w:hint="default" w:ascii="Times New Roman" w:hAnsi="Times New Roman" w:eastAsia="宋体" w:cs="Times New Roman"/>
                <w:b/>
                <w:color w:val="auto"/>
                <w:szCs w:val="21"/>
              </w:rPr>
              <w:t>项目相关</w:t>
            </w:r>
            <w:r>
              <w:rPr>
                <w:rFonts w:hint="eastAsia" w:ascii="Times New Roman" w:hAnsi="Times New Roman" w:eastAsia="宋体" w:cs="Times New Roman"/>
                <w:b/>
                <w:color w:val="auto"/>
                <w:szCs w:val="21"/>
                <w:lang w:val="en-US" w:eastAsia="zh-CN"/>
              </w:rPr>
              <w:t>规划</w:t>
            </w:r>
            <w:r>
              <w:rPr>
                <w:rFonts w:hint="default" w:ascii="Times New Roman" w:hAnsi="Times New Roman" w:eastAsia="宋体" w:cs="Times New Roman"/>
                <w:b/>
                <w:color w:val="auto"/>
                <w:szCs w:val="21"/>
              </w:rPr>
              <w:t>分析情况结果表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2436"/>
              <w:gridCol w:w="3275"/>
              <w:gridCol w:w="815"/>
            </w:tblGrid>
            <w:tr w14:paraId="6385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noWrap w:val="0"/>
                  <w:vAlign w:val="center"/>
                </w:tcPr>
                <w:p w14:paraId="003C4061">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bCs/>
                      <w:smallCaps w:val="0"/>
                      <w:color w:val="auto"/>
                      <w:sz w:val="21"/>
                      <w:szCs w:val="21"/>
                      <w:highlight w:val="none"/>
                    </w:rPr>
                    <w:t>相关政策</w:t>
                  </w:r>
                </w:p>
              </w:tc>
              <w:tc>
                <w:tcPr>
                  <w:tcW w:w="1488" w:type="pct"/>
                  <w:noWrap w:val="0"/>
                  <w:vAlign w:val="center"/>
                </w:tcPr>
                <w:p w14:paraId="7AD214A7">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bCs/>
                      <w:smallCaps w:val="0"/>
                      <w:color w:val="auto"/>
                      <w:sz w:val="21"/>
                      <w:szCs w:val="21"/>
                      <w:highlight w:val="none"/>
                    </w:rPr>
                    <w:t>要求</w:t>
                  </w:r>
                </w:p>
              </w:tc>
              <w:tc>
                <w:tcPr>
                  <w:tcW w:w="2001" w:type="pct"/>
                  <w:noWrap w:val="0"/>
                  <w:vAlign w:val="center"/>
                </w:tcPr>
                <w:p w14:paraId="4D05FC1F">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bCs/>
                      <w:smallCaps w:val="0"/>
                      <w:color w:val="auto"/>
                      <w:sz w:val="21"/>
                      <w:szCs w:val="21"/>
                      <w:highlight w:val="none"/>
                    </w:rPr>
                    <w:t>说明</w:t>
                  </w:r>
                </w:p>
              </w:tc>
              <w:tc>
                <w:tcPr>
                  <w:tcW w:w="498" w:type="pct"/>
                  <w:noWrap w:val="0"/>
                  <w:vAlign w:val="center"/>
                </w:tcPr>
                <w:p w14:paraId="49AE8259">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bCs/>
                      <w:smallCaps w:val="0"/>
                      <w:color w:val="auto"/>
                      <w:sz w:val="21"/>
                      <w:szCs w:val="21"/>
                      <w:highlight w:val="none"/>
                    </w:rPr>
                    <w:t>符合性</w:t>
                  </w:r>
                </w:p>
              </w:tc>
            </w:tr>
            <w:tr w14:paraId="767B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noWrap w:val="0"/>
                  <w:vAlign w:val="center"/>
                </w:tcPr>
                <w:p w14:paraId="26EBB450">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smallCaps w:val="0"/>
                      <w:color w:val="auto"/>
                      <w:sz w:val="21"/>
                      <w:szCs w:val="21"/>
                      <w:highlight w:val="none"/>
                      <w:lang w:eastAsia="zh-CN"/>
                    </w:rPr>
                  </w:pPr>
                  <w:r>
                    <w:rPr>
                      <w:rFonts w:hint="eastAsia" w:ascii="Times New Roman" w:hAnsi="Times New Roman" w:eastAsia="宋体" w:cs="Times New Roman"/>
                      <w:b w:val="0"/>
                      <w:bCs w:val="0"/>
                      <w:smallCaps w:val="0"/>
                      <w:color w:val="auto"/>
                      <w:sz w:val="21"/>
                      <w:szCs w:val="21"/>
                      <w:highlight w:val="none"/>
                    </w:rPr>
                    <w:t>《“十四五</w:t>
                  </w:r>
                  <w:r>
                    <w:rPr>
                      <w:rFonts w:hint="eastAsia" w:ascii="Times New Roman" w:eastAsia="宋体" w:cs="Times New Roman"/>
                      <w:b w:val="0"/>
                      <w:bCs w:val="0"/>
                      <w:smallCaps w:val="0"/>
                      <w:color w:val="auto"/>
                      <w:sz w:val="21"/>
                      <w:szCs w:val="21"/>
                      <w:highlight w:val="none"/>
                      <w:lang w:eastAsia="zh-CN"/>
                    </w:rPr>
                    <w:t>”</w:t>
                  </w:r>
                </w:p>
                <w:p w14:paraId="25ED5285">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smallCaps w:val="0"/>
                      <w:color w:val="auto"/>
                      <w:sz w:val="21"/>
                      <w:szCs w:val="21"/>
                      <w:highlight w:val="none"/>
                    </w:rPr>
                  </w:pPr>
                  <w:r>
                    <w:rPr>
                      <w:rFonts w:hint="eastAsia" w:ascii="Times New Roman" w:hAnsi="Times New Roman" w:eastAsia="宋体" w:cs="Times New Roman"/>
                      <w:b w:val="0"/>
                      <w:bCs w:val="0"/>
                      <w:smallCaps w:val="0"/>
                      <w:color w:val="auto"/>
                      <w:sz w:val="21"/>
                      <w:szCs w:val="21"/>
                      <w:highlight w:val="none"/>
                    </w:rPr>
                    <w:t>节能减排综合工作方案》</w:t>
                  </w:r>
                </w:p>
              </w:tc>
              <w:tc>
                <w:tcPr>
                  <w:tcW w:w="1488" w:type="pct"/>
                  <w:noWrap w:val="0"/>
                  <w:vAlign w:val="center"/>
                </w:tcPr>
                <w:p w14:paraId="461E1E92">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default" w:ascii="Times New Roman" w:hAnsi="Times New Roman" w:eastAsia="宋体" w:cs="Times New Roman"/>
                      <w:b w:val="0"/>
                      <w:bCs w:val="0"/>
                      <w:smallCaps w:val="0"/>
                      <w:color w:val="auto"/>
                      <w:sz w:val="21"/>
                      <w:szCs w:val="21"/>
                      <w:highlight w:val="none"/>
                    </w:rPr>
                  </w:pPr>
                  <w:r>
                    <w:rPr>
                      <w:rFonts w:hint="eastAsia" w:ascii="Times New Roman" w:hAnsi="Times New Roman" w:eastAsia="宋体" w:cs="Times New Roman"/>
                      <w:b w:val="0"/>
                      <w:bCs w:val="0"/>
                      <w:smallCaps w:val="0"/>
                      <w:color w:val="auto"/>
                      <w:sz w:val="21"/>
                      <w:szCs w:val="21"/>
                      <w:highlight w:val="none"/>
                    </w:rPr>
                    <w:t>稳妥有序推进大气污染防治重点区域燃料类煤气发生炉、燃煤热风炉、热处理炉、干燥炉</w:t>
                  </w:r>
                  <w:r>
                    <w:rPr>
                      <w:rFonts w:hint="eastAsia" w:ascii="Times New Roman" w:eastAsia="宋体" w:cs="Times New Roman"/>
                      <w:b w:val="0"/>
                      <w:bCs w:val="0"/>
                      <w:smallCaps w:val="0"/>
                      <w:color w:val="auto"/>
                      <w:sz w:val="21"/>
                      <w:szCs w:val="21"/>
                      <w:highlight w:val="none"/>
                      <w:lang w:eastAsia="zh-CN"/>
                    </w:rPr>
                    <w:t>（</w:t>
                  </w:r>
                  <w:r>
                    <w:rPr>
                      <w:rFonts w:hint="eastAsia" w:ascii="Times New Roman" w:hAnsi="Times New Roman" w:eastAsia="宋体" w:cs="Times New Roman"/>
                      <w:b w:val="0"/>
                      <w:bCs w:val="0"/>
                      <w:smallCaps w:val="0"/>
                      <w:color w:val="auto"/>
                      <w:sz w:val="21"/>
                      <w:szCs w:val="21"/>
                      <w:highlight w:val="none"/>
                    </w:rPr>
                    <w:t>窑</w:t>
                  </w:r>
                  <w:r>
                    <w:rPr>
                      <w:rFonts w:hint="eastAsia" w:ascii="Times New Roman" w:eastAsia="宋体" w:cs="Times New Roman"/>
                      <w:b w:val="0"/>
                      <w:bCs w:val="0"/>
                      <w:smallCaps w:val="0"/>
                      <w:color w:val="auto"/>
                      <w:sz w:val="21"/>
                      <w:szCs w:val="21"/>
                      <w:highlight w:val="none"/>
                      <w:lang w:eastAsia="zh-CN"/>
                    </w:rPr>
                    <w:t>）</w:t>
                  </w:r>
                  <w:r>
                    <w:rPr>
                      <w:rFonts w:hint="eastAsia" w:ascii="Times New Roman" w:hAnsi="Times New Roman" w:eastAsia="宋体" w:cs="Times New Roman"/>
                      <w:b w:val="0"/>
                      <w:bCs w:val="0"/>
                      <w:smallCaps w:val="0"/>
                      <w:color w:val="auto"/>
                      <w:sz w:val="21"/>
                      <w:szCs w:val="21"/>
                      <w:highlight w:val="none"/>
                    </w:rPr>
                    <w:t>一级建材行业煤炭减量，实施清洁电力和天然气替代。加大落后燃煤锅炉和燃煤小热电退出力度，推动已工业余热、电厂余热、清洁能源等替代煤炭供热</w:t>
                  </w:r>
                  <w:r>
                    <w:rPr>
                      <w:rFonts w:hint="eastAsia" w:ascii="Times New Roman" w:eastAsia="宋体" w:cs="Times New Roman"/>
                      <w:b w:val="0"/>
                      <w:bCs w:val="0"/>
                      <w:smallCaps w:val="0"/>
                      <w:color w:val="auto"/>
                      <w:sz w:val="21"/>
                      <w:szCs w:val="21"/>
                      <w:highlight w:val="none"/>
                      <w:lang w:eastAsia="zh-CN"/>
                    </w:rPr>
                    <w:t>（</w:t>
                  </w:r>
                  <w:r>
                    <w:rPr>
                      <w:rFonts w:hint="eastAsia" w:ascii="Times New Roman" w:hAnsi="Times New Roman" w:eastAsia="宋体" w:cs="Times New Roman"/>
                      <w:b w:val="0"/>
                      <w:bCs w:val="0"/>
                      <w:smallCaps w:val="0"/>
                      <w:color w:val="auto"/>
                      <w:sz w:val="21"/>
                      <w:szCs w:val="21"/>
                      <w:highlight w:val="none"/>
                    </w:rPr>
                    <w:t>蒸汽</w:t>
                  </w:r>
                  <w:r>
                    <w:rPr>
                      <w:rFonts w:hint="eastAsia" w:ascii="Times New Roman" w:eastAsia="宋体" w:cs="Times New Roman"/>
                      <w:b w:val="0"/>
                      <w:bCs w:val="0"/>
                      <w:smallCaps w:val="0"/>
                      <w:color w:val="auto"/>
                      <w:sz w:val="21"/>
                      <w:szCs w:val="21"/>
                      <w:highlight w:val="none"/>
                      <w:lang w:eastAsia="zh-CN"/>
                    </w:rPr>
                    <w:t>）</w:t>
                  </w:r>
                  <w:r>
                    <w:rPr>
                      <w:rFonts w:hint="eastAsia" w:ascii="Times New Roman" w:hAnsi="Times New Roman" w:eastAsia="宋体" w:cs="Times New Roman"/>
                      <w:b w:val="0"/>
                      <w:bCs w:val="0"/>
                      <w:smallCaps w:val="0"/>
                      <w:color w:val="auto"/>
                      <w:sz w:val="21"/>
                      <w:szCs w:val="21"/>
                      <w:highlight w:val="none"/>
                    </w:rPr>
                    <w:t>。</w:t>
                  </w:r>
                </w:p>
              </w:tc>
              <w:tc>
                <w:tcPr>
                  <w:tcW w:w="2001" w:type="pct"/>
                  <w:noWrap w:val="0"/>
                  <w:vAlign w:val="center"/>
                </w:tcPr>
                <w:p w14:paraId="566D895E">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smallCaps w:val="0"/>
                      <w:color w:val="auto"/>
                      <w:sz w:val="21"/>
                      <w:szCs w:val="21"/>
                      <w:highlight w:val="none"/>
                      <w:lang w:val="en-US" w:eastAsia="zh-CN"/>
                    </w:rPr>
                  </w:pPr>
                  <w:r>
                    <w:rPr>
                      <w:rFonts w:hint="eastAsia" w:ascii="Times New Roman" w:eastAsia="宋体" w:cs="Times New Roman"/>
                      <w:b w:val="0"/>
                      <w:bCs w:val="0"/>
                      <w:smallCaps w:val="0"/>
                      <w:color w:val="auto"/>
                      <w:sz w:val="21"/>
                      <w:szCs w:val="21"/>
                      <w:highlight w:val="none"/>
                      <w:lang w:val="en-US" w:eastAsia="zh-CN"/>
                    </w:rPr>
                    <w:t>本项目锅炉采用天然气为燃料，为清洁能源</w:t>
                  </w:r>
                  <w:r>
                    <w:rPr>
                      <w:rFonts w:hint="eastAsia" w:ascii="Times New Roman" w:hAnsi="Times New Roman" w:eastAsia="宋体" w:cs="Times New Roman"/>
                      <w:b w:val="0"/>
                      <w:bCs w:val="0"/>
                      <w:smallCaps w:val="0"/>
                      <w:color w:val="auto"/>
                      <w:sz w:val="21"/>
                      <w:szCs w:val="21"/>
                      <w:highlight w:val="none"/>
                      <w:lang w:val="en-US" w:eastAsia="zh-CN"/>
                    </w:rPr>
                    <w:t>，且使用污水源热泵协助供热。</w:t>
                  </w:r>
                </w:p>
              </w:tc>
              <w:tc>
                <w:tcPr>
                  <w:tcW w:w="498" w:type="pct"/>
                  <w:noWrap w:val="0"/>
                  <w:vAlign w:val="center"/>
                </w:tcPr>
                <w:p w14:paraId="73480FB1">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smallCaps w:val="0"/>
                      <w:color w:val="auto"/>
                      <w:sz w:val="21"/>
                      <w:szCs w:val="21"/>
                      <w:highlight w:val="none"/>
                      <w:lang w:val="en-US" w:eastAsia="zh-CN"/>
                    </w:rPr>
                  </w:pPr>
                  <w:r>
                    <w:rPr>
                      <w:rFonts w:hint="eastAsia" w:ascii="Times New Roman" w:hAnsi="Times New Roman" w:eastAsia="宋体" w:cs="Times New Roman"/>
                      <w:b w:val="0"/>
                      <w:bCs w:val="0"/>
                      <w:smallCaps w:val="0"/>
                      <w:color w:val="auto"/>
                      <w:sz w:val="21"/>
                      <w:szCs w:val="21"/>
                      <w:highlight w:val="none"/>
                      <w:lang w:val="en-US" w:eastAsia="zh-CN"/>
                    </w:rPr>
                    <w:t>符合</w:t>
                  </w:r>
                </w:p>
              </w:tc>
            </w:tr>
            <w:tr w14:paraId="23DD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noWrap w:val="0"/>
                  <w:vAlign w:val="center"/>
                </w:tcPr>
                <w:p w14:paraId="356CFB04">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smallCaps w:val="0"/>
                      <w:color w:val="auto"/>
                      <w:sz w:val="21"/>
                      <w:szCs w:val="21"/>
                      <w:highlight w:val="none"/>
                    </w:rPr>
                  </w:pPr>
                  <w:r>
                    <w:rPr>
                      <w:rFonts w:hint="eastAsia" w:ascii="Times New Roman" w:hAnsi="Times New Roman" w:eastAsia="宋体" w:cs="Times New Roman"/>
                      <w:b w:val="0"/>
                      <w:bCs w:val="0"/>
                      <w:smallCaps w:val="0"/>
                      <w:color w:val="auto"/>
                      <w:sz w:val="21"/>
                      <w:szCs w:val="21"/>
                      <w:highlight w:val="none"/>
                    </w:rPr>
                    <w:t>《</w:t>
                  </w:r>
                  <w:r>
                    <w:rPr>
                      <w:rFonts w:hint="eastAsia" w:ascii="Times New Roman" w:eastAsia="宋体" w:cs="Times New Roman"/>
                      <w:b w:val="0"/>
                      <w:bCs w:val="0"/>
                      <w:smallCaps w:val="0"/>
                      <w:color w:val="auto"/>
                      <w:sz w:val="21"/>
                      <w:szCs w:val="21"/>
                      <w:highlight w:val="none"/>
                      <w:lang w:val="en-US" w:eastAsia="zh-CN"/>
                    </w:rPr>
                    <w:t>陕西“十四五”环境生态保护规划</w:t>
                  </w:r>
                  <w:r>
                    <w:rPr>
                      <w:rFonts w:hint="eastAsia" w:ascii="Times New Roman" w:hAnsi="Times New Roman" w:eastAsia="宋体" w:cs="Times New Roman"/>
                      <w:b w:val="0"/>
                      <w:bCs w:val="0"/>
                      <w:smallCaps w:val="0"/>
                      <w:color w:val="auto"/>
                      <w:sz w:val="21"/>
                      <w:szCs w:val="21"/>
                      <w:highlight w:val="none"/>
                    </w:rPr>
                    <w:t>》</w:t>
                  </w:r>
                </w:p>
              </w:tc>
              <w:tc>
                <w:tcPr>
                  <w:tcW w:w="1488" w:type="pct"/>
                  <w:noWrap w:val="0"/>
                  <w:vAlign w:val="center"/>
                </w:tcPr>
                <w:p w14:paraId="4F39C5DA">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Times New Roman" w:hAnsi="Times New Roman" w:eastAsia="宋体" w:cs="Times New Roman"/>
                      <w:b w:val="0"/>
                      <w:bCs w:val="0"/>
                      <w:smallCaps w:val="0"/>
                      <w:color w:val="auto"/>
                      <w:sz w:val="21"/>
                      <w:szCs w:val="21"/>
                      <w:highlight w:val="none"/>
                    </w:rPr>
                  </w:pPr>
                  <w:r>
                    <w:rPr>
                      <w:rFonts w:hint="eastAsia" w:ascii="Times New Roman" w:hAnsi="Times New Roman" w:eastAsia="宋体" w:cs="Times New Roman"/>
                      <w:b w:val="0"/>
                      <w:bCs w:val="0"/>
                      <w:smallCaps w:val="0"/>
                      <w:color w:val="auto"/>
                      <w:sz w:val="21"/>
                      <w:szCs w:val="21"/>
                      <w:highlight w:val="none"/>
                    </w:rPr>
                    <w:t>强化工业炉窑和锅炉全面管控。巩固锅炉拆改成效，扎实推进燃煤锅炉淘汰，关中地区巩固锅炉拆改成效、燃气锅炉低氮改造成果。</w:t>
                  </w:r>
                </w:p>
              </w:tc>
              <w:tc>
                <w:tcPr>
                  <w:tcW w:w="2001" w:type="pct"/>
                  <w:noWrap w:val="0"/>
                  <w:vAlign w:val="center"/>
                </w:tcPr>
                <w:p w14:paraId="19E75860">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smallCaps w:val="0"/>
                      <w:color w:val="auto"/>
                      <w:sz w:val="21"/>
                      <w:szCs w:val="21"/>
                      <w:highlight w:val="none"/>
                    </w:rPr>
                  </w:pPr>
                  <w:r>
                    <w:rPr>
                      <w:rFonts w:hint="eastAsia" w:ascii="Times New Roman" w:eastAsia="宋体" w:cs="Times New Roman"/>
                      <w:b w:val="0"/>
                      <w:bCs w:val="0"/>
                      <w:smallCaps w:val="0"/>
                      <w:color w:val="auto"/>
                      <w:sz w:val="21"/>
                      <w:szCs w:val="21"/>
                      <w:highlight w:val="none"/>
                      <w:lang w:val="en-US" w:eastAsia="zh-CN"/>
                    </w:rPr>
                    <w:t>本项目新建锅炉为燃气锅炉，并且采用低氮燃烧器通过25m高排气筒排放</w:t>
                  </w:r>
                  <w:r>
                    <w:rPr>
                      <w:rFonts w:hint="eastAsia" w:ascii="Times New Roman" w:hAnsi="Times New Roman" w:eastAsia="宋体" w:cs="Times New Roman"/>
                      <w:b w:val="0"/>
                      <w:bCs w:val="0"/>
                      <w:smallCaps w:val="0"/>
                      <w:color w:val="auto"/>
                      <w:sz w:val="21"/>
                      <w:szCs w:val="21"/>
                      <w:highlight w:val="none"/>
                    </w:rPr>
                    <w:t>。</w:t>
                  </w:r>
                </w:p>
              </w:tc>
              <w:tc>
                <w:tcPr>
                  <w:tcW w:w="498" w:type="pct"/>
                  <w:noWrap w:val="0"/>
                  <w:vAlign w:val="center"/>
                </w:tcPr>
                <w:p w14:paraId="6FBF147C">
                  <w:pPr>
                    <w:pStyle w:val="3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smallCaps w:val="0"/>
                      <w:color w:val="auto"/>
                      <w:sz w:val="21"/>
                      <w:szCs w:val="21"/>
                      <w:highlight w:val="none"/>
                      <w:lang w:val="en-US" w:eastAsia="zh-CN"/>
                    </w:rPr>
                  </w:pPr>
                  <w:r>
                    <w:rPr>
                      <w:rFonts w:hint="eastAsia" w:ascii="Times New Roman" w:hAnsi="Times New Roman" w:eastAsia="宋体" w:cs="Times New Roman"/>
                      <w:b w:val="0"/>
                      <w:bCs w:val="0"/>
                      <w:smallCaps w:val="0"/>
                      <w:color w:val="auto"/>
                      <w:sz w:val="21"/>
                      <w:szCs w:val="21"/>
                      <w:highlight w:val="none"/>
                      <w:lang w:val="en-US" w:eastAsia="zh-CN"/>
                    </w:rPr>
                    <w:t>符合</w:t>
                  </w:r>
                </w:p>
              </w:tc>
            </w:tr>
            <w:tr w14:paraId="5E64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011" w:type="pct"/>
                  <w:noWrap w:val="0"/>
                  <w:vAlign w:val="center"/>
                </w:tcPr>
                <w:p w14:paraId="51258B2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eastAsia="zh-CN"/>
                    </w:rPr>
                    <w:t>《宝鸡市“十四五”生态环境保护规划》</w:t>
                  </w:r>
                </w:p>
              </w:tc>
              <w:tc>
                <w:tcPr>
                  <w:tcW w:w="1488" w:type="pct"/>
                  <w:noWrap w:val="0"/>
                  <w:vAlign w:val="center"/>
                </w:tcPr>
                <w:p w14:paraId="6DEB789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宋体"/>
                      <w:color w:val="auto"/>
                      <w:sz w:val="21"/>
                      <w:szCs w:val="21"/>
                      <w:vertAlign w:val="baseline"/>
                    </w:rPr>
                  </w:pPr>
                  <w:r>
                    <w:rPr>
                      <w:rFonts w:hint="default" w:ascii="Times New Roman" w:hAnsi="Times New Roman" w:eastAsia="宋体" w:cs="Times New Roman"/>
                      <w:b w:val="0"/>
                      <w:bCs w:val="0"/>
                      <w:color w:val="auto"/>
                      <w:sz w:val="21"/>
                      <w:szCs w:val="21"/>
                      <w:lang w:val="zh-CN"/>
                    </w:rPr>
                    <w:t>持续巩固燃煤锅炉拆改成效，严格控制新建燃煤锅炉，全面淘汰分散燃煤设施，新建生产经营性锅炉全部使用天然气或其他清洁能源。深入推行燃气锅炉低氮改造，加快学校、医院、政府机构等部门天然气锅炉低氮燃烧改造。</w:t>
                  </w:r>
                </w:p>
              </w:tc>
              <w:tc>
                <w:tcPr>
                  <w:tcW w:w="2001" w:type="pct"/>
                  <w:noWrap w:val="0"/>
                  <w:vAlign w:val="center"/>
                </w:tcPr>
                <w:p w14:paraId="4CBAC5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rPr>
                    <w:t>本项目</w:t>
                  </w:r>
                  <w:r>
                    <w:rPr>
                      <w:rFonts w:hint="eastAsia" w:cs="宋体"/>
                      <w:color w:val="auto"/>
                      <w:sz w:val="21"/>
                      <w:szCs w:val="21"/>
                      <w:vertAlign w:val="baseline"/>
                      <w:lang w:val="en-US" w:eastAsia="zh-CN"/>
                    </w:rPr>
                    <w:t>供热站锅炉为天然气锅炉，采用低氮燃烧器，建成后供热范围覆盖老南街以东、滨河路以北区域</w:t>
                  </w:r>
                  <w:r>
                    <w:rPr>
                      <w:rFonts w:hint="eastAsia" w:ascii="Times New Roman" w:hAnsi="Times New Roman" w:eastAsia="宋体" w:cs="宋体"/>
                      <w:color w:val="auto"/>
                      <w:sz w:val="21"/>
                      <w:szCs w:val="21"/>
                      <w:vertAlign w:val="baseline"/>
                      <w:lang w:val="en-US" w:eastAsia="zh-CN"/>
                    </w:rPr>
                    <w:t>。</w:t>
                  </w:r>
                </w:p>
              </w:tc>
              <w:tc>
                <w:tcPr>
                  <w:tcW w:w="498" w:type="pct"/>
                  <w:noWrap w:val="0"/>
                  <w:vAlign w:val="center"/>
                </w:tcPr>
                <w:p w14:paraId="7B66A9A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r w14:paraId="1906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11" w:type="pct"/>
                  <w:vMerge w:val="restart"/>
                  <w:noWrap w:val="0"/>
                  <w:vAlign w:val="center"/>
                </w:tcPr>
                <w:p w14:paraId="1D0B3A9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《宝鸡市大</w:t>
                  </w:r>
                </w:p>
                <w:p w14:paraId="2C2920C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气污染治理</w:t>
                  </w:r>
                </w:p>
                <w:p w14:paraId="60F0B1B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专项行动方案</w:t>
                  </w:r>
                  <w:r>
                    <w:rPr>
                      <w:rFonts w:hint="eastAsia" w:cs="宋体"/>
                      <w:color w:val="auto"/>
                      <w:sz w:val="21"/>
                      <w:szCs w:val="21"/>
                      <w:vertAlign w:val="baseline"/>
                      <w:lang w:eastAsia="zh-CN"/>
                    </w:rPr>
                    <w:t>（</w:t>
                  </w:r>
                  <w:r>
                    <w:rPr>
                      <w:rFonts w:hint="eastAsia" w:ascii="Times New Roman" w:hAnsi="Times New Roman" w:eastAsia="宋体" w:cs="宋体"/>
                      <w:color w:val="auto"/>
                      <w:sz w:val="21"/>
                      <w:szCs w:val="21"/>
                      <w:vertAlign w:val="baseline"/>
                      <w:lang w:eastAsia="zh-CN"/>
                    </w:rPr>
                    <w:t>2023 年</w:t>
                  </w:r>
                </w:p>
                <w:p w14:paraId="1E32660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eastAsia" w:ascii="Times New Roman" w:hAnsi="Times New Roman" w:eastAsia="宋体" w:cs="宋体"/>
                      <w:color w:val="auto"/>
                      <w:sz w:val="21"/>
                      <w:szCs w:val="21"/>
                      <w:vertAlign w:val="baseline"/>
                      <w:lang w:eastAsia="zh-CN"/>
                    </w:rPr>
                    <w:t>-2027年</w:t>
                  </w:r>
                  <w:r>
                    <w:rPr>
                      <w:rFonts w:hint="eastAsia" w:cs="宋体"/>
                      <w:color w:val="auto"/>
                      <w:sz w:val="21"/>
                      <w:szCs w:val="21"/>
                      <w:vertAlign w:val="baseline"/>
                      <w:lang w:eastAsia="zh-CN"/>
                    </w:rPr>
                    <w:t>）</w:t>
                  </w:r>
                  <w:r>
                    <w:rPr>
                      <w:rFonts w:hint="eastAsia" w:ascii="Times New Roman" w:hAnsi="Times New Roman" w:eastAsia="宋体" w:cs="宋体"/>
                      <w:color w:val="auto"/>
                      <w:sz w:val="21"/>
                      <w:szCs w:val="21"/>
                      <w:vertAlign w:val="baseline"/>
                      <w:lang w:eastAsia="zh-CN"/>
                    </w:rPr>
                    <w:t>》</w:t>
                  </w:r>
                </w:p>
              </w:tc>
              <w:tc>
                <w:tcPr>
                  <w:tcW w:w="1488" w:type="pct"/>
                  <w:noWrap w:val="0"/>
                  <w:vAlign w:val="center"/>
                </w:tcPr>
                <w:p w14:paraId="71C25BB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宋体"/>
                      <w:color w:val="auto"/>
                      <w:sz w:val="21"/>
                      <w:szCs w:val="21"/>
                      <w:vertAlign w:val="baseline"/>
                    </w:rPr>
                  </w:pPr>
                  <w:r>
                    <w:rPr>
                      <w:rFonts w:hint="eastAsia" w:ascii="Times New Roman" w:hAnsi="Times New Roman" w:eastAsia="宋体" w:cs="宋体"/>
                      <w:color w:val="auto"/>
                      <w:sz w:val="21"/>
                      <w:szCs w:val="21"/>
                      <w:vertAlign w:val="baseline"/>
                    </w:rPr>
                    <w:t>市辖区及开发区新、改、扩建涉气重点行业企业应达到环保绩效 A级、绩效引领性水平。</w:t>
                  </w:r>
                </w:p>
              </w:tc>
              <w:tc>
                <w:tcPr>
                  <w:tcW w:w="2001" w:type="pct"/>
                  <w:noWrap w:val="0"/>
                  <w:vAlign w:val="center"/>
                </w:tcPr>
                <w:p w14:paraId="079BFA2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eastAsia"/>
                    </w:rPr>
                    <w:t>本项目为热力生产和供应</w:t>
                  </w:r>
                  <w:r>
                    <w:rPr>
                      <w:rFonts w:hint="eastAsia"/>
                      <w:lang w:eastAsia="zh-CN"/>
                    </w:rPr>
                    <w:t>，</w:t>
                  </w:r>
                  <w:r>
                    <w:rPr>
                      <w:rFonts w:hint="eastAsia"/>
                    </w:rPr>
                    <w:t>不属于重点行业企业</w:t>
                  </w:r>
                </w:p>
              </w:tc>
              <w:tc>
                <w:tcPr>
                  <w:tcW w:w="498" w:type="pct"/>
                  <w:noWrap w:val="0"/>
                  <w:vAlign w:val="center"/>
                </w:tcPr>
                <w:p w14:paraId="7951500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r w14:paraId="5789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7" w:hRule="atLeast"/>
              </w:trPr>
              <w:tc>
                <w:tcPr>
                  <w:tcW w:w="1011" w:type="pct"/>
                  <w:vMerge w:val="continue"/>
                  <w:noWrap w:val="0"/>
                  <w:vAlign w:val="center"/>
                </w:tcPr>
                <w:p w14:paraId="277C552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rPr>
                  </w:pPr>
                </w:p>
              </w:tc>
              <w:tc>
                <w:tcPr>
                  <w:tcW w:w="1488" w:type="pct"/>
                  <w:noWrap w:val="0"/>
                  <w:vAlign w:val="center"/>
                </w:tcPr>
                <w:p w14:paraId="71CE4B8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vertAlign w:val="baseline"/>
                    </w:rPr>
                  </w:pPr>
                  <w:r>
                    <w:rPr>
                      <w:rFonts w:hint="eastAsia" w:ascii="Times New Roman" w:hAnsi="Times New Roman" w:eastAsia="宋体" w:cs="宋体"/>
                      <w:color w:val="auto"/>
                      <w:sz w:val="21"/>
                      <w:szCs w:val="21"/>
                      <w:vertAlign w:val="baseline"/>
                    </w:rPr>
                    <w:t>3.产业发展结构调整。严禁新增钢铁、焦化、水泥熟料、平板玻璃、电解铝、氧化铝、煤化工产能，合理控制煤制油气产能规模，严控新增炼油产能。不得违规新增化工园区。严格执行《产业结构调整指导目录》，坚决遏制</w:t>
                  </w:r>
                  <w:r>
                    <w:rPr>
                      <w:rFonts w:hint="eastAsia" w:cs="宋体"/>
                      <w:color w:val="auto"/>
                      <w:sz w:val="21"/>
                      <w:szCs w:val="21"/>
                      <w:vertAlign w:val="baseline"/>
                      <w:lang w:eastAsia="zh-CN"/>
                    </w:rPr>
                    <w:t>“</w:t>
                  </w:r>
                  <w:r>
                    <w:rPr>
                      <w:rFonts w:hint="eastAsia" w:ascii="Times New Roman" w:hAnsi="Times New Roman" w:eastAsia="宋体" w:cs="宋体"/>
                      <w:color w:val="auto"/>
                      <w:sz w:val="21"/>
                      <w:szCs w:val="21"/>
                      <w:vertAlign w:val="baseline"/>
                    </w:rPr>
                    <w:t>两高</w:t>
                  </w:r>
                  <w:r>
                    <w:rPr>
                      <w:rFonts w:hint="eastAsia" w:cs="宋体"/>
                      <w:color w:val="auto"/>
                      <w:sz w:val="21"/>
                      <w:szCs w:val="21"/>
                      <w:vertAlign w:val="baseline"/>
                      <w:lang w:eastAsia="zh-CN"/>
                    </w:rPr>
                    <w:t>”</w:t>
                  </w:r>
                  <w:r>
                    <w:rPr>
                      <w:rFonts w:hint="eastAsia" w:ascii="Times New Roman" w:hAnsi="Times New Roman" w:eastAsia="宋体" w:cs="宋体"/>
                      <w:color w:val="auto"/>
                      <w:sz w:val="21"/>
                      <w:szCs w:val="21"/>
                      <w:vertAlign w:val="baseline"/>
                    </w:rPr>
                    <w:t>项目盲目发展，严格落实国家产业规划、产业政策、“三线一单”、规划环评以及产能置换、煤炭消费减量替代、区域污染物削减等要求，严禁不符合规定的项目建设。</w:t>
                  </w:r>
                </w:p>
              </w:tc>
              <w:tc>
                <w:tcPr>
                  <w:tcW w:w="2001" w:type="pct"/>
                  <w:noWrap w:val="0"/>
                  <w:vAlign w:val="center"/>
                </w:tcPr>
                <w:p w14:paraId="012C8B8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eastAsia="zh-CN"/>
                    </w:rPr>
                  </w:pPr>
                  <w:r>
                    <w:rPr>
                      <w:rFonts w:hint="default" w:ascii="Times New Roman" w:hAnsi="Times New Roman" w:eastAsia="宋体" w:cs="宋体"/>
                      <w:color w:val="auto"/>
                      <w:sz w:val="21"/>
                      <w:szCs w:val="21"/>
                      <w:vertAlign w:val="baseline"/>
                    </w:rPr>
                    <w:t>按照《陕西省</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两高项目</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管理暂行目录</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2022 年版</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》，本次扩建项目属于6电力、热力生产和供应业</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44</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热力生产和供</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4430</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但根据陕西省发展和改革委员会主任信箱《关于《陕西省</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两高</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项目管理暂行目录</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2022 年版</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》通知解读的咨询》的回复内容，</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两高</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是指高耗能、高排放项目，热力生产行业重点针对以热力生产为主要建设内容且年综合能耗</w:t>
                  </w:r>
                  <w:r>
                    <w:rPr>
                      <w:rFonts w:hint="eastAsia" w:ascii="Times New Roman" w:hAnsi="Times New Roman" w:eastAsia="宋体" w:cs="宋体"/>
                      <w:color w:val="auto"/>
                      <w:sz w:val="21"/>
                      <w:szCs w:val="21"/>
                      <w:vertAlign w:val="baseline"/>
                      <w:lang w:eastAsia="zh-CN"/>
                    </w:rPr>
                    <w:t>（</w:t>
                  </w:r>
                  <w:r>
                    <w:rPr>
                      <w:rFonts w:hint="default" w:ascii="Times New Roman" w:hAnsi="Times New Roman" w:eastAsia="宋体" w:cs="宋体"/>
                      <w:color w:val="auto"/>
                      <w:sz w:val="21"/>
                      <w:szCs w:val="21"/>
                      <w:vertAlign w:val="baseline"/>
                    </w:rPr>
                    <w:t>等价值</w:t>
                  </w:r>
                  <w:r>
                    <w:rPr>
                      <w:rFonts w:hint="eastAsia" w:ascii="Times New Roman" w:hAnsi="Times New Roman" w:eastAsia="宋体" w:cs="宋体"/>
                      <w:color w:val="auto"/>
                      <w:sz w:val="21"/>
                      <w:szCs w:val="21"/>
                      <w:vertAlign w:val="baseline"/>
                      <w:lang w:eastAsia="zh-CN"/>
                    </w:rPr>
                    <w:t>）</w:t>
                  </w:r>
                  <w:r>
                    <w:rPr>
                      <w:rFonts w:hint="default" w:ascii="Times New Roman" w:hAnsi="Times New Roman" w:eastAsia="宋体" w:cs="宋体"/>
                      <w:color w:val="auto"/>
                      <w:sz w:val="21"/>
                      <w:szCs w:val="21"/>
                      <w:vertAlign w:val="baseline"/>
                    </w:rPr>
                    <w:t>5万吨标准煤及以上的项目进行管控。本项目天然气耗量为</w:t>
                  </w:r>
                  <w:r>
                    <w:rPr>
                      <w:rFonts w:hint="eastAsia" w:ascii="Times New Roman" w:hAnsi="Times New Roman" w:eastAsia="宋体" w:cs="宋体"/>
                      <w:color w:val="auto"/>
                      <w:sz w:val="21"/>
                      <w:szCs w:val="21"/>
                      <w:vertAlign w:val="baseline"/>
                      <w:lang w:val="en-US" w:eastAsia="zh-CN"/>
                    </w:rPr>
                    <w:t>1463040</w:t>
                  </w:r>
                  <w:r>
                    <w:rPr>
                      <w:rFonts w:hint="default" w:ascii="Times New Roman" w:hAnsi="Times New Roman" w:eastAsia="宋体" w:cs="宋体"/>
                      <w:color w:val="auto"/>
                      <w:sz w:val="21"/>
                      <w:szCs w:val="21"/>
                      <w:vertAlign w:val="baseline"/>
                    </w:rPr>
                    <w:t>Nm</w:t>
                  </w:r>
                  <w:r>
                    <w:rPr>
                      <w:rFonts w:hint="default" w:ascii="Times New Roman" w:hAnsi="Times New Roman" w:eastAsia="宋体" w:cs="宋体"/>
                      <w:color w:val="auto"/>
                      <w:sz w:val="21"/>
                      <w:szCs w:val="21"/>
                      <w:vertAlign w:val="superscript"/>
                    </w:rPr>
                    <w:t>3</w:t>
                  </w:r>
                  <w:r>
                    <w:rPr>
                      <w:rFonts w:hint="default" w:ascii="Times New Roman" w:hAnsi="Times New Roman" w:eastAsia="宋体" w:cs="宋体"/>
                      <w:color w:val="auto"/>
                      <w:sz w:val="21"/>
                      <w:szCs w:val="21"/>
                      <w:vertAlign w:val="baseline"/>
                    </w:rPr>
                    <w:t>，折合标煤约为0.13万吨标煤，低于5万吨标煤，因此本次扩建项目不按照</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两高</w:t>
                  </w:r>
                  <w:r>
                    <w:rPr>
                      <w:rFonts w:hint="eastAsia" w:cs="宋体"/>
                      <w:color w:val="auto"/>
                      <w:sz w:val="21"/>
                      <w:szCs w:val="21"/>
                      <w:vertAlign w:val="baseline"/>
                      <w:lang w:eastAsia="zh-CN"/>
                    </w:rPr>
                    <w:t>”</w:t>
                  </w:r>
                  <w:r>
                    <w:rPr>
                      <w:rFonts w:hint="default" w:ascii="Times New Roman" w:hAnsi="Times New Roman" w:eastAsia="宋体" w:cs="宋体"/>
                      <w:color w:val="auto"/>
                      <w:sz w:val="21"/>
                      <w:szCs w:val="21"/>
                      <w:vertAlign w:val="baseline"/>
                    </w:rPr>
                    <w:t>项目进行管理</w:t>
                  </w:r>
                  <w:r>
                    <w:rPr>
                      <w:rFonts w:hint="eastAsia" w:cs="宋体"/>
                      <w:color w:val="auto"/>
                      <w:sz w:val="21"/>
                      <w:szCs w:val="21"/>
                      <w:vertAlign w:val="baseline"/>
                      <w:lang w:eastAsia="zh-CN"/>
                    </w:rPr>
                    <w:t>。</w:t>
                  </w:r>
                </w:p>
              </w:tc>
              <w:tc>
                <w:tcPr>
                  <w:tcW w:w="498" w:type="pct"/>
                  <w:noWrap w:val="0"/>
                  <w:vAlign w:val="center"/>
                </w:tcPr>
                <w:p w14:paraId="56CBA0D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bl>
          <w:p w14:paraId="1A202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color w:val="auto"/>
              </w:rPr>
            </w:pPr>
            <w:r>
              <w:rPr>
                <w:rFonts w:hint="eastAsia" w:ascii="宋体" w:hAnsi="宋体" w:eastAsia="宋体" w:cs="宋体"/>
                <w:b/>
                <w:bCs/>
                <w:color w:val="auto"/>
                <w:kern w:val="0"/>
                <w:sz w:val="24"/>
                <w:szCs w:val="24"/>
                <w:lang w:val="en-US" w:eastAsia="zh-CN" w:bidi="ar"/>
              </w:rPr>
              <w:t>三、</w:t>
            </w:r>
            <w:r>
              <w:rPr>
                <w:rFonts w:hint="default" w:ascii="Times New Roman" w:hAnsi="Times New Roman" w:eastAsia="宋体" w:cs="Times New Roman"/>
                <w:b/>
                <w:bCs/>
                <w:color w:val="auto"/>
                <w:kern w:val="0"/>
                <w:sz w:val="24"/>
                <w:szCs w:val="24"/>
                <w:lang w:val="en-US" w:eastAsia="zh-CN" w:bidi="ar"/>
              </w:rPr>
              <w:t>“</w:t>
            </w:r>
            <w:r>
              <w:rPr>
                <w:rFonts w:hint="eastAsia" w:ascii="宋体" w:hAnsi="宋体" w:eastAsia="宋体" w:cs="宋体"/>
                <w:b/>
                <w:bCs/>
                <w:color w:val="auto"/>
                <w:kern w:val="0"/>
                <w:sz w:val="24"/>
                <w:szCs w:val="24"/>
                <w:lang w:val="en-US" w:eastAsia="zh-CN" w:bidi="ar"/>
              </w:rPr>
              <w:t>三线一单</w:t>
            </w:r>
            <w:r>
              <w:rPr>
                <w:rFonts w:hint="default" w:ascii="Times New Roman" w:hAnsi="Times New Roman" w:eastAsia="宋体" w:cs="Times New Roman"/>
                <w:b/>
                <w:bCs/>
                <w:color w:val="auto"/>
                <w:kern w:val="0"/>
                <w:sz w:val="24"/>
                <w:szCs w:val="24"/>
                <w:lang w:val="en-US" w:eastAsia="zh-CN" w:bidi="ar"/>
              </w:rPr>
              <w:t>”</w:t>
            </w:r>
            <w:r>
              <w:rPr>
                <w:rFonts w:hint="eastAsia" w:ascii="宋体" w:hAnsi="宋体" w:eastAsia="宋体" w:cs="宋体"/>
                <w:b/>
                <w:bCs/>
                <w:color w:val="auto"/>
                <w:kern w:val="0"/>
                <w:sz w:val="24"/>
                <w:szCs w:val="24"/>
                <w:lang w:val="en-US" w:eastAsia="zh-CN" w:bidi="ar"/>
              </w:rPr>
              <w:t>相符性分析</w:t>
            </w:r>
          </w:p>
          <w:p w14:paraId="020AB63F">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根据《关于以改善环境质量为核心加强环境影响评价管理的通知》（环评〔2016〕150号），本项目</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三线一单</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符合情况见表</w:t>
            </w:r>
            <w:r>
              <w:rPr>
                <w:rFonts w:hint="eastAsia" w:ascii="Times New Roman" w:hAnsi="Times New Roman" w:cs="Times New Roman"/>
                <w:color w:val="auto"/>
                <w:sz w:val="24"/>
                <w:highlight w:val="none"/>
                <w:lang w:val="en-US" w:eastAsia="zh-CN"/>
              </w:rPr>
              <w:t>1-3</w:t>
            </w:r>
            <w:r>
              <w:rPr>
                <w:rFonts w:hint="default" w:ascii="Times New Roman" w:hAnsi="Times New Roman" w:cs="Times New Roman"/>
                <w:color w:val="auto"/>
                <w:sz w:val="24"/>
                <w:highlight w:val="none"/>
              </w:rPr>
              <w:t>。</w:t>
            </w:r>
          </w:p>
          <w:p w14:paraId="7670CFAC">
            <w:pPr>
              <w:pStyle w:val="45"/>
              <w:keepNext w:val="0"/>
              <w:keepLines w:val="0"/>
              <w:numPr>
                <w:ilvl w:val="0"/>
                <w:numId w:val="0"/>
              </w:numPr>
              <w:suppressLineNumbers w:val="0"/>
              <w:spacing w:before="0" w:beforeAutospacing="0" w:after="0" w:afterAutospacing="0"/>
              <w:ind w:left="0" w:right="0"/>
              <w:rPr>
                <w:rFonts w:hint="default" w:ascii="Times New Roman" w:hAnsi="Times New Roman" w:cs="Times New Roman"/>
                <w:color w:val="auto"/>
                <w:szCs w:val="24"/>
                <w:highlight w:val="none"/>
              </w:rPr>
            </w:pPr>
            <w:r>
              <w:rPr>
                <w:rFonts w:hint="eastAsia"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 xml:space="preserve">1-3 </w:t>
            </w:r>
            <w:r>
              <w:rPr>
                <w:rFonts w:hint="eastAsia" w:ascii="Times New Roman" w:hAnsi="Times New Roman" w:cs="Times New Roman"/>
                <w:color w:val="auto"/>
                <w:szCs w:val="24"/>
                <w:highlight w:val="none"/>
              </w:rPr>
              <w:t>本项目与</w:t>
            </w:r>
            <w:r>
              <w:rPr>
                <w:rFonts w:hint="eastAsia"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rPr>
              <w:t>三线一单</w:t>
            </w:r>
            <w:r>
              <w:rPr>
                <w:rFonts w:hint="eastAsia"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rPr>
              <w:t>符合性分析表</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64"/>
              <w:gridCol w:w="5191"/>
              <w:gridCol w:w="1027"/>
            </w:tblGrid>
            <w:tr w14:paraId="55C69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00" w:type="pct"/>
                  <w:noWrap w:val="0"/>
                  <w:vAlign w:val="center"/>
                </w:tcPr>
                <w:p w14:paraId="09EB120A">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b/>
                      <w:color w:val="auto"/>
                      <w:sz w:val="21"/>
                    </w:rPr>
                  </w:pPr>
                  <w:r>
                    <w:rPr>
                      <w:rFonts w:hint="default" w:ascii="Times New Roman" w:hAnsi="Times New Roman" w:eastAsia="宋体"/>
                      <w:b/>
                      <w:color w:val="auto"/>
                      <w:sz w:val="21"/>
                    </w:rPr>
                    <w:t>“三线一单”</w:t>
                  </w:r>
                </w:p>
              </w:tc>
              <w:tc>
                <w:tcPr>
                  <w:tcW w:w="3171" w:type="pct"/>
                  <w:noWrap w:val="0"/>
                  <w:vAlign w:val="center"/>
                </w:tcPr>
                <w:p w14:paraId="4664A41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b/>
                      <w:color w:val="auto"/>
                      <w:sz w:val="21"/>
                    </w:rPr>
                  </w:pPr>
                  <w:r>
                    <w:rPr>
                      <w:rFonts w:hint="default" w:ascii="Times New Roman" w:hAnsi="Times New Roman" w:eastAsia="宋体"/>
                      <w:b/>
                      <w:color w:val="auto"/>
                      <w:sz w:val="21"/>
                    </w:rPr>
                    <w:t>本项目</w:t>
                  </w:r>
                </w:p>
              </w:tc>
              <w:tc>
                <w:tcPr>
                  <w:tcW w:w="627" w:type="pct"/>
                  <w:noWrap w:val="0"/>
                  <w:vAlign w:val="center"/>
                </w:tcPr>
                <w:p w14:paraId="1A3968F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b/>
                      <w:color w:val="auto"/>
                      <w:sz w:val="21"/>
                    </w:rPr>
                  </w:pPr>
                  <w:r>
                    <w:rPr>
                      <w:rFonts w:hint="default" w:ascii="Times New Roman" w:hAnsi="Times New Roman" w:eastAsia="宋体"/>
                      <w:b/>
                      <w:color w:val="auto"/>
                      <w:sz w:val="21"/>
                    </w:rPr>
                    <w:t>相符性</w:t>
                  </w:r>
                </w:p>
              </w:tc>
            </w:tr>
            <w:tr w14:paraId="4BE7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200" w:type="pct"/>
                  <w:noWrap w:val="0"/>
                  <w:vAlign w:val="center"/>
                </w:tcPr>
                <w:p w14:paraId="0B62B48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生态保护红线</w:t>
                  </w:r>
                </w:p>
              </w:tc>
              <w:tc>
                <w:tcPr>
                  <w:tcW w:w="3171" w:type="pct"/>
                  <w:noWrap w:val="0"/>
                  <w:vAlign w:val="center"/>
                </w:tcPr>
                <w:p w14:paraId="1AC6D0D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项</w:t>
                  </w:r>
                  <w:r>
                    <w:rPr>
                      <w:rFonts w:hint="default" w:ascii="Times New Roman" w:hAnsi="Times New Roman" w:eastAsia="宋体" w:cs="宋体"/>
                      <w:color w:val="auto"/>
                      <w:sz w:val="21"/>
                    </w:rPr>
                    <w:t>目位于陕西省</w:t>
                  </w:r>
                  <w:r>
                    <w:rPr>
                      <w:rFonts w:hint="eastAsia" w:ascii="Times New Roman" w:hAnsi="Times New Roman" w:cs="宋体"/>
                      <w:color w:val="auto"/>
                      <w:sz w:val="21"/>
                      <w:lang w:val="en-US" w:eastAsia="zh-CN"/>
                    </w:rPr>
                    <w:t>宝鸡市陇县第一污水处理厂</w:t>
                  </w:r>
                  <w:r>
                    <w:rPr>
                      <w:rFonts w:hint="default" w:ascii="Times New Roman" w:hAnsi="Times New Roman" w:eastAsia="宋体" w:cs="宋体"/>
                      <w:color w:val="auto"/>
                      <w:sz w:val="21"/>
                    </w:rPr>
                    <w:t>场地内，</w:t>
                  </w:r>
                  <w:r>
                    <w:rPr>
                      <w:rFonts w:hint="default" w:ascii="Times New Roman" w:hAnsi="Times New Roman" w:eastAsia="宋体"/>
                      <w:color w:val="auto"/>
                      <w:sz w:val="21"/>
                    </w:rPr>
                    <w:t>厂址不涉及自然保护区、饮用水源保护区等生态保护目标</w:t>
                  </w:r>
                </w:p>
              </w:tc>
              <w:tc>
                <w:tcPr>
                  <w:tcW w:w="627" w:type="pct"/>
                  <w:noWrap w:val="0"/>
                  <w:vAlign w:val="center"/>
                </w:tcPr>
                <w:p w14:paraId="7F89FE1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符合</w:t>
                  </w:r>
                </w:p>
              </w:tc>
            </w:tr>
            <w:tr w14:paraId="0508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1200" w:type="pct"/>
                  <w:noWrap w:val="0"/>
                  <w:vAlign w:val="center"/>
                </w:tcPr>
                <w:p w14:paraId="2554C4FA">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环境质量底线</w:t>
                  </w:r>
                </w:p>
              </w:tc>
              <w:tc>
                <w:tcPr>
                  <w:tcW w:w="3171" w:type="pct"/>
                  <w:noWrap w:val="0"/>
                  <w:vAlign w:val="center"/>
                </w:tcPr>
                <w:p w14:paraId="7D7E2DF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区域声环境质量满足对应的质量标准；项目在采取各项环保措施后，废气可达标排放，不会改变区域大气环境质量；废水综合利用不外排，不会对区域地表水、地下水产生影响，厂界噪声排放满足2类标准要求，固体废物均合理处置，不会对区域环境质量产生明显影响</w:t>
                  </w:r>
                </w:p>
              </w:tc>
              <w:tc>
                <w:tcPr>
                  <w:tcW w:w="627" w:type="pct"/>
                  <w:noWrap w:val="0"/>
                  <w:vAlign w:val="center"/>
                </w:tcPr>
                <w:p w14:paraId="5E5A3A4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符合</w:t>
                  </w:r>
                </w:p>
              </w:tc>
            </w:tr>
            <w:tr w14:paraId="7DBC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00" w:type="pct"/>
                  <w:noWrap w:val="0"/>
                  <w:vAlign w:val="center"/>
                </w:tcPr>
                <w:p w14:paraId="3E40CA4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资源利用上线</w:t>
                  </w:r>
                </w:p>
              </w:tc>
              <w:tc>
                <w:tcPr>
                  <w:tcW w:w="3171" w:type="pct"/>
                  <w:noWrap w:val="0"/>
                  <w:vAlign w:val="center"/>
                </w:tcPr>
                <w:p w14:paraId="6242003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本项目原辅材料及能源消耗合理，不触及能源利用上线</w:t>
                  </w:r>
                </w:p>
              </w:tc>
              <w:tc>
                <w:tcPr>
                  <w:tcW w:w="627" w:type="pct"/>
                  <w:noWrap w:val="0"/>
                  <w:vAlign w:val="center"/>
                </w:tcPr>
                <w:p w14:paraId="484F9F06">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符合</w:t>
                  </w:r>
                </w:p>
              </w:tc>
            </w:tr>
            <w:tr w14:paraId="6008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200" w:type="pct"/>
                  <w:noWrap w:val="0"/>
                  <w:vAlign w:val="center"/>
                </w:tcPr>
                <w:p w14:paraId="59C3C4C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陕西省国家重点生态功能区产业准入负面清单</w:t>
                  </w:r>
                </w:p>
              </w:tc>
              <w:tc>
                <w:tcPr>
                  <w:tcW w:w="3171" w:type="pct"/>
                  <w:noWrap w:val="0"/>
                  <w:vAlign w:val="center"/>
                </w:tcPr>
                <w:p w14:paraId="3862940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本项目符合国家产业政策，未列入环境准入负面清单中</w:t>
                  </w:r>
                </w:p>
              </w:tc>
              <w:tc>
                <w:tcPr>
                  <w:tcW w:w="627" w:type="pct"/>
                  <w:noWrap w:val="0"/>
                  <w:vAlign w:val="center"/>
                </w:tcPr>
                <w:p w14:paraId="38B1AE2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rPr>
                  </w:pPr>
                  <w:r>
                    <w:rPr>
                      <w:rFonts w:hint="default" w:ascii="Times New Roman" w:hAnsi="Times New Roman" w:eastAsia="宋体"/>
                      <w:color w:val="auto"/>
                      <w:sz w:val="21"/>
                    </w:rPr>
                    <w:t>符合</w:t>
                  </w:r>
                </w:p>
              </w:tc>
            </w:tr>
          </w:tbl>
          <w:p w14:paraId="443D31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sz w:val="24"/>
                <w:szCs w:val="21"/>
              </w:rPr>
            </w:pP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lang w:val="en-US" w:eastAsia="zh-CN"/>
              </w:rPr>
              <w:t>1</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与《</w:t>
            </w:r>
            <w:r>
              <w:rPr>
                <w:rFonts w:hint="eastAsia" w:cs="宋体"/>
                <w:color w:val="auto"/>
                <w:sz w:val="24"/>
                <w:szCs w:val="21"/>
                <w:lang w:val="en-US" w:eastAsia="zh-CN"/>
              </w:rPr>
              <w:t>宝鸡</w:t>
            </w:r>
            <w:r>
              <w:rPr>
                <w:rFonts w:hint="eastAsia" w:ascii="Times New Roman" w:hAnsi="Times New Roman" w:cs="宋体"/>
                <w:color w:val="auto"/>
                <w:sz w:val="24"/>
                <w:szCs w:val="21"/>
              </w:rPr>
              <w:t>市“三线一单”生态环境分区管控方案》的符合性分析</w:t>
            </w:r>
          </w:p>
          <w:p w14:paraId="629B27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sz w:val="24"/>
                <w:szCs w:val="21"/>
              </w:rPr>
            </w:pPr>
            <w:r>
              <w:rPr>
                <w:rFonts w:hint="eastAsia" w:ascii="Times New Roman" w:hAnsi="Times New Roman" w:cs="宋体"/>
                <w:color w:val="auto"/>
                <w:sz w:val="24"/>
                <w:szCs w:val="21"/>
              </w:rPr>
              <w:t>根据《陕西省“三线一单”生态环境分区管控应用技术指南</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环境影响评价</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试行</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w:t>
            </w:r>
            <w:r>
              <w:rPr>
                <w:rFonts w:hint="eastAsia" w:ascii="Times New Roman" w:hAnsi="Times New Roman" w:cs="宋体"/>
                <w:color w:val="auto"/>
                <w:sz w:val="24"/>
                <w:szCs w:val="21"/>
                <w:lang w:eastAsia="zh-CN"/>
              </w:rPr>
              <w:t>（</w:t>
            </w:r>
            <w:r>
              <w:rPr>
                <w:rFonts w:hint="eastAsia" w:ascii="Times New Roman" w:hAnsi="Times New Roman" w:cs="宋体"/>
                <w:color w:val="auto"/>
                <w:sz w:val="24"/>
                <w:szCs w:val="21"/>
              </w:rPr>
              <w:t>陕环办发</w:t>
            </w:r>
            <w:r>
              <w:rPr>
                <w:rFonts w:hint="eastAsia" w:ascii="Times New Roman" w:hAnsi="Times New Roman" w:cs="宋体"/>
                <w:color w:val="auto"/>
                <w:sz w:val="24"/>
                <w:szCs w:val="21"/>
                <w:lang w:eastAsia="zh-CN"/>
              </w:rPr>
              <w:t>〔2022〕76号）</w:t>
            </w:r>
            <w:r>
              <w:rPr>
                <w:rFonts w:hint="eastAsia" w:ascii="Times New Roman" w:hAnsi="Times New Roman" w:cs="宋体"/>
                <w:color w:val="auto"/>
                <w:sz w:val="24"/>
                <w:szCs w:val="21"/>
              </w:rPr>
              <w:t>，建设项目环评文件涉及“三线一单”生态环境分区管控符合性分析采取“一图一表一说明”的表达方式，对照分析结果，论证建设的符合性。</w:t>
            </w:r>
          </w:p>
          <w:p w14:paraId="0BBDBC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①</w:t>
            </w:r>
            <w:r>
              <w:rPr>
                <w:rFonts w:hint="eastAsia" w:ascii="Times New Roman" w:hAnsi="Times New Roman" w:eastAsia="宋体" w:cs="宋体"/>
                <w:color w:val="auto"/>
                <w:sz w:val="24"/>
                <w:szCs w:val="21"/>
                <w:lang w:eastAsia="zh-CN"/>
              </w:rPr>
              <w:t>“</w:t>
            </w:r>
            <w:r>
              <w:rPr>
                <w:rFonts w:hint="eastAsia" w:ascii="Times New Roman" w:hAnsi="Times New Roman" w:eastAsia="宋体" w:cs="宋体"/>
                <w:color w:val="auto"/>
                <w:sz w:val="24"/>
                <w:szCs w:val="21"/>
              </w:rPr>
              <w:t>一图</w:t>
            </w:r>
            <w:r>
              <w:rPr>
                <w:rFonts w:hint="eastAsia" w:ascii="Times New Roman" w:hAnsi="Times New Roman" w:eastAsia="宋体" w:cs="宋体"/>
                <w:color w:val="auto"/>
                <w:sz w:val="24"/>
                <w:szCs w:val="21"/>
                <w:lang w:eastAsia="zh-CN"/>
              </w:rPr>
              <w:t>”</w:t>
            </w:r>
          </w:p>
          <w:p w14:paraId="30702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1"/>
                <w:lang w:eastAsia="zh-CN"/>
              </w:rPr>
            </w:pPr>
            <w:r>
              <w:rPr>
                <w:rFonts w:hint="eastAsia" w:ascii="Times New Roman" w:hAnsi="Times New Roman" w:eastAsia="宋体" w:cs="Times New Roman"/>
                <w:iCs/>
                <w:color w:val="auto"/>
                <w:sz w:val="24"/>
                <w:szCs w:val="24"/>
                <w:lang w:val="en-US" w:eastAsia="zh-CN"/>
              </w:rPr>
              <w:t>本项目位于陕西省宝鸡市陇县第一污水处理厂内</w:t>
            </w:r>
            <w:r>
              <w:rPr>
                <w:rFonts w:hint="eastAsia" w:ascii="Times New Roman" w:hAnsi="Times New Roman" w:cs="Times New Roman"/>
                <w:iCs/>
                <w:color w:val="auto"/>
                <w:sz w:val="24"/>
                <w:szCs w:val="24"/>
                <w:highlight w:val="none"/>
              </w:rPr>
              <w:t>，</w:t>
            </w:r>
            <w:r>
              <w:rPr>
                <w:rFonts w:hint="default" w:ascii="Times New Roman" w:hAnsi="Times New Roman" w:cs="Times New Roman"/>
                <w:color w:val="auto"/>
                <w:sz w:val="24"/>
                <w:szCs w:val="24"/>
                <w:lang w:val="en-US" w:eastAsia="zh-CN"/>
              </w:rPr>
              <w:t>根据陕西省</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三线一单</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数据应用分析平台（V1.0）冲突分析形成空间冲突附图，图中所示本项目位于</w:t>
            </w:r>
            <w:r>
              <w:rPr>
                <w:rFonts w:hint="eastAsia" w:ascii="Times New Roman" w:hAnsi="Times New Roman" w:cs="Times New Roman"/>
                <w:color w:val="auto"/>
                <w:sz w:val="24"/>
                <w:szCs w:val="24"/>
                <w:lang w:val="en-US" w:eastAsia="zh-CN"/>
              </w:rPr>
              <w:t>重点管控单元</w:t>
            </w:r>
            <w:r>
              <w:rPr>
                <w:rFonts w:hint="default" w:ascii="Times New Roman" w:hAnsi="Times New Roman" w:cs="Times New Roman"/>
                <w:color w:val="auto"/>
                <w:sz w:val="24"/>
                <w:szCs w:val="24"/>
                <w:lang w:val="en-US" w:eastAsia="zh-CN"/>
              </w:rPr>
              <w:t>。管控单元对照空间冲突附图如下。</w:t>
            </w:r>
          </w:p>
          <w:p w14:paraId="773A4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center"/>
              <w:textAlignment w:val="auto"/>
              <w:rPr>
                <w:rFonts w:hint="eastAsia" w:ascii="Times New Roman" w:hAnsi="Times New Roman" w:cs="宋体"/>
                <w:color w:val="auto"/>
                <w:sz w:val="24"/>
                <w:szCs w:val="21"/>
                <w:lang w:eastAsia="zh-CN"/>
              </w:rPr>
            </w:pPr>
            <w:r>
              <w:rPr>
                <w:rFonts w:hint="default"/>
              </w:rPr>
              <w:drawing>
                <wp:inline distT="0" distB="0" distL="114300" distR="114300">
                  <wp:extent cx="3014345" cy="5061585"/>
                  <wp:effectExtent l="0" t="0" r="14605" b="5715"/>
                  <wp:docPr id="2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
                          <pic:cNvPicPr>
                            <a:picLocks noChangeAspect="1"/>
                          </pic:cNvPicPr>
                        </pic:nvPicPr>
                        <pic:blipFill>
                          <a:blip r:embed="rId8"/>
                          <a:stretch>
                            <a:fillRect/>
                          </a:stretch>
                        </pic:blipFill>
                        <pic:spPr>
                          <a:xfrm>
                            <a:off x="0" y="0"/>
                            <a:ext cx="3014345" cy="5061585"/>
                          </a:xfrm>
                          <a:prstGeom prst="rect">
                            <a:avLst/>
                          </a:prstGeom>
                          <a:noFill/>
                          <a:ln>
                            <a:noFill/>
                          </a:ln>
                        </pic:spPr>
                      </pic:pic>
                    </a:graphicData>
                  </a:graphic>
                </wp:inline>
              </w:drawing>
            </w:r>
          </w:p>
          <w:p w14:paraId="3242D43E">
            <w:pPr>
              <w:keepNext w:val="0"/>
              <w:keepLines w:val="0"/>
              <w:suppressLineNumbers w:val="0"/>
              <w:spacing w:before="0" w:beforeAutospacing="0" w:after="0" w:afterAutospacing="0" w:line="240" w:lineRule="auto"/>
              <w:ind w:left="0" w:right="0"/>
              <w:jc w:val="center"/>
              <w:rPr>
                <w:rFonts w:hint="eastAsia" w:ascii="Times New Roman" w:hAnsi="Times New Roman" w:cs="宋体"/>
                <w:color w:val="auto"/>
                <w:sz w:val="24"/>
                <w:szCs w:val="21"/>
              </w:rPr>
            </w:pPr>
            <w:r>
              <w:rPr>
                <w:rFonts w:hint="eastAsia" w:ascii="宋体" w:hAnsi="宋体" w:cs="Times New Roman"/>
                <w:b/>
                <w:color w:val="auto"/>
                <w:sz w:val="21"/>
                <w:szCs w:val="21"/>
              </w:rPr>
              <w:t>图</w:t>
            </w:r>
            <w:r>
              <w:rPr>
                <w:rFonts w:hint="eastAsia" w:ascii="Times New Roman" w:hAnsi="Times New Roman" w:cs="Times New Roman"/>
                <w:b/>
                <w:color w:val="auto"/>
                <w:sz w:val="21"/>
                <w:szCs w:val="21"/>
              </w:rPr>
              <w:t>1</w:t>
            </w:r>
            <w:r>
              <w:rPr>
                <w:rFonts w:hint="eastAsia" w:ascii="Times New Roman" w:hAnsi="Times New Roman" w:cs="Times New Roman"/>
                <w:b/>
                <w:color w:val="auto"/>
                <w:sz w:val="21"/>
                <w:szCs w:val="21"/>
                <w:lang w:val="en-US" w:eastAsia="zh-CN"/>
              </w:rPr>
              <w:t>-1</w:t>
            </w:r>
            <w:r>
              <w:rPr>
                <w:rFonts w:hint="eastAsia" w:ascii="宋体" w:hAnsi="宋体" w:cs="Times New Roman"/>
                <w:b/>
                <w:color w:val="auto"/>
                <w:spacing w:val="-6"/>
                <w:sz w:val="21"/>
                <w:szCs w:val="21"/>
              </w:rPr>
              <w:t>项目与</w:t>
            </w:r>
            <w:r>
              <w:rPr>
                <w:rFonts w:hint="eastAsia" w:ascii="宋体" w:hAnsi="宋体" w:cs="Times New Roman"/>
                <w:b/>
                <w:color w:val="auto"/>
                <w:spacing w:val="-6"/>
                <w:sz w:val="21"/>
                <w:szCs w:val="21"/>
                <w:lang w:val="en-US" w:eastAsia="zh-CN"/>
              </w:rPr>
              <w:t>陕西省“三线一单”</w:t>
            </w:r>
            <w:r>
              <w:rPr>
                <w:rFonts w:hint="eastAsia" w:ascii="宋体" w:hAnsi="宋体" w:cs="Times New Roman"/>
                <w:b/>
                <w:color w:val="auto"/>
                <w:spacing w:val="-6"/>
                <w:sz w:val="21"/>
                <w:szCs w:val="21"/>
              </w:rPr>
              <w:t>环境管控单元对照分析示意图</w:t>
            </w:r>
          </w:p>
          <w:p w14:paraId="09A6320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color w:val="auto"/>
                <w:kern w:val="0"/>
                <w:sz w:val="24"/>
                <w:lang w:val="en-US" w:eastAsia="zh-CN"/>
              </w:rPr>
            </w:pPr>
            <w:r>
              <w:rPr>
                <w:rFonts w:hint="eastAsia" w:ascii="宋体" w:hAnsi="宋体" w:eastAsia="宋体" w:cs="宋体"/>
                <w:color w:val="auto"/>
                <w:kern w:val="0"/>
                <w:sz w:val="24"/>
                <w:lang w:val="en-US" w:eastAsia="zh-CN"/>
              </w:rPr>
              <w:t>②“</w:t>
            </w:r>
            <w:r>
              <w:rPr>
                <w:rFonts w:hint="default" w:ascii="Times New Roman" w:hAnsi="Times New Roman" w:eastAsia="宋体" w:cs="Times New Roman"/>
                <w:color w:val="auto"/>
                <w:kern w:val="0"/>
                <w:sz w:val="24"/>
                <w:lang w:val="en-US" w:eastAsia="zh-CN"/>
              </w:rPr>
              <w:t>一表</w:t>
            </w:r>
            <w:r>
              <w:rPr>
                <w:rFonts w:hint="eastAsia" w:ascii="宋体" w:hAnsi="宋体" w:eastAsia="宋体" w:cs="宋体"/>
                <w:color w:val="auto"/>
                <w:kern w:val="0"/>
                <w:sz w:val="24"/>
                <w:lang w:val="en-US" w:eastAsia="zh-CN"/>
              </w:rPr>
              <w:t>”</w:t>
            </w:r>
          </w:p>
          <w:p w14:paraId="5AEB55E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lang w:val="en-US"/>
              </w:rPr>
            </w:pPr>
            <w:r>
              <w:rPr>
                <w:rFonts w:hint="default" w:ascii="Times New Roman" w:hAnsi="Times New Roman" w:eastAsia="宋体" w:cs="Times New Roman"/>
                <w:color w:val="auto"/>
                <w:sz w:val="24"/>
                <w:szCs w:val="24"/>
                <w:lang w:val="en-US" w:eastAsia="zh-CN"/>
              </w:rPr>
              <w:t>项目</w:t>
            </w:r>
            <w:r>
              <w:rPr>
                <w:rFonts w:hint="eastAsia" w:ascii="Times New Roman" w:hAnsi="Times New Roman" w:eastAsia="宋体" w:cs="Times New Roman"/>
                <w:color w:val="auto"/>
                <w:sz w:val="24"/>
                <w:szCs w:val="24"/>
                <w:lang w:val="en-US" w:eastAsia="zh-CN"/>
              </w:rPr>
              <w:t>用地涉及重点管控单元</w:t>
            </w:r>
            <w:r>
              <w:rPr>
                <w:rFonts w:hint="default" w:ascii="Times New Roman" w:hAnsi="Times New Roman" w:eastAsia="宋体" w:cs="Times New Roman"/>
                <w:color w:val="auto"/>
                <w:sz w:val="24"/>
                <w:szCs w:val="24"/>
                <w:lang w:val="en-US" w:eastAsia="zh-CN"/>
              </w:rPr>
              <w:t>，项目与生态环境管控单元比对结果见表</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lang w:val="en-US" w:eastAsia="zh-CN"/>
              </w:rPr>
              <w:t>。</w:t>
            </w:r>
          </w:p>
          <w:p w14:paraId="77BF7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0"/>
                <w:sz w:val="21"/>
                <w:szCs w:val="21"/>
                <w:lang w:val="zh-CN" w:eastAsia="zh-CN"/>
              </w:rPr>
            </w:pPr>
            <w:r>
              <w:rPr>
                <w:rFonts w:hint="default" w:ascii="Times New Roman" w:hAnsi="Times New Roman" w:eastAsia="宋体" w:cs="Times New Roman"/>
                <w:b/>
                <w:bCs/>
                <w:snapToGrid w:val="0"/>
                <w:color w:val="auto"/>
                <w:spacing w:val="0"/>
                <w:sz w:val="21"/>
                <w:szCs w:val="21"/>
                <w:lang w:val="zh-CN" w:eastAsia="zh-CN"/>
              </w:rPr>
              <w:t>表</w:t>
            </w:r>
            <w:r>
              <w:rPr>
                <w:rFonts w:hint="eastAsia" w:ascii="Times New Roman" w:hAnsi="Times New Roman" w:eastAsia="宋体" w:cs="Times New Roman"/>
                <w:b/>
                <w:bCs/>
                <w:snapToGrid w:val="0"/>
                <w:color w:val="auto"/>
                <w:spacing w:val="0"/>
                <w:sz w:val="21"/>
                <w:szCs w:val="21"/>
                <w:lang w:val="en-US" w:eastAsia="zh-CN"/>
              </w:rPr>
              <w:t xml:space="preserve">1-4 </w:t>
            </w:r>
            <w:r>
              <w:rPr>
                <w:rFonts w:hint="default" w:ascii="Times New Roman" w:hAnsi="Times New Roman" w:eastAsia="宋体" w:cs="Times New Roman"/>
                <w:b/>
                <w:bCs/>
                <w:snapToGrid w:val="0"/>
                <w:color w:val="auto"/>
                <w:spacing w:val="0"/>
                <w:sz w:val="21"/>
                <w:szCs w:val="21"/>
                <w:lang w:val="zh-CN" w:eastAsia="zh-CN"/>
              </w:rPr>
              <w:t>项目与“三线一单”生态环境管控单元对比分析成果表</w:t>
            </w:r>
          </w:p>
          <w:tbl>
            <w:tblPr>
              <w:tblStyle w:val="19"/>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8"/>
              <w:gridCol w:w="2728"/>
              <w:gridCol w:w="2728"/>
            </w:tblGrid>
            <w:tr w14:paraId="473A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6" w:type="pct"/>
                  <w:noWrap w:val="0"/>
                  <w:vAlign w:val="center"/>
                </w:tcPr>
                <w:p w14:paraId="23A4EE63">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环境管控单元分类</w:t>
                  </w:r>
                </w:p>
              </w:tc>
              <w:tc>
                <w:tcPr>
                  <w:tcW w:w="1666" w:type="pct"/>
                  <w:noWrap w:val="0"/>
                  <w:vAlign w:val="center"/>
                </w:tcPr>
                <w:p w14:paraId="637D2281">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是否涉及</w:t>
                  </w:r>
                </w:p>
              </w:tc>
              <w:tc>
                <w:tcPr>
                  <w:tcW w:w="1666" w:type="pct"/>
                  <w:noWrap w:val="0"/>
                  <w:vAlign w:val="center"/>
                </w:tcPr>
                <w:p w14:paraId="54A8AD51">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面积/长度</w:t>
                  </w:r>
                </w:p>
              </w:tc>
            </w:tr>
            <w:tr w14:paraId="7283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6" w:type="pct"/>
                  <w:noWrap w:val="0"/>
                  <w:vAlign w:val="center"/>
                </w:tcPr>
                <w:p w14:paraId="676A7A17">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优先保护单元</w:t>
                  </w:r>
                </w:p>
              </w:tc>
              <w:tc>
                <w:tcPr>
                  <w:tcW w:w="1666" w:type="pct"/>
                  <w:noWrap w:val="0"/>
                  <w:vAlign w:val="center"/>
                </w:tcPr>
                <w:p w14:paraId="61835B31">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否</w:t>
                  </w:r>
                </w:p>
              </w:tc>
              <w:tc>
                <w:tcPr>
                  <w:tcW w:w="1666" w:type="pct"/>
                  <w:noWrap w:val="0"/>
                  <w:vAlign w:val="center"/>
                </w:tcPr>
                <w:p w14:paraId="4F5FC800">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0平方米</w:t>
                  </w:r>
                </w:p>
              </w:tc>
            </w:tr>
            <w:tr w14:paraId="69AC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6" w:type="pct"/>
                  <w:noWrap w:val="0"/>
                  <w:vAlign w:val="center"/>
                </w:tcPr>
                <w:p w14:paraId="0D971AE8">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重点管控单元</w:t>
                  </w:r>
                </w:p>
              </w:tc>
              <w:tc>
                <w:tcPr>
                  <w:tcW w:w="1666" w:type="pct"/>
                  <w:noWrap w:val="0"/>
                  <w:vAlign w:val="center"/>
                </w:tcPr>
                <w:p w14:paraId="6B698DAC">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是</w:t>
                  </w:r>
                </w:p>
              </w:tc>
              <w:tc>
                <w:tcPr>
                  <w:tcW w:w="1666" w:type="pct"/>
                  <w:noWrap w:val="0"/>
                  <w:vAlign w:val="center"/>
                </w:tcPr>
                <w:p w14:paraId="2EE80185">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650.77</w:t>
                  </w:r>
                  <w:r>
                    <w:rPr>
                      <w:rFonts w:hint="default" w:ascii="Times New Roman" w:hAnsi="Times New Roman" w:eastAsia="宋体" w:cs="Times New Roman"/>
                      <w:color w:val="auto"/>
                      <w:kern w:val="2"/>
                      <w:sz w:val="21"/>
                      <w:szCs w:val="21"/>
                    </w:rPr>
                    <w:t>平方米</w:t>
                  </w:r>
                </w:p>
              </w:tc>
            </w:tr>
            <w:tr w14:paraId="2069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6" w:type="pct"/>
                  <w:noWrap w:val="0"/>
                  <w:vAlign w:val="center"/>
                </w:tcPr>
                <w:p w14:paraId="5FB2A1FD">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一般管控单元</w:t>
                  </w:r>
                </w:p>
              </w:tc>
              <w:tc>
                <w:tcPr>
                  <w:tcW w:w="1666" w:type="pct"/>
                  <w:noWrap w:val="0"/>
                  <w:vAlign w:val="center"/>
                </w:tcPr>
                <w:p w14:paraId="147264BE">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否</w:t>
                  </w:r>
                </w:p>
              </w:tc>
              <w:tc>
                <w:tcPr>
                  <w:tcW w:w="1666" w:type="pct"/>
                  <w:noWrap w:val="0"/>
                  <w:vAlign w:val="center"/>
                </w:tcPr>
                <w:p w14:paraId="11239728">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jc w:val="center"/>
                    <w:textAlignment w:val="baseline"/>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0平方米</w:t>
                  </w:r>
                </w:p>
              </w:tc>
            </w:tr>
          </w:tbl>
          <w:p w14:paraId="4FA6C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sz w:val="24"/>
                <w:szCs w:val="21"/>
              </w:rPr>
            </w:pPr>
          </w:p>
          <w:p w14:paraId="4E2A8CF1">
            <w:pPr>
              <w:pStyle w:val="35"/>
              <w:keepNext w:val="0"/>
              <w:keepLines w:val="0"/>
              <w:suppressLineNumbers w:val="0"/>
              <w:spacing w:before="0" w:beforeAutospacing="0" w:after="0" w:afterAutospacing="0"/>
              <w:ind w:left="0" w:right="0"/>
              <w:rPr>
                <w:rFonts w:hint="default" w:ascii="Times New Roman" w:hAnsi="Times New Roman" w:cs="宋体"/>
                <w:color w:val="auto"/>
                <w:szCs w:val="21"/>
              </w:rPr>
            </w:pPr>
          </w:p>
        </w:tc>
      </w:tr>
    </w:tbl>
    <w:p w14:paraId="7AE9BD17">
      <w:pPr>
        <w:rPr>
          <w:color w:val="auto"/>
        </w:rPr>
        <w:sectPr>
          <w:footerReference r:id="rId5" w:type="default"/>
          <w:pgSz w:w="11906" w:h="16838"/>
          <w:pgMar w:top="1134" w:right="1134" w:bottom="1134" w:left="1134"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4063"/>
      </w:tblGrid>
      <w:tr w14:paraId="5AB07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09" w:type="dxa"/>
            <w:noWrap w:val="0"/>
            <w:vAlign w:val="center"/>
          </w:tcPr>
          <w:p w14:paraId="4979C3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p>
        </w:tc>
        <w:tc>
          <w:tcPr>
            <w:tcW w:w="14063" w:type="dxa"/>
            <w:noWrap w:val="0"/>
            <w:vAlign w:val="center"/>
          </w:tcPr>
          <w:p w14:paraId="3582784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smallCaps w:val="0"/>
                <w:color w:val="auto"/>
                <w:sz w:val="24"/>
                <w:szCs w:val="24"/>
                <w:lang w:val="en-US" w:eastAsia="zh-CN"/>
              </w:rPr>
            </w:pPr>
            <w:r>
              <w:rPr>
                <w:rFonts w:hint="eastAsia" w:ascii="宋体" w:hAnsi="宋体" w:eastAsia="宋体" w:cs="宋体"/>
                <w:smallCaps w:val="0"/>
                <w:color w:val="auto"/>
                <w:sz w:val="24"/>
                <w:szCs w:val="24"/>
                <w:lang w:val="en-US" w:eastAsia="zh-CN"/>
              </w:rPr>
              <w:t>③项目符合型建设</w:t>
            </w:r>
          </w:p>
          <w:p w14:paraId="288C7ED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宋体"/>
                <w:b/>
                <w:bCs/>
                <w:color w:val="auto"/>
                <w:sz w:val="21"/>
                <w:szCs w:val="21"/>
              </w:rPr>
            </w:pPr>
            <w:r>
              <w:rPr>
                <w:rFonts w:hint="eastAsia" w:ascii="Times New Roman" w:hAnsi="Times New Roman" w:cs="宋体"/>
                <w:b/>
                <w:bCs/>
                <w:color w:val="auto"/>
                <w:sz w:val="21"/>
                <w:szCs w:val="21"/>
              </w:rPr>
              <w:t>表1-</w:t>
            </w:r>
            <w:r>
              <w:rPr>
                <w:rFonts w:hint="eastAsia" w:ascii="Times New Roman" w:hAnsi="Times New Roman" w:cs="宋体"/>
                <w:b/>
                <w:bCs/>
                <w:color w:val="auto"/>
                <w:sz w:val="21"/>
                <w:szCs w:val="21"/>
                <w:lang w:val="en-US" w:eastAsia="zh-CN"/>
              </w:rPr>
              <w:t xml:space="preserve">5 </w:t>
            </w:r>
            <w:r>
              <w:rPr>
                <w:rFonts w:hint="eastAsia" w:ascii="Times New Roman" w:hAnsi="Times New Roman" w:cs="宋体"/>
                <w:b/>
                <w:bCs/>
                <w:color w:val="auto"/>
                <w:sz w:val="21"/>
                <w:szCs w:val="21"/>
              </w:rPr>
              <w:t>本项目建设范围涉及的生态环境管控单元准入清单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720"/>
              <w:gridCol w:w="529"/>
              <w:gridCol w:w="767"/>
              <w:gridCol w:w="933"/>
              <w:gridCol w:w="841"/>
              <w:gridCol w:w="6662"/>
              <w:gridCol w:w="2034"/>
              <w:gridCol w:w="688"/>
            </w:tblGrid>
            <w:tr w14:paraId="02A0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noWrap w:val="0"/>
                  <w:vAlign w:val="center"/>
                </w:tcPr>
                <w:p w14:paraId="5BFF48B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序号</w:t>
                  </w:r>
                </w:p>
              </w:tc>
              <w:tc>
                <w:tcPr>
                  <w:tcW w:w="720" w:type="dxa"/>
                  <w:noWrap w:val="0"/>
                  <w:vAlign w:val="center"/>
                </w:tcPr>
                <w:p w14:paraId="4DA01FE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环境管控单元名称</w:t>
                  </w:r>
                </w:p>
              </w:tc>
              <w:tc>
                <w:tcPr>
                  <w:tcW w:w="529" w:type="dxa"/>
                  <w:noWrap w:val="0"/>
                  <w:vAlign w:val="center"/>
                </w:tcPr>
                <w:p w14:paraId="4EAD383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区县</w:t>
                  </w:r>
                </w:p>
              </w:tc>
              <w:tc>
                <w:tcPr>
                  <w:tcW w:w="767" w:type="dxa"/>
                  <w:noWrap w:val="0"/>
                  <w:vAlign w:val="center"/>
                </w:tcPr>
                <w:p w14:paraId="5ABB710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市（区）</w:t>
                  </w:r>
                </w:p>
              </w:tc>
              <w:tc>
                <w:tcPr>
                  <w:tcW w:w="933" w:type="dxa"/>
                  <w:noWrap w:val="0"/>
                  <w:vAlign w:val="center"/>
                </w:tcPr>
                <w:p w14:paraId="29ABBD1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单元要素属性</w:t>
                  </w:r>
                </w:p>
              </w:tc>
              <w:tc>
                <w:tcPr>
                  <w:tcW w:w="841" w:type="dxa"/>
                  <w:noWrap w:val="0"/>
                  <w:vAlign w:val="center"/>
                </w:tcPr>
                <w:p w14:paraId="5C9FB88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管控要求分类</w:t>
                  </w:r>
                </w:p>
              </w:tc>
              <w:tc>
                <w:tcPr>
                  <w:tcW w:w="6662" w:type="dxa"/>
                  <w:noWrap w:val="0"/>
                  <w:vAlign w:val="center"/>
                </w:tcPr>
                <w:p w14:paraId="5F55936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管控要求</w:t>
                  </w:r>
                </w:p>
              </w:tc>
              <w:tc>
                <w:tcPr>
                  <w:tcW w:w="2034" w:type="dxa"/>
                  <w:noWrap w:val="0"/>
                  <w:vAlign w:val="center"/>
                </w:tcPr>
                <w:p w14:paraId="03C2392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本项目情况</w:t>
                  </w:r>
                </w:p>
              </w:tc>
              <w:tc>
                <w:tcPr>
                  <w:tcW w:w="688" w:type="dxa"/>
                  <w:noWrap w:val="0"/>
                  <w:vAlign w:val="center"/>
                </w:tcPr>
                <w:p w14:paraId="07A3E6E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符合性</w:t>
                  </w:r>
                </w:p>
              </w:tc>
            </w:tr>
            <w:tr w14:paraId="71B2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noWrap w:val="0"/>
                  <w:vAlign w:val="center"/>
                </w:tcPr>
                <w:p w14:paraId="045F54A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1</w:t>
                  </w:r>
                </w:p>
              </w:tc>
              <w:tc>
                <w:tcPr>
                  <w:tcW w:w="720" w:type="dxa"/>
                  <w:vMerge w:val="restart"/>
                  <w:noWrap w:val="0"/>
                  <w:vAlign w:val="center"/>
                </w:tcPr>
                <w:p w14:paraId="56FC365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陕西省</w:t>
                  </w:r>
                  <w:r>
                    <w:rPr>
                      <w:rFonts w:hint="eastAsia" w:ascii="Times New Roman" w:cs="宋体"/>
                      <w:color w:val="auto"/>
                      <w:sz w:val="21"/>
                      <w:szCs w:val="21"/>
                      <w:vertAlign w:val="baseline"/>
                      <w:lang w:val="en-US" w:eastAsia="zh-CN"/>
                    </w:rPr>
                    <w:t>宝鸡市陇县</w:t>
                  </w:r>
                  <w:r>
                    <w:rPr>
                      <w:rFonts w:hint="eastAsia" w:ascii="Times New Roman" w:hAnsi="Times New Roman" w:eastAsia="宋体" w:cs="宋体"/>
                      <w:color w:val="auto"/>
                      <w:sz w:val="21"/>
                      <w:szCs w:val="21"/>
                      <w:vertAlign w:val="baseline"/>
                      <w:lang w:val="en-US" w:eastAsia="zh-CN"/>
                    </w:rPr>
                    <w:t>重点管控单元</w:t>
                  </w:r>
                  <w:r>
                    <w:rPr>
                      <w:rFonts w:hint="eastAsia" w:ascii="Times New Roman" w:cs="宋体"/>
                      <w:color w:val="auto"/>
                      <w:sz w:val="21"/>
                      <w:szCs w:val="21"/>
                      <w:vertAlign w:val="baseline"/>
                      <w:lang w:val="en-US" w:eastAsia="zh-CN"/>
                    </w:rPr>
                    <w:t>2</w:t>
                  </w:r>
                </w:p>
              </w:tc>
              <w:tc>
                <w:tcPr>
                  <w:tcW w:w="529" w:type="dxa"/>
                  <w:vMerge w:val="restart"/>
                  <w:noWrap w:val="0"/>
                  <w:vAlign w:val="center"/>
                </w:tcPr>
                <w:p w14:paraId="5B34955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cs="宋体"/>
                      <w:color w:val="auto"/>
                      <w:sz w:val="21"/>
                      <w:szCs w:val="21"/>
                      <w:vertAlign w:val="baseline"/>
                      <w:lang w:val="en-US" w:eastAsia="zh-CN"/>
                    </w:rPr>
                    <w:t>宝鸡</w:t>
                  </w:r>
                  <w:r>
                    <w:rPr>
                      <w:rFonts w:hint="eastAsia" w:ascii="Times New Roman" w:hAnsi="Times New Roman" w:eastAsia="宋体" w:cs="宋体"/>
                      <w:color w:val="auto"/>
                      <w:sz w:val="21"/>
                      <w:szCs w:val="21"/>
                      <w:vertAlign w:val="baseline"/>
                      <w:lang w:val="en-US" w:eastAsia="zh-CN"/>
                    </w:rPr>
                    <w:t>市</w:t>
                  </w:r>
                </w:p>
              </w:tc>
              <w:tc>
                <w:tcPr>
                  <w:tcW w:w="767" w:type="dxa"/>
                  <w:vMerge w:val="restart"/>
                  <w:noWrap w:val="0"/>
                  <w:vAlign w:val="center"/>
                </w:tcPr>
                <w:p w14:paraId="2F348D5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cs="宋体"/>
                      <w:color w:val="auto"/>
                      <w:sz w:val="21"/>
                      <w:szCs w:val="21"/>
                      <w:vertAlign w:val="baseline"/>
                      <w:lang w:val="en-US" w:eastAsia="zh-CN"/>
                    </w:rPr>
                    <w:t>陇县</w:t>
                  </w:r>
                </w:p>
              </w:tc>
              <w:tc>
                <w:tcPr>
                  <w:tcW w:w="933" w:type="dxa"/>
                  <w:noWrap w:val="0"/>
                  <w:vAlign w:val="center"/>
                </w:tcPr>
                <w:p w14:paraId="42FCA3B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cs="宋体"/>
                      <w:color w:val="auto"/>
                      <w:sz w:val="21"/>
                      <w:szCs w:val="21"/>
                      <w:vertAlign w:val="baseline"/>
                      <w:lang w:val="en-US" w:eastAsia="zh-CN"/>
                    </w:rPr>
                    <w:t>大气环境受体敏感重点管控区、高污染燃料禁燃区</w:t>
                  </w:r>
                </w:p>
              </w:tc>
              <w:tc>
                <w:tcPr>
                  <w:tcW w:w="841" w:type="dxa"/>
                  <w:noWrap w:val="0"/>
                  <w:vAlign w:val="center"/>
                </w:tcPr>
                <w:p w14:paraId="6287FCE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空间布局约束</w:t>
                  </w:r>
                </w:p>
              </w:tc>
              <w:tc>
                <w:tcPr>
                  <w:tcW w:w="6662" w:type="dxa"/>
                  <w:noWrap w:val="0"/>
                  <w:vAlign w:val="center"/>
                </w:tcPr>
                <w:p w14:paraId="5334DE7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both"/>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大气环境受体敏感重点管控区:1.严格控制新增《陕西省</w:t>
                  </w:r>
                  <w:r>
                    <w:rPr>
                      <w:rFonts w:hint="eastAsia" w:ascii="Times New Roman" w:cs="宋体"/>
                      <w:color w:val="auto"/>
                      <w:sz w:val="21"/>
                      <w:szCs w:val="21"/>
                      <w:vertAlign w:val="baseline"/>
                      <w:lang w:val="en-US" w:eastAsia="zh-CN"/>
                    </w:rPr>
                    <w:t>“</w:t>
                  </w:r>
                  <w:r>
                    <w:rPr>
                      <w:rFonts w:hint="eastAsia" w:ascii="Times New Roman" w:hAnsi="Times New Roman" w:eastAsia="宋体" w:cs="宋体"/>
                      <w:color w:val="auto"/>
                      <w:sz w:val="21"/>
                      <w:szCs w:val="21"/>
                      <w:vertAlign w:val="baseline"/>
                      <w:lang w:val="en-US" w:eastAsia="zh-CN"/>
                    </w:rPr>
                    <w:t>两高</w:t>
                  </w:r>
                  <w:r>
                    <w:rPr>
                      <w:rFonts w:hint="eastAsia" w:ascii="Times New Roman" w:cs="宋体"/>
                      <w:color w:val="auto"/>
                      <w:sz w:val="21"/>
                      <w:szCs w:val="21"/>
                      <w:vertAlign w:val="baseline"/>
                      <w:lang w:val="en-US" w:eastAsia="zh-CN"/>
                    </w:rPr>
                    <w:t>”</w:t>
                  </w:r>
                  <w:r>
                    <w:rPr>
                      <w:rFonts w:hint="eastAsia" w:ascii="Times New Roman" w:hAnsi="Times New Roman" w:eastAsia="宋体" w:cs="宋体"/>
                      <w:color w:val="auto"/>
                      <w:sz w:val="21"/>
                      <w:szCs w:val="21"/>
                      <w:vertAlign w:val="baseline"/>
                      <w:lang w:val="en-US" w:eastAsia="zh-CN"/>
                    </w:rPr>
                    <w:t>项目管理暂行目录》行业项目(民生等项目除外，后续对</w:t>
                  </w:r>
                  <w:r>
                    <w:rPr>
                      <w:rFonts w:hint="eastAsia" w:ascii="Times New Roman" w:cs="宋体"/>
                      <w:color w:val="auto"/>
                      <w:sz w:val="21"/>
                      <w:szCs w:val="21"/>
                      <w:vertAlign w:val="baseline"/>
                      <w:lang w:val="en-US" w:eastAsia="zh-CN"/>
                    </w:rPr>
                    <w:t>“</w:t>
                  </w:r>
                  <w:r>
                    <w:rPr>
                      <w:rFonts w:hint="eastAsia" w:ascii="Times New Roman" w:hAnsi="Times New Roman" w:eastAsia="宋体" w:cs="宋体"/>
                      <w:color w:val="auto"/>
                      <w:sz w:val="21"/>
                      <w:szCs w:val="21"/>
                      <w:vertAlign w:val="baseline"/>
                      <w:lang w:val="en-US" w:eastAsia="zh-CN"/>
                    </w:rPr>
                    <w:t>两高</w:t>
                  </w:r>
                  <w:r>
                    <w:rPr>
                      <w:rFonts w:hint="eastAsia" w:ascii="Times New Roman" w:cs="宋体"/>
                      <w:color w:val="auto"/>
                      <w:sz w:val="21"/>
                      <w:szCs w:val="21"/>
                      <w:vertAlign w:val="baseline"/>
                      <w:lang w:val="en-US" w:eastAsia="zh-CN"/>
                    </w:rPr>
                    <w:t>”</w:t>
                  </w:r>
                  <w:r>
                    <w:rPr>
                      <w:rFonts w:hint="eastAsia" w:ascii="Times New Roman" w:hAnsi="Times New Roman" w:eastAsia="宋体" w:cs="宋体"/>
                      <w:color w:val="auto"/>
                      <w:sz w:val="21"/>
                      <w:szCs w:val="21"/>
                      <w:vertAlign w:val="baseline"/>
                      <w:lang w:val="en-US" w:eastAsia="zh-CN"/>
                    </w:rPr>
                    <w:t>范围国家如有新规定的，从其规定)。2.严禁新增钢铁、焦化、水泥熟料、平板玻璃电解铝、氧化铝、煤化工产能。3.推动重污染企业搬迁入园或依法关闭实施工业企业退城搬迁改造。4.新建商住楼必须设置专用烟道，配套安装高效油烟净化设施。城市建成区全面禁止露天烧烤。严查不正常使用油烟净化设施、超标排放油烟问题。</w:t>
                  </w:r>
                </w:p>
              </w:tc>
              <w:tc>
                <w:tcPr>
                  <w:tcW w:w="2034" w:type="dxa"/>
                  <w:noWrap w:val="0"/>
                  <w:vAlign w:val="center"/>
                </w:tcPr>
                <w:p w14:paraId="441EF7A3">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本项目属于热力生产和供应行业，不属于铁、焦化、水泥熟料、平板玻璃电解铝、氧化铝、煤化工产能行业。</w:t>
                  </w:r>
                </w:p>
              </w:tc>
              <w:tc>
                <w:tcPr>
                  <w:tcW w:w="688" w:type="dxa"/>
                  <w:noWrap w:val="0"/>
                  <w:vAlign w:val="center"/>
                </w:tcPr>
                <w:p w14:paraId="7C11DA1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r w14:paraId="2723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noWrap w:val="0"/>
                  <w:vAlign w:val="center"/>
                </w:tcPr>
                <w:p w14:paraId="297B16A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20" w:type="dxa"/>
                  <w:vMerge w:val="continue"/>
                  <w:noWrap w:val="0"/>
                  <w:vAlign w:val="center"/>
                </w:tcPr>
                <w:p w14:paraId="1A0D9CE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529" w:type="dxa"/>
                  <w:vMerge w:val="continue"/>
                  <w:noWrap w:val="0"/>
                  <w:vAlign w:val="center"/>
                </w:tcPr>
                <w:p w14:paraId="63915A3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67" w:type="dxa"/>
                  <w:vMerge w:val="continue"/>
                  <w:noWrap w:val="0"/>
                  <w:vAlign w:val="center"/>
                </w:tcPr>
                <w:p w14:paraId="6E2F98D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933" w:type="dxa"/>
                  <w:noWrap w:val="0"/>
                  <w:vAlign w:val="center"/>
                </w:tcPr>
                <w:p w14:paraId="06149D5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841" w:type="dxa"/>
                  <w:noWrap w:val="0"/>
                  <w:vAlign w:val="center"/>
                </w:tcPr>
                <w:p w14:paraId="13709ED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污染物排放管控</w:t>
                  </w:r>
                </w:p>
              </w:tc>
              <w:tc>
                <w:tcPr>
                  <w:tcW w:w="6662" w:type="dxa"/>
                  <w:noWrap w:val="0"/>
                  <w:vAlign w:val="center"/>
                </w:tcPr>
                <w:p w14:paraId="2B2EA79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r>
                    <w:rPr>
                      <w:rFonts w:hint="eastAsia" w:ascii="Times New Roman" w:hAnsi="Times New Roman" w:eastAsia="宋体" w:cs="宋体"/>
                      <w:color w:val="auto"/>
                      <w:sz w:val="21"/>
                      <w:szCs w:val="21"/>
                      <w:vertAlign w:val="baseline"/>
                    </w:rPr>
                    <w:t>大气环境受体敏感重点管控区:1.城市建成区产生油烟的餐饮服务单位全部安装油烟净化装置并保持正常运行和定期维护。2.持续因地制宜实施“煤改气”、“油改气”、电能、地热、生物质等清洁能源取暖措施。巩固城市建成区、县(区)平原区域散煤动态清理成效。3.鼓励将老旧车辆和非道路移动机械替换为清洁能源车辆。推进新能源或清洁能源汽车使用。4.不再新建燃煤集中供热站。构建跨区域热电联产电厂、工业余热集中供热体系。2025年10月底前，建成大唐宝鸡二电厂向市区供热管网项目，热电联产集中供热全面替代市区燃煤供热。淘汰管网覆盖范围内的供热燃煤锅炉，原有燃煤、燃气供热锅炉用于调峰备用。5.市辖区及开发区新、改、扩建涉气重点行业企业应达到环保绩效A级、绩效引领性水平。</w:t>
                  </w:r>
                </w:p>
              </w:tc>
              <w:tc>
                <w:tcPr>
                  <w:tcW w:w="2034" w:type="dxa"/>
                  <w:noWrap w:val="0"/>
                  <w:vAlign w:val="center"/>
                </w:tcPr>
                <w:p w14:paraId="651EB4C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cs="宋体"/>
                      <w:color w:val="auto"/>
                      <w:sz w:val="21"/>
                      <w:szCs w:val="21"/>
                      <w:vertAlign w:val="baseline"/>
                      <w:lang w:val="en-US" w:eastAsia="zh-CN"/>
                    </w:rPr>
                    <w:t>本项目新增锅炉为2台3t/h的天然气锅炉，采用低氮燃烧器，各项污染物均能达标排放</w:t>
                  </w:r>
                </w:p>
              </w:tc>
              <w:tc>
                <w:tcPr>
                  <w:tcW w:w="688" w:type="dxa"/>
                  <w:noWrap w:val="0"/>
                  <w:vAlign w:val="center"/>
                </w:tcPr>
                <w:p w14:paraId="7A1AE8F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r w14:paraId="6FE3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noWrap w:val="0"/>
                  <w:vAlign w:val="center"/>
                </w:tcPr>
                <w:p w14:paraId="2452A4D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20" w:type="dxa"/>
                  <w:vMerge w:val="continue"/>
                  <w:noWrap w:val="0"/>
                  <w:vAlign w:val="center"/>
                </w:tcPr>
                <w:p w14:paraId="257E41A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529" w:type="dxa"/>
                  <w:vMerge w:val="continue"/>
                  <w:noWrap w:val="0"/>
                  <w:vAlign w:val="center"/>
                </w:tcPr>
                <w:p w14:paraId="15CCD16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67" w:type="dxa"/>
                  <w:vMerge w:val="continue"/>
                  <w:noWrap w:val="0"/>
                  <w:vAlign w:val="center"/>
                </w:tcPr>
                <w:p w14:paraId="3B4DBBB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933" w:type="dxa"/>
                  <w:noWrap w:val="0"/>
                  <w:vAlign w:val="center"/>
                </w:tcPr>
                <w:p w14:paraId="1B607C6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841" w:type="dxa"/>
                  <w:noWrap w:val="0"/>
                  <w:vAlign w:val="center"/>
                </w:tcPr>
                <w:p w14:paraId="1584169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环境风险防控</w:t>
                  </w:r>
                </w:p>
              </w:tc>
              <w:tc>
                <w:tcPr>
                  <w:tcW w:w="6662" w:type="dxa"/>
                  <w:noWrap w:val="0"/>
                  <w:vAlign w:val="center"/>
                </w:tcPr>
                <w:p w14:paraId="0E22220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2034" w:type="dxa"/>
                  <w:noWrap w:val="0"/>
                  <w:vAlign w:val="center"/>
                </w:tcPr>
                <w:p w14:paraId="6A5DA5D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p>
              </w:tc>
              <w:tc>
                <w:tcPr>
                  <w:tcW w:w="688" w:type="dxa"/>
                  <w:noWrap w:val="0"/>
                  <w:vAlign w:val="center"/>
                </w:tcPr>
                <w:p w14:paraId="4531A41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p>
              </w:tc>
            </w:tr>
            <w:tr w14:paraId="0B21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noWrap w:val="0"/>
                  <w:vAlign w:val="center"/>
                </w:tcPr>
                <w:p w14:paraId="74FB1E9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20" w:type="dxa"/>
                  <w:vMerge w:val="continue"/>
                  <w:noWrap w:val="0"/>
                  <w:vAlign w:val="center"/>
                </w:tcPr>
                <w:p w14:paraId="1F71D32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529" w:type="dxa"/>
                  <w:vMerge w:val="continue"/>
                  <w:noWrap w:val="0"/>
                  <w:vAlign w:val="center"/>
                </w:tcPr>
                <w:p w14:paraId="0FBA5A4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767" w:type="dxa"/>
                  <w:vMerge w:val="continue"/>
                  <w:noWrap w:val="0"/>
                  <w:vAlign w:val="center"/>
                </w:tcPr>
                <w:p w14:paraId="262287A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933" w:type="dxa"/>
                  <w:noWrap w:val="0"/>
                  <w:vAlign w:val="center"/>
                </w:tcPr>
                <w:p w14:paraId="1852359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rPr>
                  </w:pPr>
                </w:p>
              </w:tc>
              <w:tc>
                <w:tcPr>
                  <w:tcW w:w="841" w:type="dxa"/>
                  <w:noWrap w:val="0"/>
                  <w:vAlign w:val="center"/>
                </w:tcPr>
                <w:p w14:paraId="3C07343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资源开发效率要求</w:t>
                  </w:r>
                </w:p>
              </w:tc>
              <w:tc>
                <w:tcPr>
                  <w:tcW w:w="6662" w:type="dxa"/>
                  <w:noWrap w:val="0"/>
                  <w:vAlign w:val="center"/>
                </w:tcPr>
                <w:p w14:paraId="521221B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rPr>
                    <w:t>高污染燃料禁燃区:1.禁止销售、燃用高污染燃料(35 蒸吨及以上锅炉、火力发电企业机组除外)。2.高污染燃料禁燃区执行Ⅲ类(严格)要求禁止使用煤炭及其制品、石油焦、油页岩、原油、重油、渣油、煤焦油以及非专用锅炉或未配置高效除尘设施的专用锅炉燃用的生物质成型燃料。3.禁止新建、扩建燃用高污染燃料的锅炉、窑炉、炉灶等设施不得将其他燃料燃用设施改造为高污染燃料燃用设施。4.禁燃区内集中供热企业必须使用符合《商品煤质量管理暂行办法》的燃煤，发电企业必须使用符合《商品煤质量发电煤粉锅炉用煤》(GB/T7562-2018)标准的燃煤，不得擅自改用其它类型的高污染燃料，高效除尘、脱硫、脱硝设施必须正常稳定运行，确保大气污染物达标排放。5.禁止生产、销售和使用高污染燃料。禁止露天烧烤，禁止焦(木)炭烧烤，禁止烧垃圾(树叶、杂草)、沥青、油毡、橡胶、皮革等可产生有毒、有害</w:t>
                  </w:r>
                  <w:r>
                    <w:rPr>
                      <w:rFonts w:hint="eastAsia" w:ascii="Times New Roman" w:cs="宋体"/>
                      <w:color w:val="auto"/>
                      <w:sz w:val="21"/>
                      <w:szCs w:val="21"/>
                      <w:vertAlign w:val="baseline"/>
                      <w:lang w:val="en-US" w:eastAsia="zh-CN"/>
                    </w:rPr>
                    <w:t>烟尘和恶臭气体的物质</w:t>
                  </w:r>
                </w:p>
              </w:tc>
              <w:tc>
                <w:tcPr>
                  <w:tcW w:w="2034" w:type="dxa"/>
                  <w:noWrap w:val="0"/>
                  <w:vAlign w:val="center"/>
                </w:tcPr>
                <w:p w14:paraId="7AC2A17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本</w:t>
                  </w:r>
                  <w:r>
                    <w:rPr>
                      <w:rFonts w:hint="eastAsia" w:ascii="Times New Roman" w:cs="宋体"/>
                      <w:color w:val="auto"/>
                      <w:sz w:val="21"/>
                      <w:szCs w:val="21"/>
                      <w:vertAlign w:val="baseline"/>
                      <w:lang w:val="en-US" w:eastAsia="zh-CN"/>
                    </w:rPr>
                    <w:t>项目锅炉为2台3t/h的天然气锅炉，采用低氮燃烧器，各项废气污染物均能达标排放，锅炉排污水及软化水系统排水化粪池处理后排入陇县第一污水处理厂处理。噪声经厂房隔声、距离衰减选用低噪设备等措施后，满足2类标准要求；废离子交换树脂更换后由厂家带走。</w:t>
                  </w:r>
                </w:p>
              </w:tc>
              <w:tc>
                <w:tcPr>
                  <w:tcW w:w="688" w:type="dxa"/>
                  <w:noWrap w:val="0"/>
                  <w:vAlign w:val="center"/>
                </w:tcPr>
                <w:p w14:paraId="03AE72B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符合</w:t>
                  </w:r>
                </w:p>
              </w:tc>
            </w:tr>
          </w:tbl>
          <w:p w14:paraId="56EA1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cs="Times New Roman"/>
                <w:b/>
                <w:bCs/>
                <w:color w:val="auto"/>
                <w:sz w:val="24"/>
              </w:rPr>
            </w:pPr>
            <w:r>
              <w:rPr>
                <w:rFonts w:hint="eastAsia" w:ascii="Times New Roman" w:hAnsi="Times New Roman" w:cs="Times New Roman"/>
                <w:iCs/>
                <w:color w:val="auto"/>
                <w:sz w:val="24"/>
                <w:szCs w:val="24"/>
              </w:rPr>
              <w:t>根据陕西省“三线一单”数据应用系统冲突分析导出的《陕西省“三线一单”生态环境管控单元对照分析报告》可知，本项目位于</w:t>
            </w:r>
            <w:r>
              <w:rPr>
                <w:rFonts w:hint="eastAsia" w:ascii="Times New Roman" w:hAnsi="Times New Roman" w:cs="Times New Roman"/>
                <w:iCs/>
                <w:color w:val="auto"/>
                <w:sz w:val="24"/>
                <w:szCs w:val="24"/>
                <w:lang w:val="en-US" w:eastAsia="zh-CN"/>
              </w:rPr>
              <w:t>重点管控单元</w:t>
            </w:r>
            <w:r>
              <w:rPr>
                <w:rFonts w:hint="eastAsia" w:ascii="Times New Roman" w:hAnsi="Times New Roman" w:cs="Times New Roman"/>
                <w:iCs/>
                <w:color w:val="auto"/>
                <w:sz w:val="24"/>
                <w:szCs w:val="24"/>
              </w:rPr>
              <w:t>，符合生态环境总体准入清单要求。本项目在</w:t>
            </w:r>
            <w:r>
              <w:rPr>
                <w:rFonts w:hint="eastAsia" w:cs="Times New Roman"/>
                <w:iCs/>
                <w:color w:val="auto"/>
                <w:sz w:val="24"/>
                <w:szCs w:val="24"/>
                <w:lang w:val="en-US" w:eastAsia="zh-CN"/>
              </w:rPr>
              <w:t>宝鸡</w:t>
            </w:r>
            <w:r>
              <w:rPr>
                <w:rFonts w:hint="eastAsia" w:ascii="Times New Roman" w:hAnsi="Times New Roman" w:cs="Times New Roman"/>
                <w:iCs/>
                <w:color w:val="auto"/>
                <w:sz w:val="24"/>
                <w:szCs w:val="24"/>
              </w:rPr>
              <w:t>市生态管控单元分布中的位置示意见图1</w:t>
            </w:r>
            <w:r>
              <w:rPr>
                <w:rFonts w:hint="default" w:ascii="Times New Roman" w:hAnsi="Times New Roman" w:cs="Times New Roman"/>
                <w:iCs/>
                <w:color w:val="auto"/>
                <w:sz w:val="24"/>
                <w:szCs w:val="24"/>
              </w:rPr>
              <w:t>-</w:t>
            </w:r>
            <w:r>
              <w:rPr>
                <w:rFonts w:hint="eastAsia" w:ascii="Times New Roman" w:hAnsi="Times New Roman" w:cs="Times New Roman"/>
                <w:iCs/>
                <w:color w:val="auto"/>
                <w:sz w:val="24"/>
                <w:szCs w:val="24"/>
                <w:lang w:val="en-US" w:eastAsia="zh-CN"/>
              </w:rPr>
              <w:t>1</w:t>
            </w:r>
            <w:r>
              <w:rPr>
                <w:rFonts w:hint="eastAsia" w:ascii="Times New Roman" w:hAnsi="Times New Roman" w:cs="Times New Roman"/>
                <w:iCs/>
                <w:color w:val="auto"/>
                <w:sz w:val="24"/>
                <w:szCs w:val="24"/>
              </w:rPr>
              <w:t>。本项目所在区环境质量现状较好，本工程运营期在采取相应的污染防治措施后，各项污染物均能达标排放，不触及项目区环境质量底线。</w:t>
            </w:r>
            <w:r>
              <w:rPr>
                <w:rFonts w:hint="eastAsia" w:ascii="Times New Roman" w:hAnsi="Times New Roman" w:eastAsia="宋体" w:cs="Times New Roman"/>
                <w:iCs/>
                <w:color w:val="auto"/>
                <w:sz w:val="24"/>
                <w:szCs w:val="24"/>
                <w:lang w:val="en-US" w:eastAsia="zh-CN"/>
              </w:rPr>
              <w:t>本项目位于陕西省宝鸡市陇县第一污水处理厂内</w:t>
            </w:r>
            <w:r>
              <w:rPr>
                <w:rFonts w:hint="eastAsia" w:ascii="Times New Roman" w:hAnsi="Times New Roman" w:cs="Times New Roman"/>
                <w:iCs/>
                <w:color w:val="auto"/>
                <w:sz w:val="24"/>
                <w:szCs w:val="24"/>
                <w:highlight w:val="none"/>
              </w:rPr>
              <w:t>，</w:t>
            </w:r>
            <w:r>
              <w:rPr>
                <w:rFonts w:hint="eastAsia" w:ascii="Times New Roman" w:hAnsi="Times New Roman" w:cs="Times New Roman"/>
                <w:iCs/>
                <w:color w:val="auto"/>
                <w:sz w:val="24"/>
                <w:szCs w:val="24"/>
                <w:highlight w:val="none"/>
                <w:lang w:val="en-US" w:eastAsia="zh-CN"/>
              </w:rPr>
              <w:t>不新增占地</w:t>
            </w:r>
            <w:r>
              <w:rPr>
                <w:rFonts w:hint="eastAsia" w:ascii="Times New Roman" w:hAnsi="Times New Roman" w:cs="Times New Roman"/>
                <w:iCs/>
                <w:color w:val="auto"/>
                <w:sz w:val="24"/>
                <w:szCs w:val="24"/>
                <w:highlight w:val="none"/>
              </w:rPr>
              <w:t>，</w:t>
            </w:r>
            <w:r>
              <w:rPr>
                <w:rFonts w:hint="eastAsia" w:ascii="Times New Roman" w:hAnsi="Times New Roman" w:cs="Times New Roman"/>
                <w:iCs/>
                <w:color w:val="auto"/>
                <w:sz w:val="24"/>
                <w:szCs w:val="24"/>
              </w:rPr>
              <w:t>不会触及资源利用上线。</w:t>
            </w:r>
            <w:r>
              <w:rPr>
                <w:rFonts w:hint="eastAsia" w:ascii="宋体" w:hAnsi="宋体" w:cs="宋体"/>
                <w:color w:val="auto"/>
                <w:sz w:val="24"/>
                <w:szCs w:val="24"/>
                <w:lang w:bidi="ar"/>
              </w:rPr>
              <w:t>综上所述，</w:t>
            </w:r>
            <w:r>
              <w:rPr>
                <w:rFonts w:hint="eastAsia" w:ascii="宋体" w:hAnsi="宋体" w:cs="宋体"/>
                <w:color w:val="auto"/>
                <w:sz w:val="24"/>
                <w:szCs w:val="24"/>
                <w:lang w:eastAsia="zh-CN" w:bidi="ar"/>
              </w:rPr>
              <w:t>项目</w:t>
            </w:r>
            <w:r>
              <w:rPr>
                <w:rFonts w:hint="eastAsia" w:ascii="宋体" w:hAnsi="宋体" w:cs="宋体"/>
                <w:color w:val="auto"/>
                <w:sz w:val="24"/>
                <w:szCs w:val="24"/>
                <w:lang w:bidi="ar"/>
              </w:rPr>
              <w:t>符合“三线一单”重点管控的各项要求。</w:t>
            </w:r>
          </w:p>
          <w:p w14:paraId="151317E4">
            <w:pPr>
              <w:keepNext w:val="0"/>
              <w:keepLines w:val="0"/>
              <w:suppressLineNumbers w:val="0"/>
              <w:spacing w:before="0" w:beforeAutospacing="0" w:after="0" w:afterAutospacing="0"/>
              <w:ind w:left="0" w:right="0"/>
              <w:rPr>
                <w:rFonts w:hint="default" w:ascii="Times New Roman" w:hAnsi="Times New Roman" w:cs="Times New Roman"/>
              </w:rPr>
            </w:pPr>
          </w:p>
          <w:p w14:paraId="0DBDD48A">
            <w:pPr>
              <w:pStyle w:val="35"/>
              <w:keepNext w:val="0"/>
              <w:keepLines w:val="0"/>
              <w:suppressLineNumbers w:val="0"/>
              <w:spacing w:before="0" w:beforeAutospacing="0" w:after="0" w:afterAutospacing="0"/>
              <w:ind w:left="0" w:right="0"/>
              <w:rPr>
                <w:rFonts w:hint="default" w:ascii="Times New Roman" w:hAnsi="Times New Roman" w:cs="宋体"/>
                <w:color w:val="auto"/>
                <w:szCs w:val="21"/>
              </w:rPr>
            </w:pPr>
          </w:p>
        </w:tc>
      </w:tr>
    </w:tbl>
    <w:p w14:paraId="79A56A9D">
      <w:pPr>
        <w:rPr>
          <w:color w:val="auto"/>
        </w:rPr>
      </w:pPr>
    </w:p>
    <w:p w14:paraId="0A41E393">
      <w:pPr>
        <w:pStyle w:val="10"/>
        <w:sectPr>
          <w:pgSz w:w="16838" w:h="11906" w:orient="landscape"/>
          <w:pgMar w:top="1134" w:right="1134" w:bottom="1134" w:left="1134" w:header="851" w:footer="1077" w:gutter="0"/>
          <w:pgBorders>
            <w:top w:val="none" w:sz="0" w:space="0"/>
            <w:left w:val="none" w:sz="0" w:space="0"/>
            <w:bottom w:val="none" w:sz="0" w:space="0"/>
            <w:right w:val="none" w:sz="0" w:space="0"/>
          </w:pgBorders>
          <w:cols w:space="720" w:num="1"/>
          <w:docGrid w:linePitch="312" w:charSpace="0"/>
        </w:sect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8410"/>
      </w:tblGrid>
      <w:tr w14:paraId="10D9A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60" w:type="dxa"/>
            <w:noWrap w:val="0"/>
            <w:vAlign w:val="center"/>
          </w:tcPr>
          <w:p w14:paraId="78ED5A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Times New Roman" w:hAnsi="Times New Roman" w:cs="宋体"/>
                <w:color w:val="auto"/>
                <w:kern w:val="0"/>
                <w:szCs w:val="21"/>
              </w:rPr>
            </w:pPr>
          </w:p>
        </w:tc>
        <w:tc>
          <w:tcPr>
            <w:tcW w:w="8410" w:type="dxa"/>
            <w:noWrap w:val="0"/>
            <w:vAlign w:val="center"/>
          </w:tcPr>
          <w:p w14:paraId="336B0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五、选址合理性分析</w:t>
            </w:r>
          </w:p>
          <w:p w14:paraId="17DFA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cs="Times New Roman"/>
                <w:spacing w:val="2"/>
                <w:sz w:val="24"/>
                <w:szCs w:val="24"/>
                <w:lang w:eastAsia="zh-CN"/>
              </w:rPr>
              <w:t>（</w:t>
            </w:r>
            <w:r>
              <w:rPr>
                <w:rFonts w:hint="default" w:ascii="Times New Roman" w:hAnsi="Times New Roman" w:cs="Times New Roman"/>
                <w:spacing w:val="2"/>
                <w:sz w:val="24"/>
                <w:szCs w:val="24"/>
                <w:lang w:val="en-US" w:eastAsia="zh-CN"/>
              </w:rPr>
              <w:t>1</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项目用地分析</w:t>
            </w:r>
          </w:p>
          <w:p w14:paraId="3080B2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rPr>
              <w:t>本项目位于陕西省宝鸡市</w:t>
            </w:r>
            <w:r>
              <w:rPr>
                <w:rFonts w:hint="default" w:ascii="Times New Roman" w:hAnsi="Times New Roman" w:cs="Times New Roman"/>
                <w:spacing w:val="2"/>
                <w:sz w:val="24"/>
                <w:szCs w:val="24"/>
                <w:lang w:val="en-US" w:eastAsia="zh-CN"/>
              </w:rPr>
              <w:t>陇县第一污水处理厂</w:t>
            </w:r>
            <w:r>
              <w:rPr>
                <w:rFonts w:hint="default" w:ascii="Times New Roman" w:hAnsi="Times New Roman" w:eastAsia="宋体" w:cs="Times New Roman"/>
                <w:spacing w:val="2"/>
                <w:sz w:val="24"/>
                <w:szCs w:val="24"/>
              </w:rPr>
              <w:t>，</w:t>
            </w:r>
            <w:r>
              <w:rPr>
                <w:rFonts w:hint="default" w:ascii="Times New Roman" w:hAnsi="Times New Roman" w:cs="Times New Roman"/>
                <w:spacing w:val="2"/>
                <w:sz w:val="24"/>
                <w:szCs w:val="24"/>
                <w:lang w:val="en-US" w:eastAsia="zh-CN"/>
              </w:rPr>
              <w:t>在现有空置厂房</w:t>
            </w:r>
            <w:r>
              <w:rPr>
                <w:rFonts w:hint="default" w:ascii="Times New Roman" w:hAnsi="Times New Roman" w:eastAsia="宋体" w:cs="Times New Roman"/>
                <w:spacing w:val="2"/>
                <w:sz w:val="24"/>
                <w:szCs w:val="24"/>
              </w:rPr>
              <w:t>建设，不新增占地。根据《</w:t>
            </w:r>
            <w:r>
              <w:rPr>
                <w:rFonts w:hint="default" w:ascii="Times New Roman" w:hAnsi="Times New Roman" w:cs="Times New Roman"/>
                <w:spacing w:val="2"/>
                <w:sz w:val="24"/>
                <w:szCs w:val="24"/>
                <w:lang w:val="en-US" w:eastAsia="zh-CN"/>
              </w:rPr>
              <w:t>陇县住房和城乡建设局</w:t>
            </w:r>
            <w:r>
              <w:rPr>
                <w:rFonts w:hint="default" w:ascii="Times New Roman" w:hAnsi="Times New Roman" w:eastAsia="宋体" w:cs="Times New Roman"/>
                <w:spacing w:val="2"/>
                <w:sz w:val="24"/>
                <w:szCs w:val="24"/>
              </w:rPr>
              <w:t>不动产权证》</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陕(202</w:t>
            </w:r>
            <w:r>
              <w:rPr>
                <w:rFonts w:hint="default" w:ascii="Times New Roman" w:hAnsi="Times New Roman" w:cs="Times New Roman"/>
                <w:spacing w:val="2"/>
                <w:sz w:val="24"/>
                <w:szCs w:val="24"/>
                <w:lang w:val="en-US" w:eastAsia="zh-CN"/>
              </w:rPr>
              <w:t>5</w:t>
            </w:r>
            <w:r>
              <w:rPr>
                <w:rFonts w:hint="default" w:ascii="Times New Roman" w:hAnsi="Times New Roman" w:eastAsia="宋体" w:cs="Times New Roman"/>
                <w:spacing w:val="2"/>
                <w:sz w:val="24"/>
                <w:szCs w:val="24"/>
              </w:rPr>
              <w:t>)</w:t>
            </w:r>
            <w:r>
              <w:rPr>
                <w:rFonts w:hint="default" w:ascii="Times New Roman" w:hAnsi="Times New Roman" w:cs="Times New Roman"/>
                <w:spacing w:val="2"/>
                <w:sz w:val="24"/>
                <w:szCs w:val="24"/>
                <w:lang w:val="en-US" w:eastAsia="zh-CN"/>
              </w:rPr>
              <w:t>陇县</w:t>
            </w:r>
            <w:r>
              <w:rPr>
                <w:rFonts w:hint="default" w:ascii="Times New Roman" w:hAnsi="Times New Roman" w:eastAsia="宋体" w:cs="Times New Roman"/>
                <w:spacing w:val="2"/>
                <w:sz w:val="24"/>
                <w:szCs w:val="24"/>
              </w:rPr>
              <w:t>不动产权第00</w:t>
            </w:r>
            <w:r>
              <w:rPr>
                <w:rFonts w:hint="default" w:ascii="Times New Roman" w:hAnsi="Times New Roman" w:cs="Times New Roman"/>
                <w:spacing w:val="2"/>
                <w:sz w:val="24"/>
                <w:szCs w:val="24"/>
                <w:lang w:val="en-US" w:eastAsia="zh-CN"/>
              </w:rPr>
              <w:t>28010</w:t>
            </w:r>
            <w:r>
              <w:rPr>
                <w:rFonts w:hint="default" w:ascii="Times New Roman" w:hAnsi="Times New Roman" w:eastAsia="宋体" w:cs="Times New Roman"/>
                <w:spacing w:val="2"/>
                <w:sz w:val="24"/>
                <w:szCs w:val="24"/>
              </w:rPr>
              <w:t>号</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可知，本项目用地性质为</w:t>
            </w:r>
            <w:r>
              <w:rPr>
                <w:rFonts w:hint="default" w:ascii="Times New Roman" w:hAnsi="Times New Roman" w:cs="Times New Roman"/>
                <w:spacing w:val="2"/>
                <w:sz w:val="24"/>
                <w:szCs w:val="24"/>
                <w:lang w:val="en-US" w:eastAsia="zh-CN"/>
              </w:rPr>
              <w:t>建设</w:t>
            </w:r>
            <w:r>
              <w:rPr>
                <w:rFonts w:hint="default" w:ascii="Times New Roman" w:hAnsi="Times New Roman" w:eastAsia="宋体" w:cs="Times New Roman"/>
                <w:spacing w:val="2"/>
                <w:sz w:val="24"/>
                <w:szCs w:val="24"/>
              </w:rPr>
              <w:t>用地</w:t>
            </w:r>
            <w:r>
              <w:rPr>
                <w:rFonts w:hint="default" w:ascii="Times New Roman" w:hAnsi="Times New Roman" w:cs="Times New Roman"/>
                <w:spacing w:val="2"/>
                <w:sz w:val="24"/>
                <w:szCs w:val="24"/>
                <w:lang w:eastAsia="zh-CN"/>
              </w:rPr>
              <w:t>。</w:t>
            </w:r>
          </w:p>
          <w:p w14:paraId="53421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cs="Times New Roman"/>
                <w:spacing w:val="2"/>
                <w:sz w:val="24"/>
                <w:szCs w:val="24"/>
                <w:lang w:eastAsia="zh-CN"/>
              </w:rPr>
              <w:t>（</w:t>
            </w:r>
            <w:r>
              <w:rPr>
                <w:rFonts w:hint="default" w:ascii="Times New Roman" w:hAnsi="Times New Roman" w:cs="Times New Roman"/>
                <w:spacing w:val="2"/>
                <w:sz w:val="24"/>
                <w:szCs w:val="24"/>
                <w:lang w:val="en-US" w:eastAsia="zh-CN"/>
              </w:rPr>
              <w:t>2</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环境敏感性</w:t>
            </w:r>
          </w:p>
          <w:p w14:paraId="7B57D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本次扩建项目在现有厂区内建设，不新增占地，项目所在区域不属于自然保护区、森林公园、风景名胜区、世界文化自然遗产、地质公园等禁止开发的生态红线区、重点保护生态红线区以及脆弱生态保护红线区内项目建设不占用生态红线保护区。</w:t>
            </w:r>
          </w:p>
          <w:p w14:paraId="057289F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kern w:val="2"/>
                <w:sz w:val="24"/>
                <w:szCs w:val="24"/>
                <w:lang w:val="en-US" w:eastAsia="zh-CN" w:bidi="ar-SA"/>
              </w:rPr>
              <w:t>（3）</w:t>
            </w:r>
            <w:r>
              <w:rPr>
                <w:rFonts w:hint="default" w:ascii="Times New Roman" w:hAnsi="Times New Roman" w:eastAsia="宋体" w:cs="Times New Roman"/>
                <w:spacing w:val="2"/>
                <w:sz w:val="24"/>
                <w:szCs w:val="24"/>
              </w:rPr>
              <w:t>项目选址与环境功能区划的一致性</w:t>
            </w:r>
          </w:p>
          <w:p w14:paraId="7967A9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8" w:firstLineChars="200"/>
              <w:jc w:val="both"/>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本项目所在区域环境空气质量执行《环境空气质量标准》GB3095-2012)二类功能区标准，地表水质量执行《地表水环境质量标准》(GB3838-2002)I类水域标准，声环境执行《声环境质量标准》GB3096-2008)2类标准。扩建项目锅炉燃烧器采用</w:t>
            </w:r>
            <w:r>
              <w:rPr>
                <w:rFonts w:hint="default" w:ascii="Times New Roman" w:hAnsi="Times New Roman" w:cs="Times New Roman"/>
                <w:spacing w:val="2"/>
                <w:sz w:val="24"/>
                <w:szCs w:val="24"/>
                <w:lang w:val="en-US" w:eastAsia="zh-CN"/>
              </w:rPr>
              <w:t>低氮</w:t>
            </w:r>
            <w:r>
              <w:rPr>
                <w:rFonts w:hint="default" w:ascii="Times New Roman" w:hAnsi="Times New Roman" w:eastAsia="宋体" w:cs="Times New Roman"/>
                <w:spacing w:val="2"/>
                <w:sz w:val="24"/>
                <w:szCs w:val="24"/>
              </w:rPr>
              <w:t>燃烧器，锅炉废气经低氮燃烧器处理后经1根</w:t>
            </w:r>
            <w:r>
              <w:rPr>
                <w:rFonts w:hint="default" w:ascii="Times New Roman" w:hAnsi="Times New Roman" w:cs="Times New Roman"/>
                <w:spacing w:val="2"/>
                <w:sz w:val="24"/>
                <w:szCs w:val="24"/>
                <w:lang w:val="en-US" w:eastAsia="zh-CN"/>
              </w:rPr>
              <w:t>25</w:t>
            </w:r>
            <w:r>
              <w:rPr>
                <w:rFonts w:hint="default" w:ascii="Times New Roman" w:hAnsi="Times New Roman" w:eastAsia="宋体" w:cs="Times New Roman"/>
                <w:spacing w:val="2"/>
                <w:sz w:val="24"/>
                <w:szCs w:val="24"/>
              </w:rPr>
              <w:t>m高的排气筒(DA00</w:t>
            </w:r>
            <w:r>
              <w:rPr>
                <w:rFonts w:hint="default" w:ascii="Times New Roman" w:hAnsi="Times New Roman" w:cs="Times New Roman"/>
                <w:spacing w:val="2"/>
                <w:sz w:val="24"/>
                <w:szCs w:val="24"/>
                <w:lang w:val="en-US" w:eastAsia="zh-CN"/>
              </w:rPr>
              <w:t>1</w:t>
            </w:r>
            <w:r>
              <w:rPr>
                <w:rFonts w:hint="default" w:ascii="Times New Roman" w:hAnsi="Times New Roman" w:eastAsia="宋体" w:cs="Times New Roman"/>
                <w:spacing w:val="2"/>
                <w:sz w:val="24"/>
                <w:szCs w:val="24"/>
              </w:rPr>
              <w:t>)排放。锅炉排污水及软化水系统排水排入</w:t>
            </w:r>
            <w:r>
              <w:rPr>
                <w:rFonts w:hint="default" w:ascii="Times New Roman" w:hAnsi="Times New Roman" w:cs="Times New Roman"/>
                <w:spacing w:val="2"/>
                <w:sz w:val="24"/>
                <w:szCs w:val="24"/>
                <w:lang w:val="en-US" w:eastAsia="zh-CN"/>
              </w:rPr>
              <w:t>陇县第一</w:t>
            </w:r>
            <w:r>
              <w:rPr>
                <w:rFonts w:hint="default" w:ascii="Times New Roman" w:hAnsi="Times New Roman" w:eastAsia="宋体" w:cs="Times New Roman"/>
                <w:spacing w:val="2"/>
                <w:sz w:val="24"/>
                <w:szCs w:val="24"/>
              </w:rPr>
              <w:t>污水处理厂</w:t>
            </w:r>
            <w:r>
              <w:rPr>
                <w:rFonts w:hint="default" w:ascii="Times New Roman" w:hAnsi="Times New Roman" w:cs="Times New Roman"/>
                <w:spacing w:val="2"/>
                <w:sz w:val="24"/>
                <w:szCs w:val="24"/>
                <w:lang w:val="en-US" w:eastAsia="zh-CN"/>
              </w:rPr>
              <w:t>处理</w:t>
            </w:r>
            <w:r>
              <w:rPr>
                <w:rFonts w:hint="default" w:ascii="Times New Roman" w:hAnsi="Times New Roman" w:eastAsia="宋体" w:cs="Times New Roman"/>
                <w:spacing w:val="2"/>
                <w:sz w:val="24"/>
                <w:szCs w:val="24"/>
              </w:rPr>
              <w:t>。噪声经厂房隔声、距离衰减、选用低噪设备等措施后，满足2类标准要求。废离子交换树脂更换后由厂家带走。废气、废水和噪声采取治理措施后均能够达标排放，固体废物均得到妥善处置。</w:t>
            </w:r>
          </w:p>
          <w:p w14:paraId="69543E8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8" w:firstLineChars="200"/>
              <w:jc w:val="both"/>
              <w:textAlignment w:val="auto"/>
              <w:rPr>
                <w:rFonts w:hint="default" w:ascii="Times New Roman" w:hAnsi="Times New Roman" w:cs="Times New Roman"/>
                <w:color w:val="auto"/>
                <w:sz w:val="24"/>
              </w:rPr>
            </w:pPr>
            <w:r>
              <w:rPr>
                <w:rFonts w:hint="default" w:ascii="Times New Roman" w:hAnsi="Times New Roman" w:eastAsia="宋体" w:cs="Times New Roman"/>
                <w:spacing w:val="2"/>
                <w:sz w:val="24"/>
                <w:szCs w:val="24"/>
              </w:rPr>
              <w:t>根据上述分析，项目选址符合环境功能区划要求</w:t>
            </w:r>
            <w:r>
              <w:rPr>
                <w:rFonts w:hint="default" w:ascii="Times New Roman" w:hAnsi="Times New Roman" w:cs="Times New Roman"/>
                <w:color w:val="auto"/>
                <w:sz w:val="24"/>
              </w:rPr>
              <w:t>。</w:t>
            </w:r>
          </w:p>
          <w:p w14:paraId="148B66E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color w:val="auto"/>
                <w:sz w:val="24"/>
                <w:lang w:val="en-US" w:eastAsia="zh-CN"/>
              </w:rPr>
            </w:pPr>
          </w:p>
        </w:tc>
      </w:tr>
    </w:tbl>
    <w:p w14:paraId="0BBF65F8">
      <w:pPr>
        <w:spacing w:line="360" w:lineRule="auto"/>
        <w:outlineLvl w:val="0"/>
        <w:rPr>
          <w:rFonts w:eastAsia="黑体"/>
          <w:color w:val="auto"/>
          <w:sz w:val="30"/>
        </w:rPr>
        <w:sectPr>
          <w:pgSz w:w="11906" w:h="16838"/>
          <w:pgMar w:top="1134" w:right="1134" w:bottom="1134" w:left="1134" w:header="851" w:footer="1077" w:gutter="0"/>
          <w:pgBorders>
            <w:top w:val="none" w:sz="0" w:space="0"/>
            <w:left w:val="none" w:sz="0" w:space="0"/>
            <w:bottom w:val="none" w:sz="0" w:space="0"/>
            <w:right w:val="none" w:sz="0" w:space="0"/>
          </w:pgBorders>
          <w:cols w:space="720" w:num="1"/>
          <w:docGrid w:linePitch="312" w:charSpace="0"/>
        </w:sectPr>
      </w:pPr>
    </w:p>
    <w:p w14:paraId="387775EF">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1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458"/>
      </w:tblGrid>
      <w:tr w14:paraId="2A864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364" w:type="pct"/>
            <w:noWrap w:val="0"/>
            <w:vAlign w:val="center"/>
          </w:tcPr>
          <w:p w14:paraId="691D4F44">
            <w:pPr>
              <w:pStyle w:val="1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1"/>
              </w:rPr>
            </w:pPr>
            <w:r>
              <w:rPr>
                <w:rFonts w:hint="eastAsia" w:ascii="Times New Roman" w:hAnsi="Times New Roman" w:eastAsia="宋体" w:cs="宋体"/>
                <w:color w:val="auto"/>
                <w:sz w:val="21"/>
                <w:szCs w:val="21"/>
              </w:rPr>
              <w:t>建设内容</w:t>
            </w:r>
          </w:p>
        </w:tc>
        <w:tc>
          <w:tcPr>
            <w:tcW w:w="4635" w:type="pct"/>
            <w:noWrap w:val="0"/>
            <w:vAlign w:val="center"/>
          </w:tcPr>
          <w:p w14:paraId="5B31C433">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lang w:val="en-US" w:eastAsia="zh-CN"/>
              </w:rPr>
            </w:pPr>
            <w:r>
              <w:rPr>
                <w:rFonts w:hint="eastAsia" w:ascii="Times New Roman" w:hAnsi="Times New Roman" w:eastAsia="宋体" w:cs="宋体"/>
                <w:color w:val="auto"/>
                <w:sz w:val="24"/>
                <w:szCs w:val="21"/>
                <w:lang w:val="en-US" w:eastAsia="zh-CN"/>
              </w:rPr>
              <w:t>一、项目由来</w:t>
            </w:r>
          </w:p>
          <w:p w14:paraId="45945C12">
            <w:pPr>
              <w:pStyle w:val="35"/>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城市集中供热是一座城市重要的市政基础设施之一，集中供热的清洁化、可再生化是现代化城市和环境友好型城市的重要标志。</w:t>
            </w:r>
          </w:p>
          <w:p w14:paraId="75CC316E">
            <w:pPr>
              <w:pStyle w:val="35"/>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为改善空气质量，2023年宝鸡市制定了《宝鸡市大气污染治理专项行动方案</w:t>
            </w:r>
            <w:r>
              <w:rPr>
                <w:rFonts w:hint="eastAsia" w:ascii="Times New Roman"/>
                <w:color w:val="auto"/>
                <w:sz w:val="24"/>
                <w:lang w:val="en-US" w:eastAsia="zh-CN"/>
              </w:rPr>
              <w:t>（</w:t>
            </w:r>
            <w:r>
              <w:rPr>
                <w:rFonts w:hint="default" w:ascii="Times New Roman" w:hAnsi="Times New Roman" w:eastAsia="宋体"/>
                <w:color w:val="auto"/>
                <w:sz w:val="24"/>
                <w:lang w:val="en-US" w:eastAsia="zh-CN"/>
              </w:rPr>
              <w:t>2023-2027年</w:t>
            </w:r>
            <w:r>
              <w:rPr>
                <w:rFonts w:hint="eastAsia" w:ascii="Times New Roman"/>
                <w:color w:val="auto"/>
                <w:sz w:val="24"/>
                <w:lang w:val="en-US" w:eastAsia="zh-CN"/>
              </w:rPr>
              <w:t>）</w:t>
            </w:r>
            <w:r>
              <w:rPr>
                <w:rFonts w:hint="default" w:ascii="Times New Roman" w:hAnsi="Times New Roman" w:eastAsia="宋体"/>
                <w:color w:val="auto"/>
                <w:sz w:val="24"/>
                <w:lang w:val="en-US" w:eastAsia="zh-CN"/>
              </w:rPr>
              <w:t>》</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宝发</w:t>
            </w:r>
            <w:r>
              <w:rPr>
                <w:rFonts w:hint="eastAsia" w:ascii="Times New Roman"/>
                <w:color w:val="auto"/>
                <w:sz w:val="24"/>
                <w:lang w:val="en-US" w:eastAsia="zh-CN"/>
              </w:rPr>
              <w:t>（</w:t>
            </w:r>
            <w:r>
              <w:rPr>
                <w:rFonts w:hint="default" w:ascii="Times New Roman" w:hAnsi="Times New Roman" w:eastAsia="宋体"/>
                <w:color w:val="auto"/>
                <w:sz w:val="24"/>
                <w:lang w:val="en-US" w:eastAsia="zh-CN"/>
              </w:rPr>
              <w:t>2023</w:t>
            </w:r>
            <w:r>
              <w:rPr>
                <w:rFonts w:hint="eastAsia" w:ascii="Times New Roman"/>
                <w:color w:val="auto"/>
                <w:sz w:val="24"/>
                <w:lang w:val="en-US" w:eastAsia="zh-CN"/>
              </w:rPr>
              <w:t>）</w:t>
            </w:r>
            <w:r>
              <w:rPr>
                <w:rFonts w:hint="default" w:ascii="Times New Roman" w:hAnsi="Times New Roman" w:eastAsia="宋体"/>
                <w:color w:val="auto"/>
                <w:sz w:val="24"/>
                <w:lang w:val="en-US" w:eastAsia="zh-CN"/>
              </w:rPr>
              <w:t>8号</w:t>
            </w:r>
            <w:r>
              <w:rPr>
                <w:rFonts w:hint="eastAsia" w:ascii="Times New Roman"/>
                <w:color w:val="auto"/>
                <w:sz w:val="24"/>
                <w:lang w:val="en-US" w:eastAsia="zh-CN"/>
              </w:rPr>
              <w:t>）</w:t>
            </w:r>
            <w:r>
              <w:rPr>
                <w:rFonts w:hint="default" w:ascii="Times New Roman" w:hAnsi="Times New Roman" w:eastAsia="宋体"/>
                <w:color w:val="auto"/>
                <w:sz w:val="24"/>
                <w:lang w:val="en-US" w:eastAsia="zh-CN"/>
              </w:rPr>
              <w:t>，方案明确规定</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大力推动城市供热结构调整。不再新建燃煤集中供热站</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原有燃煤、燃气供热锅炉用于调峰备用</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大力推动产业园区采用集中供热或清洁能源取暖</w:t>
            </w:r>
            <w:r>
              <w:rPr>
                <w:rFonts w:hint="eastAsia" w:ascii="Times New Roman"/>
                <w:color w:val="auto"/>
                <w:sz w:val="24"/>
                <w:lang w:val="en-US" w:eastAsia="zh-CN"/>
              </w:rPr>
              <w:t>；</w:t>
            </w:r>
            <w:r>
              <w:rPr>
                <w:rFonts w:hint="default" w:ascii="Times New Roman" w:hAnsi="Times New Roman" w:eastAsia="宋体"/>
                <w:color w:val="auto"/>
                <w:sz w:val="24"/>
                <w:lang w:val="en-US" w:eastAsia="zh-CN"/>
              </w:rPr>
              <w:t>新建居民住宅、商业综合体等使用清洁能源取暖等。从宝鸡市总体规划来看，陇县已纳入到</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市域城乡一体化发展战略</w:t>
            </w:r>
            <w:r>
              <w:rPr>
                <w:rFonts w:hint="eastAsia" w:ascii="Times New Roman"/>
                <w:color w:val="auto"/>
                <w:sz w:val="24"/>
                <w:lang w:val="en-US" w:eastAsia="zh-CN"/>
              </w:rPr>
              <w:t>”</w:t>
            </w:r>
            <w:r>
              <w:rPr>
                <w:rFonts w:hint="default" w:ascii="Times New Roman" w:hAnsi="Times New Roman" w:eastAsia="宋体"/>
                <w:color w:val="auto"/>
                <w:sz w:val="24"/>
                <w:lang w:val="en-US" w:eastAsia="zh-CN"/>
              </w:rPr>
              <w:t>当中，燃煤锅炉即将拆除，燃气锅炉即将淘汰。为保障人民群众的冬季供暖需求，采用可再生能源进行集中供热是必然趋势。本项目的实施将对塑造陇县清洁供暖形象，改善投资环境，节约能源，保护环境，降低碳排放有着重大意义和具有巨大的促进作用</w:t>
            </w:r>
            <w:r>
              <w:rPr>
                <w:rFonts w:hint="eastAsia" w:ascii="Times New Roman"/>
                <w:color w:val="auto"/>
                <w:sz w:val="24"/>
                <w:lang w:val="en-US" w:eastAsia="zh-CN"/>
              </w:rPr>
              <w:t>。</w:t>
            </w:r>
          </w:p>
          <w:p w14:paraId="24E7707F">
            <w:pPr>
              <w:pStyle w:val="35"/>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根据《中华人民共和国环境影响评价法》和《建设项目环境影响评价分类管理名录</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2021年</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》等有关规定，</w:t>
            </w:r>
            <w:r>
              <w:rPr>
                <w:rFonts w:hint="eastAsia" w:ascii="Times New Roman"/>
                <w:color w:val="auto"/>
                <w:sz w:val="24"/>
                <w:lang w:val="en-US" w:eastAsia="zh-CN"/>
              </w:rPr>
              <w:t>陇县第一污水处理厂供热站</w:t>
            </w:r>
            <w:r>
              <w:rPr>
                <w:rFonts w:hint="default" w:ascii="Times New Roman" w:hAnsi="Times New Roman" w:eastAsia="宋体"/>
                <w:color w:val="auto"/>
                <w:sz w:val="24"/>
                <w:lang w:val="en-US" w:eastAsia="zh-CN"/>
              </w:rPr>
              <w:t>项目属于</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四十一、电力、热力生产和供应业，91、热力生产和供应工程</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包括建设单位自建自用的供热工程</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燃煤、燃油锅炉总容量65吨</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小时</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45.5兆瓦</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以</w:t>
            </w:r>
            <w:r>
              <w:rPr>
                <w:rFonts w:hint="eastAsia" w:ascii="Times New Roman" w:hAnsi="Times New Roman" w:eastAsia="宋体"/>
                <w:color w:val="auto"/>
                <w:sz w:val="24"/>
                <w:lang w:val="en-US" w:eastAsia="zh-CN"/>
              </w:rPr>
              <w:t>下</w:t>
            </w:r>
            <w:r>
              <w:rPr>
                <w:rFonts w:hint="default" w:ascii="Times New Roman" w:hAnsi="Times New Roman" w:eastAsia="宋体"/>
                <w:color w:val="auto"/>
                <w:sz w:val="24"/>
                <w:lang w:val="en-US" w:eastAsia="zh-CN"/>
              </w:rPr>
              <w:t>的</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应编制环境影响报告</w:t>
            </w:r>
            <w:r>
              <w:rPr>
                <w:rFonts w:hint="eastAsia" w:ascii="Times New Roman" w:hAnsi="Times New Roman" w:eastAsia="宋体"/>
                <w:color w:val="auto"/>
                <w:sz w:val="24"/>
                <w:lang w:val="en-US" w:eastAsia="zh-CN"/>
              </w:rPr>
              <w:t>表</w:t>
            </w:r>
            <w:r>
              <w:rPr>
                <w:rFonts w:hint="default" w:ascii="Times New Roman" w:hAnsi="Times New Roman" w:eastAsia="宋体"/>
                <w:color w:val="auto"/>
                <w:sz w:val="24"/>
                <w:lang w:val="en-US" w:eastAsia="zh-CN"/>
              </w:rPr>
              <w:t>。202</w:t>
            </w:r>
            <w:r>
              <w:rPr>
                <w:rFonts w:hint="eastAsia" w:ascii="Times New Roman" w:hAnsi="Times New Roman" w:eastAsia="宋体"/>
                <w:color w:val="auto"/>
                <w:sz w:val="24"/>
                <w:lang w:val="en-US" w:eastAsia="zh-CN"/>
              </w:rPr>
              <w:t>5</w:t>
            </w:r>
            <w:r>
              <w:rPr>
                <w:rFonts w:hint="default" w:ascii="Times New Roman" w:hAnsi="Times New Roman" w:eastAsia="宋体"/>
                <w:color w:val="auto"/>
                <w:sz w:val="24"/>
                <w:lang w:val="en-US" w:eastAsia="zh-CN"/>
              </w:rPr>
              <w:t>年</w:t>
            </w:r>
            <w:r>
              <w:rPr>
                <w:rFonts w:hint="eastAsia" w:ascii="Times New Roman"/>
                <w:color w:val="auto"/>
                <w:sz w:val="24"/>
                <w:lang w:val="en-US" w:eastAsia="zh-CN"/>
              </w:rPr>
              <w:t>9</w:t>
            </w:r>
            <w:r>
              <w:rPr>
                <w:rFonts w:hint="default" w:ascii="Times New Roman" w:hAnsi="Times New Roman" w:eastAsia="宋体"/>
                <w:color w:val="auto"/>
                <w:sz w:val="24"/>
                <w:lang w:val="en-US" w:eastAsia="zh-CN"/>
              </w:rPr>
              <w:t>月，</w:t>
            </w:r>
            <w:r>
              <w:rPr>
                <w:rFonts w:hint="eastAsia" w:ascii="Times New Roman"/>
                <w:color w:val="auto"/>
                <w:sz w:val="24"/>
                <w:lang w:val="en-US" w:eastAsia="zh-CN"/>
              </w:rPr>
              <w:t>陇县城区热力</w:t>
            </w:r>
            <w:r>
              <w:rPr>
                <w:rFonts w:hint="default" w:ascii="Times New Roman" w:hAnsi="Times New Roman" w:eastAsia="宋体"/>
                <w:color w:val="auto"/>
                <w:sz w:val="24"/>
                <w:lang w:val="en-US" w:eastAsia="zh-CN"/>
              </w:rPr>
              <w:t>有限公司委托</w:t>
            </w:r>
            <w:r>
              <w:rPr>
                <w:rFonts w:hint="eastAsia" w:ascii="Times New Roman" w:hAnsi="Times New Roman" w:eastAsia="宋体"/>
                <w:color w:val="auto"/>
                <w:sz w:val="24"/>
                <w:lang w:val="en-US" w:eastAsia="zh-CN"/>
              </w:rPr>
              <w:t>陕西三绿环境工程咨询</w:t>
            </w:r>
            <w:r>
              <w:rPr>
                <w:rFonts w:hint="default" w:ascii="Times New Roman" w:hAnsi="Times New Roman" w:eastAsia="宋体"/>
                <w:color w:val="auto"/>
                <w:sz w:val="24"/>
                <w:lang w:val="en-US" w:eastAsia="zh-CN"/>
              </w:rPr>
              <w:t>有限公司承担该项目的环境影响评价工作。</w:t>
            </w:r>
          </w:p>
          <w:p w14:paraId="69AD3584">
            <w:pPr>
              <w:pStyle w:val="35"/>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接受委托后，我单位组织工程技术人员深入现场进行实地踏勘，并对厂址周围的自然环境状况进行了详细调研考察和资料收集，根据当地环境特征和项目工艺特点，对该项目的环境影响因素做了初步的识别和筛选</w:t>
            </w:r>
            <w:r>
              <w:rPr>
                <w:rFonts w:hint="eastAsia" w:ascii="Times New Roman" w:hAnsi="Times New Roman" w:eastAsia="宋体"/>
                <w:color w:val="auto"/>
                <w:sz w:val="24"/>
                <w:lang w:val="en-US" w:eastAsia="zh-CN"/>
              </w:rPr>
              <w:t>，</w:t>
            </w:r>
            <w:r>
              <w:rPr>
                <w:rFonts w:hint="default" w:ascii="Times New Roman" w:hAnsi="Times New Roman" w:eastAsia="宋体"/>
                <w:color w:val="auto"/>
                <w:sz w:val="24"/>
                <w:lang w:val="en-US" w:eastAsia="zh-CN"/>
              </w:rPr>
              <w:t>确定了评价工作的基本原则、内容、评价重点及方法，结合项目实际情况作了工程分析、环境影响预测与评价、环境保护措施及其可行性论证等，于202</w:t>
            </w:r>
            <w:r>
              <w:rPr>
                <w:rFonts w:hint="eastAsia" w:ascii="Times New Roman" w:hAnsi="Times New Roman" w:eastAsia="宋体"/>
                <w:color w:val="auto"/>
                <w:sz w:val="24"/>
                <w:lang w:val="en-US" w:eastAsia="zh-CN"/>
              </w:rPr>
              <w:t>5</w:t>
            </w:r>
            <w:r>
              <w:rPr>
                <w:rFonts w:hint="default" w:ascii="Times New Roman" w:hAnsi="Times New Roman" w:eastAsia="宋体"/>
                <w:color w:val="auto"/>
                <w:sz w:val="24"/>
                <w:lang w:val="en-US" w:eastAsia="zh-CN"/>
              </w:rPr>
              <w:t>年</w:t>
            </w:r>
            <w:r>
              <w:rPr>
                <w:rFonts w:hint="eastAsia" w:ascii="Times New Roman"/>
                <w:color w:val="auto"/>
                <w:sz w:val="24"/>
                <w:lang w:val="en-US" w:eastAsia="zh-CN"/>
              </w:rPr>
              <w:t>10</w:t>
            </w:r>
            <w:r>
              <w:rPr>
                <w:rFonts w:hint="default" w:ascii="Times New Roman" w:hAnsi="Times New Roman" w:eastAsia="宋体"/>
                <w:color w:val="auto"/>
                <w:sz w:val="24"/>
                <w:lang w:val="en-US" w:eastAsia="zh-CN"/>
              </w:rPr>
              <w:t>月编制完成了《</w:t>
            </w:r>
            <w:r>
              <w:rPr>
                <w:rFonts w:hint="eastAsia" w:ascii="Times New Roman"/>
                <w:color w:val="auto"/>
                <w:sz w:val="24"/>
                <w:lang w:val="en-US" w:eastAsia="zh-CN"/>
              </w:rPr>
              <w:t>陇县第一污水处理厂供热站</w:t>
            </w:r>
            <w:r>
              <w:rPr>
                <w:rFonts w:hint="default" w:ascii="Times New Roman" w:hAnsi="Times New Roman" w:eastAsia="宋体"/>
                <w:color w:val="auto"/>
                <w:sz w:val="24"/>
                <w:lang w:val="en-US" w:eastAsia="zh-CN"/>
              </w:rPr>
              <w:t>项目环境影响报告</w:t>
            </w:r>
            <w:r>
              <w:rPr>
                <w:rFonts w:hint="eastAsia" w:ascii="Times New Roman" w:hAnsi="Times New Roman" w:eastAsia="宋体"/>
                <w:color w:val="auto"/>
                <w:sz w:val="24"/>
                <w:lang w:val="en-US" w:eastAsia="zh-CN"/>
              </w:rPr>
              <w:t>表</w:t>
            </w:r>
            <w:r>
              <w:rPr>
                <w:rFonts w:hint="default" w:ascii="Times New Roman" w:hAnsi="Times New Roman" w:eastAsia="宋体"/>
                <w:color w:val="auto"/>
                <w:sz w:val="24"/>
                <w:lang w:val="en-US" w:eastAsia="zh-CN"/>
              </w:rPr>
              <w:t>》。</w:t>
            </w:r>
          </w:p>
          <w:p w14:paraId="0CCE3942">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二、</w:t>
            </w:r>
            <w:r>
              <w:rPr>
                <w:rFonts w:hint="eastAsia" w:ascii="Times New Roman"/>
                <w:color w:val="auto"/>
                <w:sz w:val="24"/>
                <w:lang w:val="en-US" w:eastAsia="zh-CN"/>
              </w:rPr>
              <w:t>工程概况</w:t>
            </w:r>
          </w:p>
          <w:p w14:paraId="4D9302B9">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项目名称：</w:t>
            </w:r>
            <w:r>
              <w:rPr>
                <w:rFonts w:hint="eastAsia" w:ascii="Times New Roman"/>
                <w:color w:val="auto"/>
                <w:sz w:val="24"/>
                <w:lang w:val="en-US" w:eastAsia="zh-CN"/>
              </w:rPr>
              <w:t>陇县第一污水处理厂供热站</w:t>
            </w:r>
            <w:r>
              <w:rPr>
                <w:rFonts w:hint="default" w:ascii="Times New Roman" w:hAnsi="Times New Roman" w:eastAsia="宋体"/>
                <w:color w:val="auto"/>
                <w:sz w:val="24"/>
                <w:lang w:val="en-US" w:eastAsia="zh-CN"/>
              </w:rPr>
              <w:t>项目</w:t>
            </w:r>
          </w:p>
          <w:p w14:paraId="73C143B1">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highlight w:val="yellow"/>
                <w:lang w:val="en-US" w:eastAsia="zh-CN"/>
              </w:rPr>
            </w:pPr>
            <w:r>
              <w:rPr>
                <w:rFonts w:hint="default" w:ascii="Times New Roman" w:hAnsi="Times New Roman" w:eastAsia="宋体"/>
                <w:color w:val="auto"/>
                <w:sz w:val="24"/>
                <w:lang w:val="en-US" w:eastAsia="zh-CN"/>
              </w:rPr>
              <w:t>建设单位：</w:t>
            </w:r>
            <w:r>
              <w:rPr>
                <w:rFonts w:hint="eastAsia" w:ascii="Times New Roman"/>
                <w:color w:val="auto"/>
                <w:sz w:val="24"/>
                <w:lang w:val="en-US" w:eastAsia="zh-CN"/>
              </w:rPr>
              <w:t>陇县城区热力</w:t>
            </w:r>
            <w:r>
              <w:rPr>
                <w:rFonts w:hint="default" w:ascii="Times New Roman" w:hAnsi="Times New Roman" w:eastAsia="宋体"/>
                <w:color w:val="auto"/>
                <w:sz w:val="24"/>
                <w:lang w:val="en-US" w:eastAsia="zh-CN"/>
              </w:rPr>
              <w:t>有限公司</w:t>
            </w:r>
          </w:p>
          <w:p w14:paraId="6F5CF230">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建设性质：</w:t>
            </w:r>
            <w:r>
              <w:rPr>
                <w:rFonts w:hint="eastAsia" w:ascii="Times New Roman"/>
                <w:color w:val="auto"/>
                <w:sz w:val="24"/>
                <w:lang w:val="en-US" w:eastAsia="zh-CN"/>
              </w:rPr>
              <w:t>新建</w:t>
            </w:r>
          </w:p>
          <w:p w14:paraId="284F85DC">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投资总额：</w:t>
            </w:r>
            <w:r>
              <w:rPr>
                <w:rFonts w:hint="eastAsia" w:ascii="Times New Roman"/>
                <w:color w:val="auto"/>
                <w:sz w:val="24"/>
                <w:lang w:val="en-US" w:eastAsia="zh-CN"/>
              </w:rPr>
              <w:t>1848.18</w:t>
            </w:r>
            <w:r>
              <w:rPr>
                <w:rFonts w:hint="default" w:ascii="Times New Roman" w:hAnsi="Times New Roman" w:eastAsia="宋体"/>
                <w:color w:val="auto"/>
                <w:sz w:val="24"/>
                <w:lang w:val="en-US" w:eastAsia="zh-CN"/>
              </w:rPr>
              <w:t>万元</w:t>
            </w:r>
          </w:p>
          <w:p w14:paraId="537BF73E">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eastAsia" w:ascii="Times New Roman"/>
                <w:color w:val="auto"/>
                <w:sz w:val="24"/>
                <w:lang w:val="en-US" w:eastAsia="zh-CN"/>
              </w:rPr>
              <w:t>地理位置：本项目位于</w:t>
            </w:r>
            <w:r>
              <w:rPr>
                <w:rFonts w:hint="eastAsia"/>
                <w:lang w:val="en-US" w:eastAsia="zh-CN"/>
              </w:rPr>
              <w:t>陕西省宝鸡市</w:t>
            </w:r>
            <w:r>
              <w:rPr>
                <w:rFonts w:hint="eastAsia"/>
              </w:rPr>
              <w:t>陇县第一污水处理厂</w:t>
            </w:r>
            <w:r>
              <w:rPr>
                <w:rFonts w:hint="eastAsia"/>
                <w:lang w:eastAsia="zh-CN"/>
              </w:rPr>
              <w:t>（</w:t>
            </w:r>
            <w:r>
              <w:rPr>
                <w:rFonts w:hint="eastAsia"/>
              </w:rPr>
              <w:t>滨河路东段</w:t>
            </w:r>
            <w:r>
              <w:rPr>
                <w:rFonts w:hint="eastAsia"/>
                <w:lang w:eastAsia="zh-CN"/>
              </w:rPr>
              <w:t>）</w:t>
            </w:r>
            <w:r>
              <w:rPr>
                <w:rFonts w:hint="eastAsia"/>
              </w:rPr>
              <w:t>陇县东关村老宝平路东南侧</w:t>
            </w:r>
            <w:r>
              <w:rPr>
                <w:rFonts w:hint="eastAsia"/>
                <w:lang w:eastAsia="zh-CN"/>
              </w:rPr>
              <w:t>，</w:t>
            </w:r>
            <w:r>
              <w:rPr>
                <w:rFonts w:hint="eastAsia"/>
                <w:lang w:val="en-US" w:eastAsia="zh-CN"/>
              </w:rPr>
              <w:t>在陇县第一污水处理厂现有厂房内建设</w:t>
            </w:r>
            <w:r>
              <w:rPr>
                <w:rFonts w:hint="default" w:ascii="Times New Roman" w:hAnsi="Times New Roman" w:cs="Times New Roman"/>
                <w:lang w:val="en-US" w:eastAsia="zh-CN"/>
              </w:rPr>
              <w:t>，</w:t>
            </w:r>
            <w:r>
              <w:rPr>
                <w:rFonts w:hint="eastAsia" w:ascii="Times New Roman" w:hAnsi="Times New Roman" w:cs="Times New Roman"/>
                <w:lang w:val="en-US" w:eastAsia="zh-CN"/>
              </w:rPr>
              <w:t>改造总</w:t>
            </w:r>
            <w:r>
              <w:rPr>
                <w:rFonts w:hint="default" w:ascii="Times New Roman" w:hAnsi="Times New Roman" w:cs="Times New Roman"/>
                <w:lang w:val="en-US" w:eastAsia="zh-CN"/>
              </w:rPr>
              <w:t>用地</w:t>
            </w:r>
            <w:r>
              <w:rPr>
                <w:rFonts w:hint="eastAsia" w:ascii="Times New Roman" w:hAnsi="Times New Roman" w:cs="Times New Roman"/>
                <w:lang w:val="en-US" w:eastAsia="zh-CN"/>
              </w:rPr>
              <w:t>200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。本项目场址地理位置中心坐标</w:t>
            </w:r>
            <w:r>
              <w:rPr>
                <w:rFonts w:hint="default" w:ascii="Times New Roman"/>
                <w:color w:val="auto"/>
                <w:sz w:val="24"/>
                <w:lang w:val="en-US" w:eastAsia="zh-CN"/>
              </w:rPr>
              <w:t>：东经106°52′</w:t>
            </w:r>
            <w:r>
              <w:rPr>
                <w:rFonts w:hint="eastAsia" w:ascii="Times New Roman"/>
                <w:color w:val="auto"/>
                <w:sz w:val="24"/>
                <w:lang w:val="en-US" w:eastAsia="zh-CN"/>
              </w:rPr>
              <w:t>7.905</w:t>
            </w:r>
            <w:r>
              <w:rPr>
                <w:rFonts w:hint="default" w:ascii="Times New Roman"/>
                <w:color w:val="auto"/>
                <w:sz w:val="24"/>
                <w:lang w:val="en-US" w:eastAsia="zh-CN"/>
              </w:rPr>
              <w:t>″、北纬</w:t>
            </w:r>
            <w:r>
              <w:rPr>
                <w:rFonts w:hint="eastAsia" w:ascii="Times New Roman"/>
                <w:color w:val="auto"/>
                <w:sz w:val="24"/>
                <w:lang w:val="en-US" w:eastAsia="zh-CN"/>
              </w:rPr>
              <w:t>34</w:t>
            </w:r>
            <w:r>
              <w:rPr>
                <w:rFonts w:hint="default" w:ascii="Times New Roman"/>
                <w:color w:val="auto"/>
                <w:sz w:val="24"/>
                <w:lang w:val="en-US" w:eastAsia="zh-CN"/>
              </w:rPr>
              <w:t>°</w:t>
            </w:r>
            <w:r>
              <w:rPr>
                <w:rFonts w:hint="eastAsia" w:ascii="Times New Roman"/>
                <w:color w:val="auto"/>
                <w:sz w:val="24"/>
                <w:lang w:val="en-US" w:eastAsia="zh-CN"/>
              </w:rPr>
              <w:t>53</w:t>
            </w:r>
            <w:r>
              <w:rPr>
                <w:rFonts w:hint="default" w:ascii="Times New Roman"/>
                <w:color w:val="auto"/>
                <w:sz w:val="24"/>
                <w:lang w:val="en-US" w:eastAsia="zh-CN"/>
              </w:rPr>
              <w:t>'</w:t>
            </w:r>
            <w:r>
              <w:rPr>
                <w:rFonts w:hint="eastAsia" w:ascii="Times New Roman"/>
                <w:color w:val="auto"/>
                <w:sz w:val="24"/>
                <w:lang w:val="en-US" w:eastAsia="zh-CN"/>
              </w:rPr>
              <w:t>28.812</w:t>
            </w:r>
            <w:r>
              <w:rPr>
                <w:rFonts w:hint="default" w:ascii="Times New Roman"/>
                <w:color w:val="auto"/>
                <w:sz w:val="24"/>
                <w:lang w:val="en-US" w:eastAsia="zh-CN"/>
              </w:rPr>
              <w:t>"，海拔高程</w:t>
            </w:r>
            <w:r>
              <w:rPr>
                <w:rFonts w:hint="eastAsia" w:ascii="Times New Roman"/>
                <w:color w:val="auto"/>
                <w:sz w:val="24"/>
                <w:lang w:val="en-US" w:eastAsia="zh-CN"/>
              </w:rPr>
              <w:t>897.5</w:t>
            </w:r>
            <w:r>
              <w:rPr>
                <w:rFonts w:hint="default" w:ascii="Times New Roman"/>
                <w:color w:val="auto"/>
                <w:sz w:val="24"/>
                <w:lang w:val="en-US" w:eastAsia="zh-CN"/>
              </w:rPr>
              <w:t>m。厂区北侧</w:t>
            </w:r>
            <w:r>
              <w:rPr>
                <w:rFonts w:hint="eastAsia" w:ascii="Times New Roman"/>
                <w:color w:val="auto"/>
                <w:sz w:val="24"/>
                <w:lang w:val="en-US" w:eastAsia="zh-CN"/>
              </w:rPr>
              <w:t>80m为东关小区</w:t>
            </w:r>
            <w:r>
              <w:rPr>
                <w:rFonts w:hint="default" w:ascii="Times New Roman"/>
                <w:color w:val="auto"/>
                <w:sz w:val="24"/>
                <w:lang w:val="en-US" w:eastAsia="zh-CN"/>
              </w:rPr>
              <w:t>，东</w:t>
            </w:r>
            <w:r>
              <w:rPr>
                <w:rFonts w:hint="eastAsia" w:ascii="Times New Roman"/>
                <w:color w:val="auto"/>
                <w:sz w:val="24"/>
                <w:lang w:val="en-US" w:eastAsia="zh-CN"/>
              </w:rPr>
              <w:t>北</w:t>
            </w:r>
            <w:r>
              <w:rPr>
                <w:rFonts w:hint="default" w:ascii="Times New Roman"/>
                <w:color w:val="auto"/>
                <w:sz w:val="24"/>
                <w:lang w:val="en-US" w:eastAsia="zh-CN"/>
              </w:rPr>
              <w:t>侧</w:t>
            </w:r>
            <w:r>
              <w:rPr>
                <w:rFonts w:hint="eastAsia" w:ascii="Times New Roman"/>
                <w:color w:val="auto"/>
                <w:sz w:val="24"/>
                <w:lang w:val="en-US" w:eastAsia="zh-CN"/>
              </w:rPr>
              <w:t>200</w:t>
            </w:r>
            <w:r>
              <w:rPr>
                <w:rFonts w:hint="default" w:ascii="Times New Roman"/>
                <w:color w:val="auto"/>
                <w:sz w:val="24"/>
                <w:lang w:val="en-US" w:eastAsia="zh-CN"/>
              </w:rPr>
              <w:t>m为</w:t>
            </w:r>
            <w:r>
              <w:rPr>
                <w:rFonts w:hint="eastAsia" w:ascii="Times New Roman"/>
                <w:color w:val="auto"/>
                <w:sz w:val="24"/>
                <w:lang w:val="en-US" w:eastAsia="zh-CN"/>
              </w:rPr>
              <w:t>居民散户，</w:t>
            </w:r>
            <w:r>
              <w:rPr>
                <w:rFonts w:hint="default" w:ascii="Times New Roman"/>
                <w:color w:val="auto"/>
                <w:sz w:val="24"/>
                <w:lang w:val="en-US" w:eastAsia="zh-CN"/>
              </w:rPr>
              <w:t>南侧</w:t>
            </w:r>
            <w:r>
              <w:rPr>
                <w:rFonts w:hint="eastAsia" w:ascii="Times New Roman"/>
                <w:color w:val="auto"/>
                <w:sz w:val="24"/>
                <w:lang w:val="en-US" w:eastAsia="zh-CN"/>
              </w:rPr>
              <w:t>为空地，西侧150m为北河</w:t>
            </w:r>
            <w:r>
              <w:rPr>
                <w:rFonts w:hint="default" w:ascii="Times New Roman"/>
                <w:color w:val="auto"/>
                <w:sz w:val="24"/>
                <w:lang w:val="en-US" w:eastAsia="zh-CN"/>
              </w:rPr>
              <w:t>。项目</w:t>
            </w:r>
            <w:r>
              <w:rPr>
                <w:rFonts w:hint="default" w:ascii="Times New Roman" w:hAnsi="Times New Roman" w:cs="Times New Roman"/>
                <w:color w:val="auto"/>
                <w:sz w:val="24"/>
              </w:rPr>
              <w:t>地理位置详见附图</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，项目四邻关系详见附图</w:t>
            </w:r>
            <w:r>
              <w:rPr>
                <w:rFonts w:hint="eastAsia" w:ascii="Times New Roman" w:hAnsi="Times New Roman" w:cs="Times New Roman"/>
                <w:color w:val="auto"/>
                <w:sz w:val="24"/>
                <w:lang w:val="en-US" w:eastAsia="zh-CN"/>
              </w:rPr>
              <w:t>2</w:t>
            </w:r>
            <w:r>
              <w:rPr>
                <w:rFonts w:hint="default"/>
                <w:color w:val="auto"/>
                <w:sz w:val="24"/>
              </w:rPr>
              <w:t>。</w:t>
            </w:r>
          </w:p>
          <w:p w14:paraId="43C761EE">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s="Times New Roman"/>
                <w:color w:val="auto"/>
                <w:sz w:val="24"/>
                <w:lang w:val="en-US" w:eastAsia="zh-CN"/>
              </w:rPr>
              <w:t>本项目新建供热站1座，总供热面积20万平方米，供热负荷8MW供热范围老南街以东、滨河路以北区域，配套建设污水源热泵系统、污水取退水系统、燃气锅炉系统、供热管网及其他辅助设施</w:t>
            </w:r>
            <w:r>
              <w:rPr>
                <w:rFonts w:hint="eastAsia" w:ascii="Times New Roman" w:hAnsi="Times New Roman" w:eastAsia="宋体" w:cs="Times New Roman"/>
                <w:color w:val="auto"/>
                <w:sz w:val="24"/>
                <w:lang w:val="en-US" w:eastAsia="zh-CN"/>
              </w:rPr>
              <w:t>，项目</w:t>
            </w:r>
            <w:r>
              <w:rPr>
                <w:rFonts w:hint="default" w:ascii="Times New Roman" w:hAnsi="Times New Roman" w:eastAsia="宋体" w:cs="Times New Roman"/>
                <w:color w:val="auto"/>
                <w:sz w:val="24"/>
                <w:lang w:val="en-US" w:eastAsia="zh-CN"/>
              </w:rPr>
              <w:t>组成详见表2-1。</w:t>
            </w:r>
          </w:p>
          <w:p w14:paraId="6D202337">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b/>
                <w:bCs/>
                <w:color w:val="auto"/>
                <w:sz w:val="21"/>
                <w:szCs w:val="21"/>
                <w:lang w:val="en-US" w:eastAsia="zh-CN"/>
              </w:rPr>
            </w:pPr>
            <w:r>
              <w:rPr>
                <w:rFonts w:hint="default" w:ascii="Times New Roman" w:hAnsi="Times New Roman" w:eastAsia="宋体"/>
                <w:b/>
                <w:bCs/>
                <w:color w:val="auto"/>
                <w:sz w:val="21"/>
                <w:szCs w:val="21"/>
                <w:lang w:val="en-US" w:eastAsia="zh-CN"/>
              </w:rPr>
              <w:t>表2-1</w:t>
            </w:r>
            <w:r>
              <w:rPr>
                <w:rFonts w:hint="eastAsia" w:ascii="Times New Roman" w:hAnsi="Times New Roman" w:eastAsia="宋体"/>
                <w:b/>
                <w:bCs/>
                <w:color w:val="auto"/>
                <w:sz w:val="21"/>
                <w:szCs w:val="21"/>
                <w:lang w:val="en-US" w:eastAsia="zh-CN"/>
              </w:rPr>
              <w:t xml:space="preserve"> </w:t>
            </w:r>
            <w:r>
              <w:rPr>
                <w:rFonts w:hint="default" w:ascii="Times New Roman" w:hAnsi="Times New Roman" w:eastAsia="宋体"/>
                <w:b/>
                <w:bCs/>
                <w:color w:val="auto"/>
                <w:sz w:val="21"/>
                <w:szCs w:val="21"/>
                <w:lang w:val="en-US" w:eastAsia="zh-CN"/>
              </w:rPr>
              <w:t>项目主要建设内容一览表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986"/>
              <w:gridCol w:w="5301"/>
              <w:gridCol w:w="1141"/>
            </w:tblGrid>
            <w:tr w14:paraId="3634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noWrap w:val="0"/>
                  <w:vAlign w:val="center"/>
                </w:tcPr>
                <w:p w14:paraId="2523051B">
                  <w:pPr>
                    <w:pStyle w:val="44"/>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b/>
                      <w:color w:val="auto"/>
                      <w:sz w:val="21"/>
                      <w:szCs w:val="21"/>
                      <w:lang w:val="en-US" w:eastAsia="zh-CN"/>
                    </w:rPr>
                  </w:pPr>
                  <w:r>
                    <w:rPr>
                      <w:rFonts w:hint="default"/>
                      <w:b/>
                      <w:color w:val="auto"/>
                      <w:sz w:val="21"/>
                      <w:szCs w:val="21"/>
                    </w:rPr>
                    <w:t>工程分类</w:t>
                  </w:r>
                </w:p>
              </w:tc>
              <w:tc>
                <w:tcPr>
                  <w:tcW w:w="1076" w:type="pct"/>
                  <w:noWrap w:val="0"/>
                  <w:vAlign w:val="center"/>
                </w:tcPr>
                <w:p w14:paraId="151D5D43">
                  <w:pPr>
                    <w:pStyle w:val="44"/>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b/>
                      <w:color w:val="auto"/>
                      <w:sz w:val="21"/>
                      <w:szCs w:val="21"/>
                      <w:lang w:val="en-US" w:eastAsia="zh-CN"/>
                    </w:rPr>
                  </w:pPr>
                  <w:r>
                    <w:rPr>
                      <w:rFonts w:hint="default"/>
                      <w:b/>
                      <w:color w:val="auto"/>
                      <w:sz w:val="21"/>
                      <w:szCs w:val="21"/>
                    </w:rPr>
                    <w:t>项目名称</w:t>
                  </w:r>
                </w:p>
              </w:tc>
              <w:tc>
                <w:tcPr>
                  <w:tcW w:w="2872" w:type="pct"/>
                  <w:noWrap w:val="0"/>
                  <w:vAlign w:val="center"/>
                </w:tcPr>
                <w:p w14:paraId="0976E259">
                  <w:pPr>
                    <w:pStyle w:val="44"/>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b/>
                      <w:color w:val="auto"/>
                      <w:sz w:val="21"/>
                      <w:szCs w:val="21"/>
                      <w:lang w:val="en-US" w:eastAsia="zh-CN"/>
                    </w:rPr>
                  </w:pPr>
                  <w:r>
                    <w:rPr>
                      <w:rFonts w:hint="default"/>
                      <w:b/>
                      <w:color w:val="auto"/>
                      <w:sz w:val="21"/>
                      <w:szCs w:val="21"/>
                    </w:rPr>
                    <w:t>建设内容</w:t>
                  </w:r>
                </w:p>
              </w:tc>
              <w:tc>
                <w:tcPr>
                  <w:tcW w:w="618" w:type="pct"/>
                  <w:noWrap w:val="0"/>
                  <w:vAlign w:val="center"/>
                </w:tcPr>
                <w:p w14:paraId="323AF3CC">
                  <w:pPr>
                    <w:pStyle w:val="44"/>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b/>
                      <w:color w:val="auto"/>
                      <w:sz w:val="21"/>
                      <w:szCs w:val="21"/>
                      <w:lang w:val="en-US" w:eastAsia="zh-CN"/>
                    </w:rPr>
                  </w:pPr>
                  <w:r>
                    <w:rPr>
                      <w:rFonts w:hint="default"/>
                      <w:b/>
                      <w:color w:val="auto"/>
                      <w:sz w:val="21"/>
                      <w:szCs w:val="21"/>
                    </w:rPr>
                    <w:t>备注</w:t>
                  </w:r>
                </w:p>
              </w:tc>
            </w:tr>
            <w:tr w14:paraId="7367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restart"/>
                  <w:noWrap w:val="0"/>
                  <w:vAlign w:val="center"/>
                </w:tcPr>
                <w:p w14:paraId="09B0164F">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主体工程</w:t>
                  </w:r>
                </w:p>
              </w:tc>
              <w:tc>
                <w:tcPr>
                  <w:tcW w:w="1076" w:type="pct"/>
                  <w:noWrap w:val="0"/>
                  <w:vAlign w:val="center"/>
                </w:tcPr>
                <w:p w14:paraId="6B872CBD">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color w:val="auto"/>
                      <w:sz w:val="21"/>
                      <w:szCs w:val="21"/>
                      <w:lang w:val="en-US" w:eastAsia="zh-CN"/>
                    </w:rPr>
                    <w:t>供热</w:t>
                  </w:r>
                  <w:r>
                    <w:rPr>
                      <w:rFonts w:hint="eastAsia"/>
                      <w:color w:val="auto"/>
                      <w:sz w:val="21"/>
                      <w:szCs w:val="21"/>
                    </w:rPr>
                    <w:t>房</w:t>
                  </w:r>
                </w:p>
              </w:tc>
              <w:tc>
                <w:tcPr>
                  <w:tcW w:w="2872" w:type="pct"/>
                  <w:noWrap w:val="0"/>
                  <w:vAlign w:val="center"/>
                </w:tcPr>
                <w:p w14:paraId="328836AE">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位于污水厂西北侧，利用污水厂已建成房屋新增设备，面积289.29m</w:t>
                  </w:r>
                  <w:r>
                    <w:rPr>
                      <w:rFonts w:hint="eastAsia" w:ascii="Times New Roman"/>
                      <w:color w:val="auto"/>
                      <w:sz w:val="21"/>
                      <w:szCs w:val="21"/>
                      <w:vertAlign w:val="superscript"/>
                      <w:lang w:val="en-US" w:eastAsia="zh-CN"/>
                    </w:rPr>
                    <w:t>2</w:t>
                  </w:r>
                  <w:r>
                    <w:rPr>
                      <w:rFonts w:hint="eastAsia" w:ascii="Times New Roman"/>
                      <w:color w:val="auto"/>
                      <w:sz w:val="21"/>
                      <w:szCs w:val="21"/>
                      <w:vertAlign w:val="baseline"/>
                      <w:lang w:val="en-US" w:eastAsia="zh-CN"/>
                    </w:rPr>
                    <w:t>，砖混结构，新建</w:t>
                  </w:r>
                  <w:r>
                    <w:rPr>
                      <w:rFonts w:hint="default" w:ascii="Times New Roman" w:hAnsi="Times New Roman" w:eastAsia="宋体"/>
                      <w:color w:val="auto"/>
                      <w:sz w:val="21"/>
                      <w:szCs w:val="21"/>
                      <w:vertAlign w:val="baseline"/>
                      <w:lang w:val="en-US" w:eastAsia="zh-CN"/>
                    </w:rPr>
                    <w:t>2台</w:t>
                  </w:r>
                  <w:r>
                    <w:rPr>
                      <w:rFonts w:hint="eastAsia" w:ascii="Times New Roman"/>
                      <w:color w:val="auto"/>
                      <w:sz w:val="21"/>
                      <w:szCs w:val="21"/>
                      <w:vertAlign w:val="baseline"/>
                      <w:lang w:val="en-US" w:eastAsia="zh-CN"/>
                    </w:rPr>
                    <w:t>污水源热泵和2台2.1兆瓦（3t/h）的天然气锅炉</w:t>
                  </w:r>
                  <w:r>
                    <w:rPr>
                      <w:rFonts w:hint="eastAsia" w:ascii="Times New Roman" w:hAnsi="Times New Roman" w:eastAsia="宋体"/>
                      <w:color w:val="auto"/>
                      <w:sz w:val="21"/>
                      <w:szCs w:val="21"/>
                      <w:vertAlign w:val="baseline"/>
                      <w:lang w:val="en-US" w:eastAsia="zh-CN"/>
                    </w:rPr>
                    <w:t>，锅炉排气筒高度</w:t>
                  </w:r>
                  <w:r>
                    <w:rPr>
                      <w:rFonts w:hint="eastAsia" w:ascii="Times New Roman"/>
                      <w:color w:val="auto"/>
                      <w:sz w:val="21"/>
                      <w:szCs w:val="21"/>
                      <w:vertAlign w:val="baseline"/>
                      <w:lang w:val="en-US" w:eastAsia="zh-CN"/>
                    </w:rPr>
                    <w:t>25</w:t>
                  </w:r>
                  <w:r>
                    <w:rPr>
                      <w:rFonts w:hint="eastAsia" w:ascii="Times New Roman" w:hAnsi="Times New Roman" w:eastAsia="宋体"/>
                      <w:color w:val="auto"/>
                      <w:sz w:val="21"/>
                      <w:szCs w:val="21"/>
                      <w:vertAlign w:val="baseline"/>
                      <w:lang w:val="en-US" w:eastAsia="zh-CN"/>
                    </w:rPr>
                    <w:t>m</w:t>
                  </w:r>
                </w:p>
              </w:tc>
              <w:tc>
                <w:tcPr>
                  <w:tcW w:w="618" w:type="pct"/>
                  <w:noWrap w:val="0"/>
                  <w:vAlign w:val="center"/>
                </w:tcPr>
                <w:p w14:paraId="7DC5706A">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改造</w:t>
                  </w:r>
                </w:p>
              </w:tc>
            </w:tr>
            <w:tr w14:paraId="2C1E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noWrap w:val="0"/>
                  <w:vAlign w:val="center"/>
                </w:tcPr>
                <w:p w14:paraId="2CDA7284">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imes New Roman" w:hAnsi="Times New Roman" w:eastAsia="宋体"/>
                      <w:color w:val="auto"/>
                      <w:sz w:val="21"/>
                      <w:szCs w:val="21"/>
                      <w:vertAlign w:val="baseline"/>
                      <w:lang w:val="en-US" w:eastAsia="zh-CN"/>
                    </w:rPr>
                  </w:pPr>
                </w:p>
              </w:tc>
              <w:tc>
                <w:tcPr>
                  <w:tcW w:w="1076" w:type="pct"/>
                  <w:noWrap w:val="0"/>
                  <w:vAlign w:val="center"/>
                </w:tcPr>
                <w:p w14:paraId="4D4ECF2F">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值班室</w:t>
                  </w:r>
                </w:p>
              </w:tc>
              <w:tc>
                <w:tcPr>
                  <w:tcW w:w="2872" w:type="pct"/>
                  <w:noWrap w:val="0"/>
                  <w:vAlign w:val="center"/>
                </w:tcPr>
                <w:p w14:paraId="0E3B174B">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color w:val="auto"/>
                      <w:sz w:val="21"/>
                      <w:szCs w:val="21"/>
                      <w:vertAlign w:val="baseline"/>
                      <w:lang w:val="en-US" w:eastAsia="zh-CN"/>
                    </w:rPr>
                  </w:pPr>
                  <w:r>
                    <w:rPr>
                      <w:rFonts w:hint="eastAsia" w:ascii="Times New Roman"/>
                      <w:color w:val="auto"/>
                      <w:sz w:val="21"/>
                      <w:szCs w:val="21"/>
                      <w:vertAlign w:val="baseline"/>
                      <w:lang w:val="en-US" w:eastAsia="zh-CN"/>
                    </w:rPr>
                    <w:t>面积58.44m</w:t>
                  </w:r>
                  <w:r>
                    <w:rPr>
                      <w:rFonts w:hint="eastAsia" w:ascii="Times New Roman"/>
                      <w:color w:val="auto"/>
                      <w:sz w:val="21"/>
                      <w:szCs w:val="21"/>
                      <w:vertAlign w:val="superscript"/>
                      <w:lang w:val="en-US" w:eastAsia="zh-CN"/>
                    </w:rPr>
                    <w:t>2</w:t>
                  </w:r>
                  <w:r>
                    <w:rPr>
                      <w:rFonts w:hint="eastAsia" w:ascii="Times New Roman"/>
                      <w:color w:val="auto"/>
                      <w:sz w:val="21"/>
                      <w:szCs w:val="21"/>
                      <w:vertAlign w:val="baseline"/>
                      <w:lang w:val="en-US" w:eastAsia="zh-CN"/>
                    </w:rPr>
                    <w:t>，砖混结构，利用污水厂已建成房屋，用于员工值班</w:t>
                  </w:r>
                </w:p>
              </w:tc>
              <w:tc>
                <w:tcPr>
                  <w:tcW w:w="618" w:type="pct"/>
                  <w:noWrap w:val="0"/>
                  <w:vAlign w:val="center"/>
                </w:tcPr>
                <w:p w14:paraId="110EEF63">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color w:val="auto"/>
                      <w:sz w:val="21"/>
                      <w:szCs w:val="21"/>
                      <w:vertAlign w:val="baseline"/>
                      <w:lang w:val="en-US" w:eastAsia="zh-CN"/>
                    </w:rPr>
                  </w:pPr>
                  <w:r>
                    <w:rPr>
                      <w:rFonts w:hint="eastAsia" w:ascii="Times New Roman"/>
                      <w:color w:val="auto"/>
                      <w:sz w:val="21"/>
                      <w:szCs w:val="21"/>
                      <w:vertAlign w:val="baseline"/>
                      <w:lang w:val="en-US" w:eastAsia="zh-CN"/>
                    </w:rPr>
                    <w:t>改造</w:t>
                  </w:r>
                </w:p>
              </w:tc>
            </w:tr>
            <w:tr w14:paraId="019C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noWrap w:val="0"/>
                  <w:vAlign w:val="center"/>
                </w:tcPr>
                <w:p w14:paraId="44136F9E">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储运工程</w:t>
                  </w:r>
                </w:p>
              </w:tc>
              <w:tc>
                <w:tcPr>
                  <w:tcW w:w="1076" w:type="pct"/>
                  <w:noWrap w:val="0"/>
                  <w:vAlign w:val="center"/>
                </w:tcPr>
                <w:p w14:paraId="246C3892">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天然气</w:t>
                  </w:r>
                </w:p>
              </w:tc>
              <w:tc>
                <w:tcPr>
                  <w:tcW w:w="2872" w:type="pct"/>
                  <w:noWrap w:val="0"/>
                  <w:vAlign w:val="center"/>
                </w:tcPr>
                <w:p w14:paraId="7FA2FF7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项目使用天然气由市政天然气管道输送</w:t>
                  </w:r>
                </w:p>
              </w:tc>
              <w:tc>
                <w:tcPr>
                  <w:tcW w:w="618" w:type="pct"/>
                  <w:noWrap w:val="0"/>
                  <w:vAlign w:val="center"/>
                </w:tcPr>
                <w:p w14:paraId="28D008AD">
                  <w:pPr>
                    <w:pStyle w:val="35"/>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74CE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32" w:type="pct"/>
                  <w:noWrap w:val="0"/>
                  <w:vAlign w:val="center"/>
                </w:tcPr>
                <w:p w14:paraId="3947CE91">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辅助工程</w:t>
                  </w:r>
                </w:p>
              </w:tc>
              <w:tc>
                <w:tcPr>
                  <w:tcW w:w="1076" w:type="pct"/>
                  <w:noWrap w:val="0"/>
                  <w:vAlign w:val="center"/>
                </w:tcPr>
                <w:p w14:paraId="780A269E">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软水制备</w:t>
                  </w:r>
                </w:p>
              </w:tc>
              <w:tc>
                <w:tcPr>
                  <w:tcW w:w="2872" w:type="pct"/>
                  <w:noWrap w:val="0"/>
                  <w:vAlign w:val="center"/>
                </w:tcPr>
                <w:p w14:paraId="056B8CD4">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新建</w:t>
                  </w:r>
                  <w:r>
                    <w:rPr>
                      <w:rFonts w:hint="default" w:ascii="Times New Roman" w:hAnsi="Times New Roman" w:eastAsia="宋体"/>
                      <w:color w:val="auto"/>
                      <w:sz w:val="21"/>
                      <w:szCs w:val="21"/>
                      <w:vertAlign w:val="baseline"/>
                      <w:lang w:val="en-US" w:eastAsia="zh-CN"/>
                    </w:rPr>
                    <w:t>离子交换法软水制备系统1套</w:t>
                  </w:r>
                </w:p>
              </w:tc>
              <w:tc>
                <w:tcPr>
                  <w:tcW w:w="618" w:type="pct"/>
                  <w:noWrap w:val="0"/>
                  <w:vAlign w:val="center"/>
                </w:tcPr>
                <w:p w14:paraId="6A6B8816">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377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restart"/>
                  <w:noWrap w:val="0"/>
                  <w:vAlign w:val="center"/>
                </w:tcPr>
                <w:p w14:paraId="54B7EE78">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公用工程</w:t>
                  </w:r>
                </w:p>
              </w:tc>
              <w:tc>
                <w:tcPr>
                  <w:tcW w:w="1076" w:type="pct"/>
                  <w:noWrap w:val="0"/>
                  <w:vAlign w:val="center"/>
                </w:tcPr>
                <w:p w14:paraId="21BC742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给水</w:t>
                  </w:r>
                </w:p>
              </w:tc>
              <w:tc>
                <w:tcPr>
                  <w:tcW w:w="2872" w:type="pct"/>
                  <w:noWrap w:val="0"/>
                  <w:vAlign w:val="center"/>
                </w:tcPr>
                <w:p w14:paraId="1779D519">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eastAsia="宋体"/>
                      <w:color w:val="auto"/>
                      <w:sz w:val="21"/>
                      <w:lang w:val="en-US" w:eastAsia="zh-CN"/>
                    </w:rPr>
                    <w:t>市政管网供给，由市政道路引入一路DN200的给水管</w:t>
                  </w:r>
                </w:p>
              </w:tc>
              <w:tc>
                <w:tcPr>
                  <w:tcW w:w="618" w:type="pct"/>
                  <w:noWrap w:val="0"/>
                  <w:vAlign w:val="center"/>
                </w:tcPr>
                <w:p w14:paraId="60518206">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5C00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noWrap w:val="0"/>
                  <w:vAlign w:val="center"/>
                </w:tcPr>
                <w:p w14:paraId="5773277A">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noWrap w:val="0"/>
                  <w:vAlign w:val="center"/>
                </w:tcPr>
                <w:p w14:paraId="3E7D5C3A">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排水</w:t>
                  </w:r>
                </w:p>
              </w:tc>
              <w:tc>
                <w:tcPr>
                  <w:tcW w:w="2872" w:type="pct"/>
                  <w:noWrap w:val="0"/>
                  <w:vAlign w:val="center"/>
                </w:tcPr>
                <w:p w14:paraId="7B6996D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superscript"/>
                      <w:lang w:val="en-US" w:eastAsia="zh-CN"/>
                    </w:rPr>
                  </w:pPr>
                  <w:r>
                    <w:rPr>
                      <w:rFonts w:hint="eastAsia" w:ascii="Times New Roman"/>
                      <w:color w:val="auto"/>
                      <w:sz w:val="21"/>
                      <w:szCs w:val="21"/>
                      <w:vertAlign w:val="baseline"/>
                      <w:lang w:val="en-US" w:eastAsia="zh-CN"/>
                    </w:rPr>
                    <w:t>经污水源热泵取完热量的排放水由退水管道排至污水处理厂的排水箱涵中；软化处理废水</w:t>
                  </w:r>
                  <w:r>
                    <w:rPr>
                      <w:rFonts w:hint="default" w:ascii="Times New Roman" w:hAnsi="Times New Roman" w:eastAsia="宋体"/>
                      <w:color w:val="auto"/>
                      <w:sz w:val="21"/>
                      <w:szCs w:val="21"/>
                      <w:vertAlign w:val="baseline"/>
                      <w:lang w:val="en-US" w:eastAsia="zh-CN"/>
                    </w:rPr>
                    <w:t>、锅炉排污水经</w:t>
                  </w:r>
                  <w:r>
                    <w:rPr>
                      <w:rFonts w:hint="eastAsia" w:ascii="Times New Roman"/>
                      <w:color w:val="auto"/>
                      <w:sz w:val="21"/>
                      <w:szCs w:val="21"/>
                      <w:vertAlign w:val="baseline"/>
                      <w:lang w:val="en-US" w:eastAsia="zh-CN"/>
                    </w:rPr>
                    <w:t>化粪池预处理</w:t>
                  </w:r>
                  <w:r>
                    <w:rPr>
                      <w:rFonts w:hint="default" w:ascii="Times New Roman" w:hAnsi="Times New Roman" w:eastAsia="宋体"/>
                      <w:color w:val="auto"/>
                      <w:sz w:val="21"/>
                      <w:szCs w:val="21"/>
                      <w:vertAlign w:val="baseline"/>
                      <w:lang w:val="en-US" w:eastAsia="zh-CN"/>
                    </w:rPr>
                    <w:t>后</w:t>
                  </w:r>
                  <w:r>
                    <w:rPr>
                      <w:rFonts w:hint="eastAsia" w:ascii="Times New Roman"/>
                      <w:color w:val="auto"/>
                      <w:sz w:val="21"/>
                      <w:szCs w:val="21"/>
                      <w:vertAlign w:val="baseline"/>
                      <w:lang w:val="en-US" w:eastAsia="zh-CN"/>
                    </w:rPr>
                    <w:t>经污水管网进入陇县第一污水处理厂</w:t>
                  </w:r>
                  <w:r>
                    <w:rPr>
                      <w:rFonts w:hint="default" w:ascii="Times New Roman" w:hAnsi="Times New Roman" w:eastAsia="宋体"/>
                      <w:color w:val="auto"/>
                      <w:sz w:val="21"/>
                      <w:szCs w:val="21"/>
                      <w:vertAlign w:val="baseline"/>
                      <w:lang w:val="en-US" w:eastAsia="zh-CN"/>
                    </w:rPr>
                    <w:t>处理</w:t>
                  </w:r>
                </w:p>
              </w:tc>
              <w:tc>
                <w:tcPr>
                  <w:tcW w:w="618" w:type="pct"/>
                  <w:noWrap w:val="0"/>
                  <w:vAlign w:val="center"/>
                </w:tcPr>
                <w:p w14:paraId="6334B559">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6CDB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noWrap w:val="0"/>
                  <w:vAlign w:val="center"/>
                </w:tcPr>
                <w:p w14:paraId="0C77546D">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noWrap w:val="0"/>
                  <w:vAlign w:val="center"/>
                </w:tcPr>
                <w:p w14:paraId="37475398">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供电</w:t>
                  </w:r>
                </w:p>
              </w:tc>
              <w:tc>
                <w:tcPr>
                  <w:tcW w:w="2872" w:type="pct"/>
                  <w:noWrap w:val="0"/>
                  <w:vAlign w:val="center"/>
                </w:tcPr>
                <w:p w14:paraId="10A11868">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color w:val="auto"/>
                      <w:sz w:val="21"/>
                      <w:szCs w:val="21"/>
                    </w:rPr>
                    <w:t>由</w:t>
                  </w:r>
                  <w:r>
                    <w:rPr>
                      <w:rFonts w:hint="eastAsia"/>
                      <w:color w:val="auto"/>
                      <w:sz w:val="21"/>
                      <w:szCs w:val="21"/>
                      <w:lang w:val="en-US" w:eastAsia="zh-CN"/>
                    </w:rPr>
                    <w:t>市政管网引入电路</w:t>
                  </w:r>
                </w:p>
              </w:tc>
              <w:tc>
                <w:tcPr>
                  <w:tcW w:w="618" w:type="pct"/>
                  <w:noWrap w:val="0"/>
                  <w:vAlign w:val="center"/>
                </w:tcPr>
                <w:p w14:paraId="2924841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2D80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2" w:type="pct"/>
                  <w:vMerge w:val="restart"/>
                  <w:noWrap w:val="0"/>
                  <w:vAlign w:val="center"/>
                </w:tcPr>
                <w:p w14:paraId="0E25AF36">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环保工程</w:t>
                  </w:r>
                </w:p>
              </w:tc>
              <w:tc>
                <w:tcPr>
                  <w:tcW w:w="1076" w:type="pct"/>
                  <w:vMerge w:val="restart"/>
                  <w:noWrap w:val="0"/>
                  <w:vAlign w:val="center"/>
                </w:tcPr>
                <w:p w14:paraId="3472222D">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废气</w:t>
                  </w:r>
                </w:p>
              </w:tc>
              <w:tc>
                <w:tcPr>
                  <w:tcW w:w="2872" w:type="pct"/>
                  <w:noWrap w:val="0"/>
                  <w:vAlign w:val="center"/>
                </w:tcPr>
                <w:p w14:paraId="15C62E20">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锅炉自带低氮燃烧器，锅炉燃料燃烧废气经</w:t>
                  </w:r>
                  <w:r>
                    <w:rPr>
                      <w:rFonts w:hint="eastAsia" w:ascii="Times New Roman"/>
                      <w:color w:val="auto"/>
                      <w:sz w:val="21"/>
                      <w:szCs w:val="21"/>
                      <w:vertAlign w:val="baseline"/>
                      <w:lang w:val="en-US" w:eastAsia="zh-CN"/>
                    </w:rPr>
                    <w:t>25</w:t>
                  </w:r>
                  <w:r>
                    <w:rPr>
                      <w:rFonts w:hint="eastAsia" w:ascii="Times New Roman" w:hAnsi="Times New Roman" w:eastAsia="宋体"/>
                      <w:color w:val="auto"/>
                      <w:sz w:val="21"/>
                      <w:szCs w:val="21"/>
                      <w:vertAlign w:val="baseline"/>
                      <w:lang w:val="en-US" w:eastAsia="zh-CN"/>
                    </w:rPr>
                    <w:t>m高排气筒(DA001、DA002)排放。</w:t>
                  </w:r>
                </w:p>
              </w:tc>
              <w:tc>
                <w:tcPr>
                  <w:tcW w:w="618" w:type="pct"/>
                  <w:noWrap w:val="0"/>
                  <w:vAlign w:val="center"/>
                </w:tcPr>
                <w:p w14:paraId="53DE436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30F4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32" w:type="pct"/>
                  <w:vMerge w:val="continue"/>
                  <w:noWrap w:val="0"/>
                  <w:vAlign w:val="center"/>
                </w:tcPr>
                <w:p w14:paraId="7EFA37A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vMerge w:val="restart"/>
                  <w:noWrap w:val="0"/>
                  <w:vAlign w:val="center"/>
                </w:tcPr>
                <w:p w14:paraId="1F9974D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废水</w:t>
                  </w:r>
                </w:p>
              </w:tc>
              <w:tc>
                <w:tcPr>
                  <w:tcW w:w="2872" w:type="pct"/>
                  <w:noWrap w:val="0"/>
                  <w:vAlign w:val="center"/>
                </w:tcPr>
                <w:p w14:paraId="41F31F53">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经污水源热泵取完热量的排放水由退水管道排至污水处理厂的排水箱涵中</w:t>
                  </w:r>
                </w:p>
              </w:tc>
              <w:tc>
                <w:tcPr>
                  <w:tcW w:w="618" w:type="pct"/>
                  <w:noWrap w:val="0"/>
                  <w:vAlign w:val="center"/>
                </w:tcPr>
                <w:p w14:paraId="473E8906">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4096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32" w:type="pct"/>
                  <w:vMerge w:val="continue"/>
                  <w:noWrap w:val="0"/>
                  <w:vAlign w:val="center"/>
                </w:tcPr>
                <w:p w14:paraId="6D1B943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vMerge w:val="continue"/>
                  <w:noWrap w:val="0"/>
                  <w:vAlign w:val="center"/>
                </w:tcPr>
                <w:p w14:paraId="3F148B42">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2872" w:type="pct"/>
                  <w:noWrap w:val="0"/>
                  <w:vAlign w:val="center"/>
                </w:tcPr>
                <w:p w14:paraId="0C5752D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软化处理废水</w:t>
                  </w:r>
                  <w:r>
                    <w:rPr>
                      <w:rFonts w:hint="default" w:ascii="Times New Roman" w:hAnsi="Times New Roman" w:eastAsia="宋体"/>
                      <w:color w:val="auto"/>
                      <w:sz w:val="21"/>
                      <w:szCs w:val="21"/>
                      <w:vertAlign w:val="baseline"/>
                      <w:lang w:val="en-US" w:eastAsia="zh-CN"/>
                    </w:rPr>
                    <w:t>、锅炉排污水经</w:t>
                  </w:r>
                  <w:r>
                    <w:rPr>
                      <w:rFonts w:hint="eastAsia" w:ascii="Times New Roman"/>
                      <w:color w:val="auto"/>
                      <w:sz w:val="21"/>
                      <w:szCs w:val="21"/>
                      <w:vertAlign w:val="baseline"/>
                      <w:lang w:val="en-US" w:eastAsia="zh-CN"/>
                    </w:rPr>
                    <w:t>化粪池预处理</w:t>
                  </w:r>
                  <w:r>
                    <w:rPr>
                      <w:rFonts w:hint="default" w:ascii="Times New Roman" w:hAnsi="Times New Roman" w:eastAsia="宋体"/>
                      <w:color w:val="auto"/>
                      <w:sz w:val="21"/>
                      <w:szCs w:val="21"/>
                      <w:vertAlign w:val="baseline"/>
                      <w:lang w:val="en-US" w:eastAsia="zh-CN"/>
                    </w:rPr>
                    <w:t>后</w:t>
                  </w:r>
                  <w:r>
                    <w:rPr>
                      <w:rFonts w:hint="eastAsia" w:ascii="Times New Roman"/>
                      <w:color w:val="auto"/>
                      <w:sz w:val="21"/>
                      <w:szCs w:val="21"/>
                      <w:vertAlign w:val="baseline"/>
                      <w:lang w:val="en-US" w:eastAsia="zh-CN"/>
                    </w:rPr>
                    <w:t>经污水管网进入陇县第一污水处理厂</w:t>
                  </w:r>
                  <w:r>
                    <w:rPr>
                      <w:rFonts w:hint="default" w:ascii="Times New Roman" w:hAnsi="Times New Roman" w:eastAsia="宋体"/>
                      <w:color w:val="auto"/>
                      <w:sz w:val="21"/>
                      <w:szCs w:val="21"/>
                      <w:vertAlign w:val="baseline"/>
                      <w:lang w:val="en-US" w:eastAsia="zh-CN"/>
                    </w:rPr>
                    <w:t>处理</w:t>
                  </w:r>
                </w:p>
              </w:tc>
              <w:tc>
                <w:tcPr>
                  <w:tcW w:w="618" w:type="pct"/>
                  <w:noWrap w:val="0"/>
                  <w:vAlign w:val="center"/>
                </w:tcPr>
                <w:p w14:paraId="59523E04">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0FED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32" w:type="pct"/>
                  <w:vMerge w:val="continue"/>
                  <w:noWrap w:val="0"/>
                  <w:vAlign w:val="center"/>
                </w:tcPr>
                <w:p w14:paraId="531915BD">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noWrap w:val="0"/>
                  <w:vAlign w:val="center"/>
                </w:tcPr>
                <w:p w14:paraId="1B39F9D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噪声</w:t>
                  </w:r>
                </w:p>
              </w:tc>
              <w:tc>
                <w:tcPr>
                  <w:tcW w:w="2872" w:type="pct"/>
                  <w:noWrap w:val="0"/>
                  <w:vAlign w:val="center"/>
                </w:tcPr>
                <w:p w14:paraId="4626AB9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color w:val="auto"/>
                      <w:sz w:val="21"/>
                    </w:rPr>
                    <w:t>锅炉</w:t>
                  </w:r>
                  <w:r>
                    <w:rPr>
                      <w:rFonts w:hint="eastAsia"/>
                      <w:color w:val="auto"/>
                      <w:sz w:val="21"/>
                      <w:lang w:val="en-US" w:eastAsia="zh-CN"/>
                    </w:rPr>
                    <w:t>和污水源热泵</w:t>
                  </w:r>
                  <w:r>
                    <w:rPr>
                      <w:rFonts w:hint="eastAsia"/>
                      <w:color w:val="auto"/>
                      <w:sz w:val="21"/>
                    </w:rPr>
                    <w:t>设置于单独的</w:t>
                  </w:r>
                  <w:r>
                    <w:rPr>
                      <w:rFonts w:hint="eastAsia"/>
                      <w:color w:val="auto"/>
                      <w:sz w:val="21"/>
                      <w:lang w:val="en-US" w:eastAsia="zh-CN"/>
                    </w:rPr>
                    <w:t>厂</w:t>
                  </w:r>
                  <w:r>
                    <w:rPr>
                      <w:rFonts w:hint="eastAsia"/>
                      <w:color w:val="auto"/>
                      <w:sz w:val="21"/>
                    </w:rPr>
                    <w:t>房内，</w:t>
                  </w:r>
                  <w:r>
                    <w:rPr>
                      <w:rFonts w:hint="eastAsia"/>
                      <w:color w:val="auto"/>
                      <w:sz w:val="21"/>
                      <w:lang w:val="en-US" w:eastAsia="zh-CN"/>
                    </w:rPr>
                    <w:t>采用</w:t>
                  </w:r>
                  <w:bookmarkStart w:id="3" w:name="_GoBack"/>
                  <w:bookmarkEnd w:id="3"/>
                  <w:r>
                    <w:rPr>
                      <w:rFonts w:hint="eastAsia"/>
                      <w:color w:val="auto"/>
                      <w:sz w:val="21"/>
                    </w:rPr>
                    <w:t>基础减振，厂房隔声，加强设备维护等措施。</w:t>
                  </w:r>
                </w:p>
              </w:tc>
              <w:tc>
                <w:tcPr>
                  <w:tcW w:w="618" w:type="pct"/>
                  <w:shd w:val="clear" w:color="auto" w:fill="auto"/>
                  <w:noWrap w:val="0"/>
                  <w:vAlign w:val="center"/>
                </w:tcPr>
                <w:p w14:paraId="794376E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宋体"/>
                      <w:color w:val="auto"/>
                      <w:sz w:val="21"/>
                      <w:szCs w:val="21"/>
                      <w:vertAlign w:val="baseline"/>
                      <w:lang w:val="en-US" w:eastAsia="zh-CN" w:bidi="ar-SA"/>
                    </w:rPr>
                  </w:pPr>
                  <w:r>
                    <w:rPr>
                      <w:rFonts w:hint="eastAsia" w:ascii="Times New Roman"/>
                      <w:color w:val="auto"/>
                      <w:sz w:val="21"/>
                      <w:szCs w:val="21"/>
                      <w:vertAlign w:val="baseline"/>
                      <w:lang w:val="en-US" w:eastAsia="zh-CN"/>
                    </w:rPr>
                    <w:t>新建</w:t>
                  </w:r>
                </w:p>
              </w:tc>
            </w:tr>
            <w:tr w14:paraId="5CEC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32" w:type="pct"/>
                  <w:vMerge w:val="continue"/>
                  <w:noWrap w:val="0"/>
                  <w:vAlign w:val="center"/>
                </w:tcPr>
                <w:p w14:paraId="03C00147">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p>
              </w:tc>
              <w:tc>
                <w:tcPr>
                  <w:tcW w:w="1076" w:type="pct"/>
                  <w:noWrap w:val="0"/>
                  <w:vAlign w:val="center"/>
                </w:tcPr>
                <w:p w14:paraId="7E22B13C">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固废</w:t>
                  </w:r>
                </w:p>
              </w:tc>
              <w:tc>
                <w:tcPr>
                  <w:tcW w:w="2872" w:type="pct"/>
                  <w:noWrap w:val="0"/>
                  <w:vAlign w:val="center"/>
                </w:tcPr>
                <w:p w14:paraId="3DC806D5">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right="0"/>
                    <w:jc w:val="center"/>
                    <w:textAlignment w:val="auto"/>
                    <w:rPr>
                      <w:rFonts w:hint="default" w:ascii="Times New Roman" w:hAnsi="Times New Roman" w:eastAsia="宋体"/>
                      <w:color w:val="auto"/>
                      <w:sz w:val="21"/>
                      <w:szCs w:val="21"/>
                      <w:vertAlign w:val="baseline"/>
                      <w:lang w:val="en-US" w:eastAsia="zh-CN"/>
                    </w:rPr>
                  </w:pPr>
                  <w:r>
                    <w:rPr>
                      <w:rFonts w:hint="default" w:ascii="Times New Roman" w:hAnsi="Times New Roman" w:eastAsia="宋体"/>
                      <w:color w:val="auto"/>
                      <w:sz w:val="21"/>
                      <w:szCs w:val="21"/>
                      <w:vertAlign w:val="baseline"/>
                      <w:lang w:val="en-US" w:eastAsia="zh-CN"/>
                    </w:rPr>
                    <w:t>项目一般工业固体废物废离子交换树脂由更换厂家带走处理</w:t>
                  </w:r>
                </w:p>
              </w:tc>
              <w:tc>
                <w:tcPr>
                  <w:tcW w:w="618" w:type="pct"/>
                  <w:shd w:val="clear" w:color="auto" w:fill="auto"/>
                  <w:noWrap w:val="0"/>
                  <w:vAlign w:val="center"/>
                </w:tcPr>
                <w:p w14:paraId="4A0EEEBA">
                  <w:pPr>
                    <w:pStyle w:val="35"/>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olor w:val="auto"/>
                      <w:sz w:val="21"/>
                      <w:szCs w:val="21"/>
                      <w:vertAlign w:val="baseline"/>
                      <w:lang w:val="en-US" w:eastAsia="zh-CN"/>
                    </w:rPr>
                  </w:pPr>
                  <w:r>
                    <w:rPr>
                      <w:rFonts w:hint="eastAsia" w:ascii="Times New Roman"/>
                      <w:color w:val="auto"/>
                      <w:sz w:val="21"/>
                      <w:szCs w:val="21"/>
                      <w:vertAlign w:val="baseline"/>
                      <w:lang w:val="en-US" w:eastAsia="zh-CN"/>
                    </w:rPr>
                    <w:t>新建</w:t>
                  </w:r>
                </w:p>
              </w:tc>
            </w:tr>
          </w:tbl>
          <w:p w14:paraId="193BB0B5">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3</w:t>
            </w:r>
            <w:r>
              <w:rPr>
                <w:rFonts w:hint="default" w:ascii="Times New Roman" w:hAnsi="Times New Roman" w:eastAsia="宋体"/>
                <w:color w:val="auto"/>
                <w:sz w:val="24"/>
                <w:lang w:val="en-US" w:eastAsia="zh-CN"/>
              </w:rPr>
              <w:t>、主要设备及</w:t>
            </w:r>
            <w:r>
              <w:rPr>
                <w:rFonts w:hint="eastAsia" w:ascii="Times New Roman"/>
                <w:color w:val="auto"/>
                <w:sz w:val="24"/>
                <w:lang w:val="en-US" w:eastAsia="zh-CN"/>
              </w:rPr>
              <w:t>能源消耗</w:t>
            </w:r>
          </w:p>
          <w:p w14:paraId="24000D2A">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（1）主要设备</w:t>
            </w:r>
          </w:p>
          <w:p w14:paraId="5189DA2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表2-2</w:t>
            </w:r>
            <w:r>
              <w:rPr>
                <w:rFonts w:hint="eastAsia" w:ascii="Times New Roman" w:hAnsi="Times New Roman" w:eastAsia="宋体" w:cs="宋体"/>
                <w:b/>
                <w:bCs/>
                <w:color w:val="auto"/>
                <w:sz w:val="21"/>
                <w:szCs w:val="21"/>
                <w:lang w:val="en-US" w:eastAsia="zh-CN"/>
              </w:rPr>
              <w:t xml:space="preserve"> </w:t>
            </w:r>
            <w:r>
              <w:rPr>
                <w:rFonts w:hint="default" w:ascii="Times New Roman" w:hAnsi="Times New Roman" w:eastAsia="宋体" w:cs="宋体"/>
                <w:b/>
                <w:bCs/>
                <w:color w:val="auto"/>
                <w:sz w:val="21"/>
                <w:szCs w:val="21"/>
                <w:lang w:val="en-US" w:eastAsia="zh-CN"/>
              </w:rPr>
              <w:t>项目主要生产设备</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274"/>
              <w:gridCol w:w="4025"/>
              <w:gridCol w:w="1243"/>
              <w:gridCol w:w="922"/>
            </w:tblGrid>
            <w:tr w14:paraId="7E39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0BC1658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序号</w:t>
                  </w:r>
                </w:p>
              </w:tc>
              <w:tc>
                <w:tcPr>
                  <w:tcW w:w="1231" w:type="pct"/>
                  <w:vAlign w:val="center"/>
                </w:tcPr>
                <w:p w14:paraId="296778C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设备名称</w:t>
                  </w:r>
                </w:p>
              </w:tc>
              <w:tc>
                <w:tcPr>
                  <w:tcW w:w="2179" w:type="pct"/>
                  <w:vAlign w:val="center"/>
                </w:tcPr>
                <w:p w14:paraId="5CE87B91">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设备参数</w:t>
                  </w:r>
                </w:p>
              </w:tc>
              <w:tc>
                <w:tcPr>
                  <w:tcW w:w="673" w:type="pct"/>
                  <w:vAlign w:val="center"/>
                </w:tcPr>
                <w:p w14:paraId="5FD8CA65">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单位</w:t>
                  </w:r>
                </w:p>
              </w:tc>
              <w:tc>
                <w:tcPr>
                  <w:tcW w:w="499" w:type="pct"/>
                  <w:vAlign w:val="center"/>
                </w:tcPr>
                <w:p w14:paraId="446B1E2D">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数量</w:t>
                  </w:r>
                </w:p>
              </w:tc>
            </w:tr>
            <w:tr w14:paraId="7A8E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59763850">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c>
                <w:tcPr>
                  <w:tcW w:w="1231" w:type="pct"/>
                  <w:vAlign w:val="center"/>
                </w:tcPr>
                <w:p w14:paraId="265AB25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污水源热泵机组</w:t>
                  </w:r>
                </w:p>
              </w:tc>
              <w:tc>
                <w:tcPr>
                  <w:tcW w:w="2179" w:type="pct"/>
                  <w:vAlign w:val="center"/>
                </w:tcPr>
                <w:p w14:paraId="3328CFE7">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Q=2200kW，N=680kW</w:t>
                  </w:r>
                </w:p>
              </w:tc>
              <w:tc>
                <w:tcPr>
                  <w:tcW w:w="673" w:type="pct"/>
                  <w:vAlign w:val="center"/>
                </w:tcPr>
                <w:p w14:paraId="217628BE">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03ED5152">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2088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38DEDBD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c>
                <w:tcPr>
                  <w:tcW w:w="1231" w:type="pct"/>
                  <w:vAlign w:val="center"/>
                </w:tcPr>
                <w:p w14:paraId="47EA473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污水源专用换热器</w:t>
                  </w:r>
                </w:p>
              </w:tc>
              <w:tc>
                <w:tcPr>
                  <w:tcW w:w="2179" w:type="pct"/>
                  <w:vAlign w:val="center"/>
                </w:tcPr>
                <w:p w14:paraId="5507AC9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Q=1600kW，G=170m</w:t>
                  </w:r>
                  <w:r>
                    <w:rPr>
                      <w:rFonts w:hint="eastAsia" w:ascii="Times New Roman" w:cs="宋体"/>
                      <w:b w:val="0"/>
                      <w:bCs w:val="0"/>
                      <w:color w:val="auto"/>
                      <w:sz w:val="21"/>
                      <w:szCs w:val="21"/>
                      <w:vertAlign w:val="superscript"/>
                      <w:lang w:val="en-US" w:eastAsia="zh-CN"/>
                    </w:rPr>
                    <w:t>3</w:t>
                  </w:r>
                  <w:r>
                    <w:rPr>
                      <w:rFonts w:hint="eastAsia" w:ascii="Times New Roman" w:cs="宋体"/>
                      <w:b w:val="0"/>
                      <w:bCs w:val="0"/>
                      <w:color w:val="auto"/>
                      <w:sz w:val="21"/>
                      <w:szCs w:val="21"/>
                      <w:vertAlign w:val="baseline"/>
                      <w:lang w:val="en-US" w:eastAsia="zh-CN"/>
                    </w:rPr>
                    <w:t>/h</w:t>
                  </w:r>
                </w:p>
              </w:tc>
              <w:tc>
                <w:tcPr>
                  <w:tcW w:w="673" w:type="pct"/>
                  <w:vAlign w:val="center"/>
                </w:tcPr>
                <w:p w14:paraId="5AD420E7">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1970181A">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6A3A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3A58A239">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3</w:t>
                  </w:r>
                </w:p>
              </w:tc>
              <w:tc>
                <w:tcPr>
                  <w:tcW w:w="1231" w:type="pct"/>
                  <w:vAlign w:val="center"/>
                </w:tcPr>
                <w:p w14:paraId="4728F6A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热水循环水泵</w:t>
                  </w:r>
                </w:p>
              </w:tc>
              <w:tc>
                <w:tcPr>
                  <w:tcW w:w="2179" w:type="pct"/>
                  <w:vAlign w:val="center"/>
                </w:tcPr>
                <w:p w14:paraId="36C2435D">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G=210m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/h，H=15m，N=17.5kw，转</w:t>
                  </w:r>
                </w:p>
                <w:p w14:paraId="64969515">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速2900rpm</w:t>
                  </w:r>
                </w:p>
              </w:tc>
              <w:tc>
                <w:tcPr>
                  <w:tcW w:w="673" w:type="pct"/>
                  <w:vAlign w:val="center"/>
                </w:tcPr>
                <w:p w14:paraId="68FFFDE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0401B5ED">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61D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0523A98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4</w:t>
                  </w:r>
                </w:p>
              </w:tc>
              <w:tc>
                <w:tcPr>
                  <w:tcW w:w="1231" w:type="pct"/>
                  <w:vAlign w:val="center"/>
                </w:tcPr>
                <w:p w14:paraId="7A41EA1B">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中介水循环泵</w:t>
                  </w:r>
                </w:p>
              </w:tc>
              <w:tc>
                <w:tcPr>
                  <w:tcW w:w="2179" w:type="pct"/>
                  <w:vAlign w:val="center"/>
                </w:tcPr>
                <w:p w14:paraId="376E4374">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G=</w:t>
                  </w:r>
                  <w:r>
                    <w:rPr>
                      <w:rFonts w:hint="eastAsia" w:ascii="Times New Roman" w:cs="宋体"/>
                      <w:b w:val="0"/>
                      <w:bCs w:val="0"/>
                      <w:color w:val="auto"/>
                      <w:sz w:val="21"/>
                      <w:szCs w:val="21"/>
                      <w:vertAlign w:val="baseline"/>
                      <w:lang w:val="en-US" w:eastAsia="zh-CN"/>
                    </w:rPr>
                    <w:t>175</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/h，H=15m，N=15kw，转</w:t>
                  </w:r>
                </w:p>
                <w:p w14:paraId="42B33929">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速2900rpm</w:t>
                  </w:r>
                </w:p>
              </w:tc>
              <w:tc>
                <w:tcPr>
                  <w:tcW w:w="673" w:type="pct"/>
                  <w:vAlign w:val="center"/>
                </w:tcPr>
                <w:p w14:paraId="20CFAD04">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1F87E60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4854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A4590D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5</w:t>
                  </w:r>
                </w:p>
              </w:tc>
              <w:tc>
                <w:tcPr>
                  <w:tcW w:w="1231" w:type="pct"/>
                  <w:vAlign w:val="center"/>
                </w:tcPr>
                <w:p w14:paraId="42670CC5">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加压泵</w:t>
                  </w:r>
                </w:p>
              </w:tc>
              <w:tc>
                <w:tcPr>
                  <w:tcW w:w="2179" w:type="pct"/>
                  <w:vAlign w:val="center"/>
                </w:tcPr>
                <w:p w14:paraId="5C1FF3DC">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卧式双吸泵</w:t>
                  </w:r>
                  <w:r>
                    <w:rPr>
                      <w:rFonts w:hint="eastAsia" w:ascii="Times New Roman" w:cs="宋体"/>
                      <w:b w:val="0"/>
                      <w:bCs w:val="0"/>
                      <w:color w:val="auto"/>
                      <w:sz w:val="21"/>
                      <w:szCs w:val="21"/>
                      <w:vertAlign w:val="baseline"/>
                      <w:lang w:val="en-US" w:eastAsia="zh-CN"/>
                    </w:rPr>
                    <w:t xml:space="preserve"> </w:t>
                  </w:r>
                  <w:r>
                    <w:rPr>
                      <w:rFonts w:hint="default" w:ascii="Times New Roman" w:hAnsi="Times New Roman" w:eastAsia="宋体" w:cs="宋体"/>
                      <w:b w:val="0"/>
                      <w:bCs w:val="0"/>
                      <w:color w:val="auto"/>
                      <w:sz w:val="21"/>
                      <w:szCs w:val="21"/>
                      <w:vertAlign w:val="baseline"/>
                      <w:lang w:val="en-US" w:eastAsia="zh-CN"/>
                    </w:rPr>
                    <w:t>Q=</w:t>
                  </w:r>
                  <w:r>
                    <w:rPr>
                      <w:rFonts w:hint="eastAsia" w:ascii="Times New Roman" w:cs="宋体"/>
                      <w:b w:val="0"/>
                      <w:bCs w:val="0"/>
                      <w:color w:val="auto"/>
                      <w:sz w:val="21"/>
                      <w:szCs w:val="21"/>
                      <w:vertAlign w:val="baseline"/>
                      <w:lang w:val="en-US" w:eastAsia="zh-CN"/>
                    </w:rPr>
                    <w:t>200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H=28m</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N=30kW</w:t>
                  </w:r>
                </w:p>
              </w:tc>
              <w:tc>
                <w:tcPr>
                  <w:tcW w:w="673" w:type="pct"/>
                  <w:vAlign w:val="center"/>
                </w:tcPr>
                <w:p w14:paraId="2CF3137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3E820F18">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w:t>
                  </w:r>
                </w:p>
              </w:tc>
            </w:tr>
            <w:tr w14:paraId="74C9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4585C33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6</w:t>
                  </w:r>
                </w:p>
              </w:tc>
              <w:tc>
                <w:tcPr>
                  <w:tcW w:w="1231" w:type="pct"/>
                  <w:vAlign w:val="center"/>
                </w:tcPr>
                <w:p w14:paraId="2553188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吸泥泵</w:t>
                  </w:r>
                </w:p>
              </w:tc>
              <w:tc>
                <w:tcPr>
                  <w:tcW w:w="2179" w:type="pct"/>
                  <w:vAlign w:val="center"/>
                </w:tcPr>
                <w:p w14:paraId="6C796AB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JYWQ型潜污泵</w:t>
                  </w:r>
                  <w:r>
                    <w:rPr>
                      <w:rFonts w:hint="eastAsia" w:ascii="Times New Roman" w:cs="宋体"/>
                      <w:b w:val="0"/>
                      <w:bCs w:val="0"/>
                      <w:color w:val="auto"/>
                      <w:sz w:val="21"/>
                      <w:szCs w:val="21"/>
                      <w:vertAlign w:val="baseline"/>
                      <w:lang w:val="en-US" w:eastAsia="zh-CN"/>
                    </w:rPr>
                    <w:t xml:space="preserve"> </w:t>
                  </w:r>
                  <w:r>
                    <w:rPr>
                      <w:rFonts w:hint="default" w:ascii="Times New Roman" w:hAnsi="Times New Roman" w:eastAsia="宋体" w:cs="宋体"/>
                      <w:b w:val="0"/>
                      <w:bCs w:val="0"/>
                      <w:color w:val="auto"/>
                      <w:sz w:val="21"/>
                      <w:szCs w:val="21"/>
                      <w:vertAlign w:val="baseline"/>
                      <w:lang w:val="en-US" w:eastAsia="zh-CN"/>
                    </w:rPr>
                    <w:t>Q=5m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H=15m</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N=1. 1kW</w:t>
                  </w:r>
                </w:p>
              </w:tc>
              <w:tc>
                <w:tcPr>
                  <w:tcW w:w="673" w:type="pct"/>
                  <w:vAlign w:val="center"/>
                </w:tcPr>
                <w:p w14:paraId="697C4996">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72E13818">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r w14:paraId="1761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825A2B7">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7</w:t>
                  </w:r>
                </w:p>
              </w:tc>
              <w:tc>
                <w:tcPr>
                  <w:tcW w:w="1231" w:type="pct"/>
                  <w:vAlign w:val="center"/>
                </w:tcPr>
                <w:p w14:paraId="2966CABE">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内刷全程处理器</w:t>
                  </w:r>
                </w:p>
              </w:tc>
              <w:tc>
                <w:tcPr>
                  <w:tcW w:w="2179" w:type="pct"/>
                  <w:vAlign w:val="center"/>
                </w:tcPr>
                <w:p w14:paraId="3551F71D">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处理水量400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w:t>
                  </w:r>
                  <w:r>
                    <w:rPr>
                      <w:rFonts w:hint="eastAsia" w:ascii="Times New Roman" w:cs="宋体"/>
                      <w:b w:val="0"/>
                      <w:bCs w:val="0"/>
                      <w:color w:val="auto"/>
                      <w:sz w:val="21"/>
                      <w:szCs w:val="21"/>
                      <w:vertAlign w:val="baseline"/>
                      <w:lang w:val="en-US" w:eastAsia="zh-CN"/>
                    </w:rPr>
                    <w:t>，N=</w:t>
                  </w:r>
                  <w:r>
                    <w:rPr>
                      <w:rFonts w:hint="default" w:ascii="Times New Roman" w:hAnsi="Times New Roman" w:eastAsia="宋体" w:cs="宋体"/>
                      <w:b w:val="0"/>
                      <w:bCs w:val="0"/>
                      <w:color w:val="auto"/>
                      <w:sz w:val="21"/>
                      <w:szCs w:val="21"/>
                      <w:vertAlign w:val="baseline"/>
                      <w:lang w:val="en-US" w:eastAsia="zh-CN"/>
                    </w:rPr>
                    <w:t xml:space="preserve">1. </w:t>
                  </w:r>
                  <w:r>
                    <w:rPr>
                      <w:rFonts w:hint="eastAsia" w:ascii="Times New Roman" w:cs="宋体"/>
                      <w:b w:val="0"/>
                      <w:bCs w:val="0"/>
                      <w:color w:val="auto"/>
                      <w:sz w:val="21"/>
                      <w:szCs w:val="21"/>
                      <w:vertAlign w:val="baseline"/>
                      <w:lang w:val="en-US" w:eastAsia="zh-CN"/>
                    </w:rPr>
                    <w:t>5</w:t>
                  </w:r>
                  <w:r>
                    <w:rPr>
                      <w:rFonts w:hint="default" w:ascii="Times New Roman" w:hAnsi="Times New Roman" w:eastAsia="宋体" w:cs="宋体"/>
                      <w:b w:val="0"/>
                      <w:bCs w:val="0"/>
                      <w:color w:val="auto"/>
                      <w:sz w:val="21"/>
                      <w:szCs w:val="21"/>
                      <w:vertAlign w:val="baseline"/>
                      <w:lang w:val="en-US" w:eastAsia="zh-CN"/>
                    </w:rPr>
                    <w:t>kW</w:t>
                  </w:r>
                </w:p>
              </w:tc>
              <w:tc>
                <w:tcPr>
                  <w:tcW w:w="673" w:type="pct"/>
                  <w:vAlign w:val="center"/>
                </w:tcPr>
                <w:p w14:paraId="0FBDF5B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542D953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r w14:paraId="10A2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64707D84">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8</w:t>
                  </w:r>
                </w:p>
              </w:tc>
              <w:tc>
                <w:tcPr>
                  <w:tcW w:w="1231" w:type="pct"/>
                  <w:vAlign w:val="center"/>
                </w:tcPr>
                <w:p w14:paraId="208C3424">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再生水加药装置</w:t>
                  </w:r>
                </w:p>
              </w:tc>
              <w:tc>
                <w:tcPr>
                  <w:tcW w:w="2179" w:type="pct"/>
                  <w:vAlign w:val="center"/>
                </w:tcPr>
                <w:p w14:paraId="47E9898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处理水量400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w:t>
                  </w:r>
                  <w:r>
                    <w:rPr>
                      <w:rFonts w:hint="eastAsia" w:ascii="Times New Roman" w:cs="宋体"/>
                      <w:b w:val="0"/>
                      <w:bCs w:val="0"/>
                      <w:color w:val="auto"/>
                      <w:sz w:val="21"/>
                      <w:szCs w:val="21"/>
                      <w:vertAlign w:val="baseline"/>
                      <w:lang w:val="en-US" w:eastAsia="zh-CN"/>
                    </w:rPr>
                    <w:t>，N=25</w:t>
                  </w:r>
                  <w:r>
                    <w:rPr>
                      <w:rFonts w:hint="default" w:ascii="Times New Roman" w:hAnsi="Times New Roman" w:eastAsia="宋体" w:cs="宋体"/>
                      <w:b w:val="0"/>
                      <w:bCs w:val="0"/>
                      <w:color w:val="auto"/>
                      <w:sz w:val="21"/>
                      <w:szCs w:val="21"/>
                      <w:vertAlign w:val="baseline"/>
                      <w:lang w:val="en-US" w:eastAsia="zh-CN"/>
                    </w:rPr>
                    <w:t>kW</w:t>
                  </w:r>
                </w:p>
              </w:tc>
              <w:tc>
                <w:tcPr>
                  <w:tcW w:w="673" w:type="pct"/>
                  <w:vAlign w:val="center"/>
                </w:tcPr>
                <w:p w14:paraId="4E8A35C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25827672">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r w14:paraId="40B8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5E2259DA">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9</w:t>
                  </w:r>
                </w:p>
              </w:tc>
              <w:tc>
                <w:tcPr>
                  <w:tcW w:w="1231" w:type="pct"/>
                  <w:vAlign w:val="center"/>
                </w:tcPr>
                <w:p w14:paraId="71740CCD">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螺旋排气除污器</w:t>
                  </w:r>
                </w:p>
              </w:tc>
              <w:tc>
                <w:tcPr>
                  <w:tcW w:w="2179" w:type="pct"/>
                  <w:vAlign w:val="center"/>
                </w:tcPr>
                <w:p w14:paraId="14E7B8D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Φ500</w:t>
                  </w:r>
                </w:p>
              </w:tc>
              <w:tc>
                <w:tcPr>
                  <w:tcW w:w="673" w:type="pct"/>
                  <w:vAlign w:val="center"/>
                </w:tcPr>
                <w:p w14:paraId="24ADF9C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vAlign w:val="center"/>
                </w:tcPr>
                <w:p w14:paraId="775E7197">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r w14:paraId="2B3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65A1A765">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10</w:t>
                  </w:r>
                </w:p>
              </w:tc>
              <w:tc>
                <w:tcPr>
                  <w:tcW w:w="1231" w:type="pct"/>
                  <w:vAlign w:val="center"/>
                </w:tcPr>
                <w:p w14:paraId="3BE9A2C3">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低氮真空燃气热水锅炉</w:t>
                  </w:r>
                </w:p>
              </w:tc>
              <w:tc>
                <w:tcPr>
                  <w:tcW w:w="2179" w:type="pct"/>
                  <w:vAlign w:val="center"/>
                </w:tcPr>
                <w:p w14:paraId="2F7AD7D0">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供热量2100kW，配电功率5.5kW，天</w:t>
                  </w:r>
                </w:p>
                <w:p w14:paraId="1F3F103C">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然气耗量203.2Nm</w:t>
                  </w:r>
                  <w:r>
                    <w:rPr>
                      <w:rFonts w:hint="eastAsia" w:ascii="Times New Roman" w:cs="宋体"/>
                      <w:b w:val="0"/>
                      <w:bCs w:val="0"/>
                      <w:color w:val="auto"/>
                      <w:sz w:val="21"/>
                      <w:szCs w:val="21"/>
                      <w:vertAlign w:val="superscript"/>
                      <w:lang w:val="en-US" w:eastAsia="zh-CN"/>
                    </w:rPr>
                    <w:t>3</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每台含燃烧器、节能器、取样冷却器</w:t>
                  </w:r>
                  <w:r>
                    <w:rPr>
                      <w:rFonts w:hint="eastAsia" w:ascii="Times New Roman" w:cs="宋体"/>
                      <w:b w:val="0"/>
                      <w:bCs w:val="0"/>
                      <w:color w:val="auto"/>
                      <w:sz w:val="21"/>
                      <w:szCs w:val="21"/>
                      <w:vertAlign w:val="baseline"/>
                      <w:lang w:val="en-US" w:eastAsia="zh-CN"/>
                    </w:rPr>
                    <w:t>、</w:t>
                  </w:r>
                  <w:r>
                    <w:rPr>
                      <w:rFonts w:hint="default" w:ascii="Times New Roman" w:hAnsi="Times New Roman" w:eastAsia="宋体" w:cs="宋体"/>
                      <w:b w:val="0"/>
                      <w:bCs w:val="0"/>
                      <w:color w:val="auto"/>
                      <w:sz w:val="21"/>
                      <w:szCs w:val="21"/>
                      <w:vertAlign w:val="baseline"/>
                      <w:lang w:val="en-US" w:eastAsia="zh-CN"/>
                    </w:rPr>
                    <w:t>阀门、仪表、控制箱等</w:t>
                  </w:r>
                </w:p>
              </w:tc>
              <w:tc>
                <w:tcPr>
                  <w:tcW w:w="673" w:type="pct"/>
                  <w:vAlign w:val="center"/>
                </w:tcPr>
                <w:p w14:paraId="7EDEBE7F">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76F00B5C">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2</w:t>
                  </w:r>
                </w:p>
              </w:tc>
            </w:tr>
            <w:tr w14:paraId="002A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489E3194">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11</w:t>
                  </w:r>
                </w:p>
              </w:tc>
              <w:tc>
                <w:tcPr>
                  <w:tcW w:w="1231" w:type="pct"/>
                  <w:vAlign w:val="center"/>
                </w:tcPr>
                <w:p w14:paraId="29A9E959">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锅炉循环水泵</w:t>
                  </w:r>
                </w:p>
              </w:tc>
              <w:tc>
                <w:tcPr>
                  <w:tcW w:w="2179" w:type="pct"/>
                  <w:vAlign w:val="center"/>
                </w:tcPr>
                <w:p w14:paraId="3A7C7F1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G=</w:t>
                  </w:r>
                  <w:r>
                    <w:rPr>
                      <w:rFonts w:hint="eastAsia" w:ascii="Times New Roman" w:cs="宋体"/>
                      <w:b w:val="0"/>
                      <w:bCs w:val="0"/>
                      <w:color w:val="auto"/>
                      <w:sz w:val="21"/>
                      <w:szCs w:val="21"/>
                      <w:vertAlign w:val="baseline"/>
                      <w:lang w:val="en-US" w:eastAsia="zh-CN"/>
                    </w:rPr>
                    <w:t>200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/h，H=15m，N=1</w:t>
                  </w:r>
                  <w:r>
                    <w:rPr>
                      <w:rFonts w:hint="eastAsia" w:ascii="Times New Roman" w:cs="宋体"/>
                      <w:b w:val="0"/>
                      <w:bCs w:val="0"/>
                      <w:color w:val="auto"/>
                      <w:sz w:val="21"/>
                      <w:szCs w:val="21"/>
                      <w:vertAlign w:val="baseline"/>
                      <w:lang w:val="en-US" w:eastAsia="zh-CN"/>
                    </w:rPr>
                    <w:t>7.</w:t>
                  </w:r>
                  <w:r>
                    <w:rPr>
                      <w:rFonts w:hint="default" w:ascii="Times New Roman" w:hAnsi="Times New Roman" w:eastAsia="宋体" w:cs="宋体"/>
                      <w:b w:val="0"/>
                      <w:bCs w:val="0"/>
                      <w:color w:val="auto"/>
                      <w:sz w:val="21"/>
                      <w:szCs w:val="21"/>
                      <w:vertAlign w:val="baseline"/>
                      <w:lang w:val="en-US" w:eastAsia="zh-CN"/>
                    </w:rPr>
                    <w:t>5kw，转</w:t>
                  </w:r>
                </w:p>
                <w:p w14:paraId="38A10016">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速2900rpm</w:t>
                  </w:r>
                </w:p>
              </w:tc>
              <w:tc>
                <w:tcPr>
                  <w:tcW w:w="673" w:type="pct"/>
                  <w:vAlign w:val="center"/>
                </w:tcPr>
                <w:p w14:paraId="77BDE899">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180C3FD8">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2</w:t>
                  </w:r>
                </w:p>
              </w:tc>
            </w:tr>
            <w:tr w14:paraId="6F25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ACC0F95">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12</w:t>
                  </w:r>
                </w:p>
              </w:tc>
              <w:tc>
                <w:tcPr>
                  <w:tcW w:w="1231" w:type="pct"/>
                  <w:vAlign w:val="center"/>
                </w:tcPr>
                <w:p w14:paraId="1C38F380">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二级泵</w:t>
                  </w:r>
                </w:p>
              </w:tc>
              <w:tc>
                <w:tcPr>
                  <w:tcW w:w="2179" w:type="pct"/>
                  <w:vAlign w:val="center"/>
                </w:tcPr>
                <w:p w14:paraId="6C469DC3">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G=</w:t>
                  </w:r>
                  <w:r>
                    <w:rPr>
                      <w:rFonts w:hint="eastAsia" w:ascii="Times New Roman" w:cs="宋体"/>
                      <w:b w:val="0"/>
                      <w:bCs w:val="0"/>
                      <w:color w:val="auto"/>
                      <w:sz w:val="21"/>
                      <w:szCs w:val="21"/>
                      <w:vertAlign w:val="baseline"/>
                      <w:lang w:val="en-US" w:eastAsia="zh-CN"/>
                    </w:rPr>
                    <w:t>350</w:t>
                  </w:r>
                  <w:r>
                    <w:rPr>
                      <w:rFonts w:hint="default" w:ascii="Times New Roman" w:hAnsi="Times New Roman" w:eastAsia="宋体" w:cs="宋体"/>
                      <w:b w:val="0"/>
                      <w:bCs w:val="0"/>
                      <w:color w:val="auto"/>
                      <w:sz w:val="21"/>
                      <w:szCs w:val="21"/>
                      <w:vertAlign w:val="baseline"/>
                      <w:lang w:val="en-US" w:eastAsia="zh-CN"/>
                    </w:rPr>
                    <w:t>m</w:t>
                  </w:r>
                  <w:r>
                    <w:rPr>
                      <w:rFonts w:hint="eastAsia" w:ascii="Times New Roman" w:cs="宋体"/>
                      <w:b w:val="0"/>
                      <w:bCs w:val="0"/>
                      <w:color w:val="auto"/>
                      <w:sz w:val="21"/>
                      <w:szCs w:val="21"/>
                      <w:vertAlign w:val="superscript"/>
                      <w:lang w:val="en-US" w:eastAsia="zh-CN"/>
                    </w:rPr>
                    <w:t>3</w:t>
                  </w:r>
                  <w:r>
                    <w:rPr>
                      <w:rFonts w:hint="default" w:ascii="Times New Roman" w:hAnsi="Times New Roman" w:eastAsia="宋体" w:cs="宋体"/>
                      <w:b w:val="0"/>
                      <w:bCs w:val="0"/>
                      <w:color w:val="auto"/>
                      <w:sz w:val="21"/>
                      <w:szCs w:val="21"/>
                      <w:vertAlign w:val="baseline"/>
                      <w:lang w:val="en-US" w:eastAsia="zh-CN"/>
                    </w:rPr>
                    <w:t>/h，H=</w:t>
                  </w:r>
                  <w:r>
                    <w:rPr>
                      <w:rFonts w:hint="eastAsia" w:ascii="Times New Roman" w:cs="宋体"/>
                      <w:b w:val="0"/>
                      <w:bCs w:val="0"/>
                      <w:color w:val="auto"/>
                      <w:sz w:val="21"/>
                      <w:szCs w:val="21"/>
                      <w:vertAlign w:val="baseline"/>
                      <w:lang w:val="en-US" w:eastAsia="zh-CN"/>
                    </w:rPr>
                    <w:t>40</w:t>
                  </w:r>
                  <w:r>
                    <w:rPr>
                      <w:rFonts w:hint="default" w:ascii="Times New Roman" w:hAnsi="Times New Roman" w:eastAsia="宋体" w:cs="宋体"/>
                      <w:b w:val="0"/>
                      <w:bCs w:val="0"/>
                      <w:color w:val="auto"/>
                      <w:sz w:val="21"/>
                      <w:szCs w:val="21"/>
                      <w:vertAlign w:val="baseline"/>
                      <w:lang w:val="en-US" w:eastAsia="zh-CN"/>
                    </w:rPr>
                    <w:t>m，N=</w:t>
                  </w:r>
                  <w:r>
                    <w:rPr>
                      <w:rFonts w:hint="eastAsia" w:ascii="Times New Roman" w:cs="宋体"/>
                      <w:b w:val="0"/>
                      <w:bCs w:val="0"/>
                      <w:color w:val="auto"/>
                      <w:sz w:val="21"/>
                      <w:szCs w:val="21"/>
                      <w:vertAlign w:val="baseline"/>
                      <w:lang w:val="en-US" w:eastAsia="zh-CN"/>
                    </w:rPr>
                    <w:t>7</w:t>
                  </w:r>
                  <w:r>
                    <w:rPr>
                      <w:rFonts w:hint="default" w:ascii="Times New Roman" w:hAnsi="Times New Roman" w:eastAsia="宋体" w:cs="宋体"/>
                      <w:b w:val="0"/>
                      <w:bCs w:val="0"/>
                      <w:color w:val="auto"/>
                      <w:sz w:val="21"/>
                      <w:szCs w:val="21"/>
                      <w:vertAlign w:val="baseline"/>
                      <w:lang w:val="en-US" w:eastAsia="zh-CN"/>
                    </w:rPr>
                    <w:t>5kw，转</w:t>
                  </w:r>
                </w:p>
                <w:p w14:paraId="2424D8F9">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default" w:ascii="Times New Roman" w:hAnsi="Times New Roman" w:eastAsia="宋体" w:cs="宋体"/>
                      <w:b w:val="0"/>
                      <w:bCs w:val="0"/>
                      <w:color w:val="auto"/>
                      <w:sz w:val="21"/>
                      <w:szCs w:val="21"/>
                      <w:vertAlign w:val="baseline"/>
                      <w:lang w:val="en-US" w:eastAsia="zh-CN"/>
                    </w:rPr>
                    <w:t>速2900rpm</w:t>
                  </w:r>
                </w:p>
              </w:tc>
              <w:tc>
                <w:tcPr>
                  <w:tcW w:w="673" w:type="pct"/>
                  <w:vAlign w:val="center"/>
                </w:tcPr>
                <w:p w14:paraId="2E665517">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2C5B1CCB">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2</w:t>
                  </w:r>
                </w:p>
              </w:tc>
            </w:tr>
            <w:tr w14:paraId="60CF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09570438">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13</w:t>
                  </w:r>
                </w:p>
              </w:tc>
              <w:tc>
                <w:tcPr>
                  <w:tcW w:w="1231" w:type="pct"/>
                  <w:vAlign w:val="center"/>
                </w:tcPr>
                <w:p w14:paraId="2506514F">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软水器</w:t>
                  </w:r>
                </w:p>
              </w:tc>
              <w:tc>
                <w:tcPr>
                  <w:tcW w:w="2179" w:type="pct"/>
                  <w:vAlign w:val="center"/>
                </w:tcPr>
                <w:p w14:paraId="50994B78">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10m</w:t>
                  </w:r>
                  <w:r>
                    <w:rPr>
                      <w:rFonts w:hint="eastAsia" w:ascii="Times New Roman" w:cs="宋体"/>
                      <w:b w:val="0"/>
                      <w:bCs w:val="0"/>
                      <w:color w:val="auto"/>
                      <w:sz w:val="21"/>
                      <w:szCs w:val="21"/>
                      <w:vertAlign w:val="superscript"/>
                      <w:lang w:val="en-US" w:eastAsia="zh-CN"/>
                    </w:rPr>
                    <w:t>3</w:t>
                  </w:r>
                  <w:r>
                    <w:rPr>
                      <w:rFonts w:hint="eastAsia" w:ascii="Times New Roman" w:cs="宋体"/>
                      <w:b w:val="0"/>
                      <w:bCs w:val="0"/>
                      <w:color w:val="auto"/>
                      <w:sz w:val="21"/>
                      <w:szCs w:val="21"/>
                      <w:vertAlign w:val="baseline"/>
                      <w:lang w:val="en-US" w:eastAsia="zh-CN"/>
                    </w:rPr>
                    <w:t>/h</w:t>
                  </w:r>
                </w:p>
              </w:tc>
              <w:tc>
                <w:tcPr>
                  <w:tcW w:w="673" w:type="pct"/>
                  <w:vAlign w:val="center"/>
                </w:tcPr>
                <w:p w14:paraId="74C9C8A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096B4F7B">
                  <w:pPr>
                    <w:pStyle w:val="35"/>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1</w:t>
                  </w:r>
                </w:p>
              </w:tc>
            </w:tr>
            <w:tr w14:paraId="7EBE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1B8FA49">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14</w:t>
                  </w:r>
                </w:p>
              </w:tc>
              <w:tc>
                <w:tcPr>
                  <w:tcW w:w="1231" w:type="pct"/>
                  <w:vAlign w:val="center"/>
                </w:tcPr>
                <w:p w14:paraId="227A6BAE">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软水箱</w:t>
                  </w:r>
                </w:p>
              </w:tc>
              <w:tc>
                <w:tcPr>
                  <w:tcW w:w="2179" w:type="pct"/>
                  <w:vAlign w:val="center"/>
                </w:tcPr>
                <w:p w14:paraId="1B95845B">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30m</w:t>
                  </w:r>
                  <w:r>
                    <w:rPr>
                      <w:rFonts w:hint="eastAsia" w:ascii="Times New Roman" w:cs="宋体"/>
                      <w:b w:val="0"/>
                      <w:bCs w:val="0"/>
                      <w:color w:val="auto"/>
                      <w:sz w:val="21"/>
                      <w:szCs w:val="21"/>
                      <w:vertAlign w:val="superscript"/>
                      <w:lang w:val="en-US" w:eastAsia="zh-CN"/>
                    </w:rPr>
                    <w:t>3</w:t>
                  </w:r>
                </w:p>
              </w:tc>
              <w:tc>
                <w:tcPr>
                  <w:tcW w:w="673" w:type="pct"/>
                  <w:vAlign w:val="center"/>
                </w:tcPr>
                <w:p w14:paraId="4D2E050D">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台</w:t>
                  </w:r>
                </w:p>
              </w:tc>
              <w:tc>
                <w:tcPr>
                  <w:tcW w:w="499" w:type="pct"/>
                  <w:shd w:val="clear" w:color="auto" w:fill="auto"/>
                  <w:vAlign w:val="center"/>
                </w:tcPr>
                <w:p w14:paraId="0CE694FF">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1</w:t>
                  </w:r>
                </w:p>
              </w:tc>
            </w:tr>
            <w:tr w14:paraId="7C54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769281E0">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15</w:t>
                  </w:r>
                </w:p>
              </w:tc>
              <w:tc>
                <w:tcPr>
                  <w:tcW w:w="1231" w:type="pct"/>
                  <w:vAlign w:val="center"/>
                </w:tcPr>
                <w:p w14:paraId="39579794">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定压补水装置</w:t>
                  </w:r>
                </w:p>
              </w:tc>
              <w:tc>
                <w:tcPr>
                  <w:tcW w:w="2179" w:type="pct"/>
                  <w:vAlign w:val="center"/>
                </w:tcPr>
                <w:p w14:paraId="3349E5EC">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w:t>
                  </w:r>
                </w:p>
              </w:tc>
              <w:tc>
                <w:tcPr>
                  <w:tcW w:w="673" w:type="pct"/>
                  <w:vAlign w:val="center"/>
                </w:tcPr>
                <w:p w14:paraId="1B90CC2E">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套</w:t>
                  </w:r>
                </w:p>
              </w:tc>
              <w:tc>
                <w:tcPr>
                  <w:tcW w:w="499" w:type="pct"/>
                  <w:shd w:val="clear" w:color="auto" w:fill="auto"/>
                  <w:vAlign w:val="center"/>
                </w:tcPr>
                <w:p w14:paraId="5308C624">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1</w:t>
                  </w:r>
                </w:p>
              </w:tc>
            </w:tr>
            <w:tr w14:paraId="21C8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10B60F4B">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16</w:t>
                  </w:r>
                </w:p>
              </w:tc>
              <w:tc>
                <w:tcPr>
                  <w:tcW w:w="1231" w:type="pct"/>
                  <w:vAlign w:val="center"/>
                </w:tcPr>
                <w:p w14:paraId="3B1C6230">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集水器</w:t>
                  </w:r>
                </w:p>
              </w:tc>
              <w:tc>
                <w:tcPr>
                  <w:tcW w:w="2179" w:type="pct"/>
                  <w:vAlign w:val="center"/>
                </w:tcPr>
                <w:p w14:paraId="089DC76A">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w:t>
                  </w:r>
                </w:p>
              </w:tc>
              <w:tc>
                <w:tcPr>
                  <w:tcW w:w="673" w:type="pct"/>
                  <w:vAlign w:val="center"/>
                </w:tcPr>
                <w:p w14:paraId="1C2EAB46">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套</w:t>
                  </w:r>
                </w:p>
              </w:tc>
              <w:tc>
                <w:tcPr>
                  <w:tcW w:w="499" w:type="pct"/>
                  <w:shd w:val="clear" w:color="auto" w:fill="auto"/>
                  <w:vAlign w:val="center"/>
                </w:tcPr>
                <w:p w14:paraId="70C087CA">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b w:val="0"/>
                      <w:bCs w:val="0"/>
                      <w:color w:val="auto"/>
                      <w:kern w:val="2"/>
                      <w:sz w:val="21"/>
                      <w:szCs w:val="21"/>
                      <w:vertAlign w:val="baseline"/>
                      <w:lang w:val="en-US" w:eastAsia="zh-CN" w:bidi="ar-SA"/>
                    </w:rPr>
                  </w:pPr>
                  <w:r>
                    <w:rPr>
                      <w:rFonts w:hint="eastAsia" w:ascii="Times New Roman" w:cs="宋体"/>
                      <w:b w:val="0"/>
                      <w:bCs w:val="0"/>
                      <w:color w:val="auto"/>
                      <w:sz w:val="21"/>
                      <w:szCs w:val="21"/>
                      <w:vertAlign w:val="baseline"/>
                      <w:lang w:val="en-US" w:eastAsia="zh-CN"/>
                    </w:rPr>
                    <w:t>1</w:t>
                  </w:r>
                </w:p>
              </w:tc>
            </w:tr>
            <w:tr w14:paraId="4DFE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14:paraId="5E17BC54">
                  <w:pPr>
                    <w:pStyle w:val="35"/>
                    <w:keepNext w:val="0"/>
                    <w:keepLines w:val="0"/>
                    <w:numPr>
                      <w:ilvl w:val="0"/>
                      <w:numId w:val="0"/>
                    </w:numPr>
                    <w:suppressLineNumbers w:val="0"/>
                    <w:spacing w:before="0" w:beforeAutospacing="0" w:after="0" w:afterAutospacing="0"/>
                    <w:ind w:left="0" w:right="0"/>
                    <w:jc w:val="center"/>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17</w:t>
                  </w:r>
                </w:p>
              </w:tc>
              <w:tc>
                <w:tcPr>
                  <w:tcW w:w="1231" w:type="pct"/>
                  <w:vAlign w:val="center"/>
                </w:tcPr>
                <w:p w14:paraId="0AB42118">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分水器</w:t>
                  </w:r>
                </w:p>
              </w:tc>
              <w:tc>
                <w:tcPr>
                  <w:tcW w:w="2179" w:type="pct"/>
                  <w:vAlign w:val="center"/>
                </w:tcPr>
                <w:p w14:paraId="2E1E906E">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w:t>
                  </w:r>
                </w:p>
              </w:tc>
              <w:tc>
                <w:tcPr>
                  <w:tcW w:w="673" w:type="pct"/>
                  <w:vAlign w:val="center"/>
                </w:tcPr>
                <w:p w14:paraId="42FE827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套</w:t>
                  </w:r>
                </w:p>
              </w:tc>
              <w:tc>
                <w:tcPr>
                  <w:tcW w:w="499" w:type="pct"/>
                  <w:vAlign w:val="center"/>
                </w:tcPr>
                <w:p w14:paraId="1F3BAAA4">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1</w:t>
                  </w:r>
                </w:p>
              </w:tc>
            </w:tr>
          </w:tbl>
          <w:p w14:paraId="0F9A94B5">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p>
          <w:p w14:paraId="7B366FF7">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（2）</w:t>
            </w:r>
            <w:r>
              <w:rPr>
                <w:rFonts w:hint="eastAsia" w:ascii="Times New Roman" w:cs="宋体"/>
                <w:color w:val="auto"/>
                <w:sz w:val="24"/>
                <w:lang w:val="en-US" w:eastAsia="zh-CN"/>
              </w:rPr>
              <w:t>能源消耗</w:t>
            </w:r>
          </w:p>
          <w:p w14:paraId="51B86FB1">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项目原辅材料用量见表2-</w:t>
            </w:r>
            <w:r>
              <w:rPr>
                <w:rFonts w:hint="eastAsia" w:ascii="Times New Roman" w:cs="宋体"/>
                <w:color w:val="auto"/>
                <w:sz w:val="24"/>
                <w:lang w:val="en-US" w:eastAsia="zh-CN"/>
              </w:rPr>
              <w:t>3</w:t>
            </w:r>
          </w:p>
          <w:p w14:paraId="323C1B27">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表2-</w:t>
            </w:r>
            <w:r>
              <w:rPr>
                <w:rFonts w:hint="eastAsia" w:ascii="Times New Roman" w:cs="宋体"/>
                <w:b/>
                <w:bCs/>
                <w:color w:val="auto"/>
                <w:sz w:val="21"/>
                <w:szCs w:val="21"/>
                <w:lang w:val="en-US" w:eastAsia="zh-CN"/>
              </w:rPr>
              <w:t>3</w:t>
            </w:r>
            <w:r>
              <w:rPr>
                <w:rFonts w:hint="eastAsia" w:ascii="Times New Roman" w:hAnsi="Times New Roman" w:eastAsia="宋体" w:cs="宋体"/>
                <w:b/>
                <w:bCs/>
                <w:color w:val="auto"/>
                <w:sz w:val="21"/>
                <w:szCs w:val="21"/>
                <w:lang w:val="en-US" w:eastAsia="zh-CN"/>
              </w:rPr>
              <w:t xml:space="preserve"> </w:t>
            </w:r>
            <w:r>
              <w:rPr>
                <w:rFonts w:hint="default" w:ascii="Times New Roman" w:hAnsi="Times New Roman" w:eastAsia="宋体" w:cs="宋体"/>
                <w:b/>
                <w:bCs/>
                <w:color w:val="auto"/>
                <w:sz w:val="21"/>
                <w:szCs w:val="21"/>
                <w:lang w:val="en-US" w:eastAsia="zh-CN"/>
              </w:rPr>
              <w:t>本项目主要</w:t>
            </w:r>
            <w:r>
              <w:rPr>
                <w:rFonts w:hint="eastAsia" w:ascii="Times New Roman" w:hAnsi="Times New Roman" w:eastAsia="宋体" w:cs="宋体"/>
                <w:b/>
                <w:bCs/>
                <w:color w:val="auto"/>
                <w:sz w:val="21"/>
                <w:szCs w:val="21"/>
                <w:lang w:val="en-US" w:eastAsia="zh-CN"/>
              </w:rPr>
              <w:t>原辅</w:t>
            </w:r>
            <w:r>
              <w:rPr>
                <w:rFonts w:hint="default" w:ascii="Times New Roman" w:hAnsi="Times New Roman" w:eastAsia="宋体" w:cs="宋体"/>
                <w:b/>
                <w:bCs/>
                <w:color w:val="auto"/>
                <w:sz w:val="21"/>
                <w:szCs w:val="21"/>
                <w:lang w:val="en-US" w:eastAsia="zh-CN"/>
              </w:rPr>
              <w:t>材料消耗情况</w:t>
            </w:r>
          </w:p>
          <w:tbl>
            <w:tblPr>
              <w:tblStyle w:val="5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4"/>
              <w:gridCol w:w="1355"/>
              <w:gridCol w:w="1208"/>
              <w:gridCol w:w="1355"/>
              <w:gridCol w:w="2417"/>
              <w:gridCol w:w="2116"/>
            </w:tblGrid>
            <w:tr w14:paraId="34893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19" w:type="pct"/>
                  <w:tcBorders>
                    <w:top w:val="single" w:color="000000" w:sz="10" w:space="0"/>
                    <w:left w:val="single" w:color="000000" w:sz="10" w:space="0"/>
                  </w:tcBorders>
                  <w:noWrap w:val="0"/>
                  <w:vAlign w:val="center"/>
                </w:tcPr>
                <w:p w14:paraId="6158D7D0">
                  <w:pPr>
                    <w:pStyle w:val="54"/>
                    <w:spacing w:before="67" w:line="222" w:lineRule="auto"/>
                    <w:jc w:val="center"/>
                    <w:rPr>
                      <w:rFonts w:hint="default" w:ascii="Times New Roman" w:hAnsi="Times New Roman" w:cs="Times New Roman"/>
                    </w:rPr>
                  </w:pPr>
                  <w:r>
                    <w:rPr>
                      <w:rFonts w:hint="default" w:ascii="Times New Roman" w:hAnsi="Times New Roman" w:cs="Times New Roman"/>
                      <w:spacing w:val="-2"/>
                    </w:rPr>
                    <w:t>序号</w:t>
                  </w:r>
                </w:p>
              </w:tc>
              <w:tc>
                <w:tcPr>
                  <w:tcW w:w="734" w:type="pct"/>
                  <w:tcBorders>
                    <w:top w:val="single" w:color="000000" w:sz="10" w:space="0"/>
                  </w:tcBorders>
                  <w:noWrap w:val="0"/>
                  <w:vAlign w:val="center"/>
                </w:tcPr>
                <w:p w14:paraId="3F35AD5D">
                  <w:pPr>
                    <w:pStyle w:val="54"/>
                    <w:spacing w:before="67" w:line="221" w:lineRule="auto"/>
                    <w:jc w:val="center"/>
                    <w:rPr>
                      <w:rFonts w:hint="default" w:ascii="Times New Roman" w:hAnsi="Times New Roman" w:cs="Times New Roman"/>
                    </w:rPr>
                  </w:pPr>
                  <w:r>
                    <w:rPr>
                      <w:rFonts w:hint="default" w:ascii="Times New Roman" w:hAnsi="Times New Roman" w:cs="Times New Roman"/>
                      <w:spacing w:val="-3"/>
                    </w:rPr>
                    <w:t>原料名称</w:t>
                  </w:r>
                </w:p>
              </w:tc>
              <w:tc>
                <w:tcPr>
                  <w:tcW w:w="654" w:type="pct"/>
                  <w:tcBorders>
                    <w:top w:val="single" w:color="000000" w:sz="10" w:space="0"/>
                  </w:tcBorders>
                  <w:noWrap w:val="0"/>
                  <w:vAlign w:val="center"/>
                </w:tcPr>
                <w:p w14:paraId="05F4792B">
                  <w:pPr>
                    <w:pStyle w:val="54"/>
                    <w:spacing w:before="67" w:line="221" w:lineRule="auto"/>
                    <w:jc w:val="center"/>
                    <w:rPr>
                      <w:rFonts w:hint="default" w:ascii="Times New Roman" w:hAnsi="Times New Roman" w:cs="Times New Roman"/>
                    </w:rPr>
                  </w:pPr>
                  <w:r>
                    <w:rPr>
                      <w:rFonts w:hint="default" w:ascii="Times New Roman" w:hAnsi="Times New Roman" w:cs="Times New Roman"/>
                      <w:spacing w:val="-2"/>
                    </w:rPr>
                    <w:t>单位</w:t>
                  </w:r>
                </w:p>
              </w:tc>
              <w:tc>
                <w:tcPr>
                  <w:tcW w:w="734" w:type="pct"/>
                  <w:tcBorders>
                    <w:top w:val="single" w:color="000000" w:sz="10" w:space="0"/>
                  </w:tcBorders>
                  <w:noWrap w:val="0"/>
                  <w:vAlign w:val="center"/>
                </w:tcPr>
                <w:p w14:paraId="6B8C680D">
                  <w:pPr>
                    <w:pStyle w:val="54"/>
                    <w:spacing w:before="66" w:line="221" w:lineRule="auto"/>
                    <w:jc w:val="center"/>
                    <w:rPr>
                      <w:rFonts w:hint="default" w:ascii="Times New Roman" w:hAnsi="Times New Roman" w:cs="Times New Roman"/>
                    </w:rPr>
                  </w:pPr>
                  <w:r>
                    <w:rPr>
                      <w:rFonts w:hint="default" w:ascii="Times New Roman" w:hAnsi="Times New Roman" w:cs="Times New Roman"/>
                      <w:spacing w:val="-2"/>
                    </w:rPr>
                    <w:t>年消耗量</w:t>
                  </w:r>
                </w:p>
              </w:tc>
              <w:tc>
                <w:tcPr>
                  <w:tcW w:w="1309" w:type="pct"/>
                  <w:tcBorders>
                    <w:top w:val="single" w:color="000000" w:sz="10" w:space="0"/>
                  </w:tcBorders>
                  <w:noWrap w:val="0"/>
                  <w:vAlign w:val="center"/>
                </w:tcPr>
                <w:p w14:paraId="40C2B61F">
                  <w:pPr>
                    <w:pStyle w:val="54"/>
                    <w:spacing w:before="66" w:line="221" w:lineRule="auto"/>
                    <w:jc w:val="center"/>
                    <w:rPr>
                      <w:rFonts w:hint="default" w:ascii="Times New Roman" w:hAnsi="Times New Roman" w:cs="Times New Roman"/>
                    </w:rPr>
                  </w:pPr>
                  <w:r>
                    <w:rPr>
                      <w:rFonts w:hint="default" w:ascii="Times New Roman" w:hAnsi="Times New Roman" w:cs="Times New Roman"/>
                      <w:spacing w:val="-1"/>
                    </w:rPr>
                    <w:t>储存方式</w:t>
                  </w:r>
                </w:p>
              </w:tc>
              <w:tc>
                <w:tcPr>
                  <w:tcW w:w="1146" w:type="pct"/>
                  <w:tcBorders>
                    <w:top w:val="single" w:color="000000" w:sz="10" w:space="0"/>
                    <w:right w:val="single" w:color="000000" w:sz="10" w:space="0"/>
                  </w:tcBorders>
                  <w:noWrap w:val="0"/>
                  <w:vAlign w:val="center"/>
                </w:tcPr>
                <w:p w14:paraId="5CF8EF9A">
                  <w:pPr>
                    <w:pStyle w:val="54"/>
                    <w:spacing w:before="66" w:line="221" w:lineRule="auto"/>
                    <w:jc w:val="center"/>
                    <w:rPr>
                      <w:rFonts w:hint="default" w:ascii="Times New Roman" w:hAnsi="Times New Roman" w:cs="Times New Roman"/>
                    </w:rPr>
                  </w:pPr>
                  <w:r>
                    <w:rPr>
                      <w:rFonts w:hint="default" w:ascii="Times New Roman" w:hAnsi="Times New Roman" w:cs="Times New Roman"/>
                      <w:spacing w:val="-2"/>
                    </w:rPr>
                    <w:t>来源</w:t>
                  </w:r>
                </w:p>
              </w:tc>
            </w:tr>
            <w:tr w14:paraId="6D81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19" w:type="pct"/>
                  <w:tcBorders>
                    <w:left w:val="single" w:color="000000" w:sz="10" w:space="0"/>
                  </w:tcBorders>
                  <w:noWrap w:val="0"/>
                  <w:vAlign w:val="center"/>
                </w:tcPr>
                <w:p w14:paraId="318766EE">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1</w:t>
                  </w:r>
                </w:p>
              </w:tc>
              <w:tc>
                <w:tcPr>
                  <w:tcW w:w="734" w:type="pct"/>
                  <w:noWrap w:val="0"/>
                  <w:vAlign w:val="center"/>
                </w:tcPr>
                <w:p w14:paraId="29AE1333">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lang w:val="en-US" w:eastAsia="zh-CN"/>
                    </w:rPr>
                    <w:t>天然气</w:t>
                  </w:r>
                </w:p>
              </w:tc>
              <w:tc>
                <w:tcPr>
                  <w:tcW w:w="654" w:type="pct"/>
                  <w:noWrap w:val="0"/>
                  <w:vAlign w:val="center"/>
                </w:tcPr>
                <w:p w14:paraId="52531406">
                  <w:pPr>
                    <w:pStyle w:val="54"/>
                    <w:spacing w:before="82" w:line="221" w:lineRule="auto"/>
                    <w:jc w:val="center"/>
                    <w:rPr>
                      <w:rFonts w:hint="default" w:ascii="Times New Roman" w:hAnsi="Times New Roman" w:eastAsia="宋体" w:cs="Times New Roman"/>
                      <w:spacing w:val="-4"/>
                    </w:rPr>
                  </w:pPr>
                  <w:r>
                    <w:rPr>
                      <w:rFonts w:hint="eastAsia" w:ascii="Times New Roman" w:hAnsi="Times New Roman" w:cs="Times New Roman"/>
                      <w:spacing w:val="-4"/>
                      <w:lang w:val="en-US" w:eastAsia="zh-CN"/>
                    </w:rPr>
                    <w:t>万</w:t>
                  </w:r>
                  <w:r>
                    <w:rPr>
                      <w:rFonts w:hint="default" w:ascii="Times New Roman" w:hAnsi="Times New Roman" w:eastAsia="宋体" w:cs="Times New Roman"/>
                      <w:spacing w:val="-4"/>
                    </w:rPr>
                    <w:t>m</w:t>
                  </w:r>
                  <w:r>
                    <w:rPr>
                      <w:rFonts w:hint="default" w:ascii="Times New Roman" w:hAnsi="Times New Roman" w:eastAsia="宋体" w:cs="Times New Roman"/>
                      <w:spacing w:val="-4"/>
                      <w:vertAlign w:val="superscript"/>
                      <w:lang w:val="en-US" w:eastAsia="zh-CN"/>
                    </w:rPr>
                    <w:t>3</w:t>
                  </w:r>
                </w:p>
              </w:tc>
              <w:tc>
                <w:tcPr>
                  <w:tcW w:w="734" w:type="pct"/>
                  <w:tcBorders>
                    <w:right w:val="single" w:color="000000" w:sz="2" w:space="0"/>
                  </w:tcBorders>
                  <w:noWrap w:val="0"/>
                  <w:vAlign w:val="center"/>
                </w:tcPr>
                <w:p w14:paraId="1CD07237">
                  <w:pPr>
                    <w:pStyle w:val="54"/>
                    <w:spacing w:before="82" w:line="221" w:lineRule="auto"/>
                    <w:jc w:val="center"/>
                    <w:rPr>
                      <w:rFonts w:hint="default" w:ascii="Times New Roman" w:hAnsi="Times New Roman" w:eastAsia="宋体" w:cs="Times New Roman"/>
                      <w:spacing w:val="-4"/>
                      <w:lang w:val="en-US" w:eastAsia="zh-CN"/>
                    </w:rPr>
                  </w:pPr>
                  <w:r>
                    <w:rPr>
                      <w:rFonts w:hint="eastAsia" w:ascii="Times New Roman" w:hAnsi="Times New Roman" w:cs="Times New Roman"/>
                      <w:spacing w:val="-4"/>
                      <w:lang w:val="en-US" w:eastAsia="zh-CN"/>
                    </w:rPr>
                    <w:t>117.04</w:t>
                  </w:r>
                </w:p>
              </w:tc>
              <w:tc>
                <w:tcPr>
                  <w:tcW w:w="1309" w:type="pct"/>
                  <w:tcBorders>
                    <w:left w:val="single" w:color="000000" w:sz="2" w:space="0"/>
                  </w:tcBorders>
                  <w:noWrap w:val="0"/>
                  <w:vAlign w:val="center"/>
                </w:tcPr>
                <w:p w14:paraId="48862811">
                  <w:pPr>
                    <w:pStyle w:val="54"/>
                    <w:spacing w:before="82" w:line="221" w:lineRule="auto"/>
                    <w:jc w:val="center"/>
                    <w:rPr>
                      <w:rFonts w:hint="eastAsia" w:ascii="Times New Roman" w:hAnsi="Times New Roman" w:eastAsia="宋体" w:cs="Times New Roman"/>
                      <w:spacing w:val="-4"/>
                      <w:lang w:eastAsia="zh-CN"/>
                    </w:rPr>
                  </w:pPr>
                  <w:r>
                    <w:rPr>
                      <w:rFonts w:hint="eastAsia" w:ascii="Times New Roman" w:hAnsi="Times New Roman" w:cs="Times New Roman"/>
                      <w:spacing w:val="-4"/>
                      <w:lang w:val="en-US" w:eastAsia="zh-CN"/>
                    </w:rPr>
                    <w:t>管道</w:t>
                  </w:r>
                </w:p>
              </w:tc>
              <w:tc>
                <w:tcPr>
                  <w:tcW w:w="1146" w:type="pct"/>
                  <w:tcBorders>
                    <w:right w:val="single" w:color="000000" w:sz="10" w:space="0"/>
                  </w:tcBorders>
                  <w:noWrap w:val="0"/>
                  <w:vAlign w:val="center"/>
                </w:tcPr>
                <w:p w14:paraId="07916B1A">
                  <w:pPr>
                    <w:pStyle w:val="54"/>
                    <w:spacing w:before="82" w:line="221" w:lineRule="auto"/>
                    <w:jc w:val="center"/>
                    <w:rPr>
                      <w:rFonts w:hint="default" w:ascii="Times New Roman" w:hAnsi="Times New Roman" w:eastAsia="宋体" w:cs="Times New Roman"/>
                      <w:spacing w:val="-4"/>
                      <w:lang w:val="en-US" w:eastAsia="zh-CN"/>
                    </w:rPr>
                  </w:pPr>
                  <w:r>
                    <w:rPr>
                      <w:rFonts w:hint="eastAsia" w:ascii="Times New Roman" w:hAnsi="Times New Roman" w:cs="Times New Roman"/>
                      <w:spacing w:val="-4"/>
                      <w:lang w:val="en-US" w:eastAsia="zh-CN"/>
                    </w:rPr>
                    <w:t>市政管网</w:t>
                  </w:r>
                </w:p>
              </w:tc>
            </w:tr>
            <w:tr w14:paraId="5CE64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19" w:type="pct"/>
                  <w:tcBorders>
                    <w:left w:val="single" w:color="000000" w:sz="10" w:space="0"/>
                  </w:tcBorders>
                  <w:noWrap w:val="0"/>
                  <w:vAlign w:val="center"/>
                </w:tcPr>
                <w:p w14:paraId="2F85A7A8">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2</w:t>
                  </w:r>
                </w:p>
              </w:tc>
              <w:tc>
                <w:tcPr>
                  <w:tcW w:w="734" w:type="pct"/>
                  <w:shd w:val="clear" w:color="auto" w:fill="auto"/>
                  <w:noWrap w:val="0"/>
                  <w:vAlign w:val="center"/>
                </w:tcPr>
                <w:p w14:paraId="4B47473F">
                  <w:pPr>
                    <w:pStyle w:val="54"/>
                    <w:spacing w:before="82" w:line="221" w:lineRule="auto"/>
                    <w:jc w:val="center"/>
                    <w:rPr>
                      <w:rFonts w:hint="default" w:ascii="Times New Roman" w:hAnsi="Times New Roman" w:eastAsia="宋体" w:cs="Times New Roman"/>
                      <w:spacing w:val="-4"/>
                      <w:kern w:val="2"/>
                      <w:sz w:val="21"/>
                      <w:szCs w:val="21"/>
                      <w:lang w:val="en-US" w:eastAsia="zh-CN" w:bidi="ar-SA"/>
                    </w:rPr>
                  </w:pPr>
                  <w:r>
                    <w:rPr>
                      <w:rFonts w:hint="default" w:ascii="Times New Roman" w:hAnsi="Times New Roman" w:eastAsia="宋体" w:cs="Times New Roman"/>
                      <w:spacing w:val="-4"/>
                      <w:lang w:val="en-US" w:eastAsia="zh-CN"/>
                    </w:rPr>
                    <w:t>离子交换树脂</w:t>
                  </w:r>
                </w:p>
              </w:tc>
              <w:tc>
                <w:tcPr>
                  <w:tcW w:w="654" w:type="pct"/>
                  <w:shd w:val="clear" w:color="auto" w:fill="auto"/>
                  <w:noWrap w:val="0"/>
                  <w:vAlign w:val="center"/>
                </w:tcPr>
                <w:p w14:paraId="0F470D37">
                  <w:pPr>
                    <w:pStyle w:val="54"/>
                    <w:spacing w:before="82" w:line="221" w:lineRule="auto"/>
                    <w:jc w:val="center"/>
                    <w:rPr>
                      <w:rFonts w:hint="default" w:ascii="Times New Roman" w:hAnsi="Times New Roman" w:eastAsia="宋体" w:cs="Times New Roman"/>
                      <w:spacing w:val="-4"/>
                      <w:kern w:val="2"/>
                      <w:sz w:val="21"/>
                      <w:szCs w:val="21"/>
                      <w:lang w:val="en-US" w:eastAsia="en-US" w:bidi="ar-SA"/>
                    </w:rPr>
                  </w:pPr>
                  <w:r>
                    <w:rPr>
                      <w:rFonts w:hint="default" w:ascii="Times New Roman" w:hAnsi="Times New Roman" w:eastAsia="宋体" w:cs="Times New Roman"/>
                      <w:spacing w:val="-4"/>
                    </w:rPr>
                    <w:t>t</w:t>
                  </w:r>
                </w:p>
              </w:tc>
              <w:tc>
                <w:tcPr>
                  <w:tcW w:w="734" w:type="pct"/>
                  <w:tcBorders>
                    <w:right w:val="single" w:color="000000" w:sz="2" w:space="0"/>
                  </w:tcBorders>
                  <w:shd w:val="clear" w:color="auto" w:fill="auto"/>
                  <w:noWrap w:val="0"/>
                  <w:vAlign w:val="center"/>
                </w:tcPr>
                <w:p w14:paraId="48393D3E">
                  <w:pPr>
                    <w:pStyle w:val="54"/>
                    <w:spacing w:before="82" w:line="221" w:lineRule="auto"/>
                    <w:jc w:val="center"/>
                    <w:rPr>
                      <w:rFonts w:hint="default" w:ascii="Times New Roman" w:hAnsi="Times New Roman" w:eastAsia="宋体" w:cs="Times New Roman"/>
                      <w:spacing w:val="-4"/>
                      <w:kern w:val="2"/>
                      <w:sz w:val="21"/>
                      <w:szCs w:val="21"/>
                      <w:lang w:val="en-US" w:eastAsia="zh-CN" w:bidi="ar-SA"/>
                    </w:rPr>
                  </w:pPr>
                  <w:r>
                    <w:rPr>
                      <w:rFonts w:hint="eastAsia" w:ascii="Times New Roman" w:hAnsi="Times New Roman" w:cs="Times New Roman"/>
                      <w:spacing w:val="-4"/>
                      <w:lang w:val="en-US" w:eastAsia="zh-CN"/>
                    </w:rPr>
                    <w:t>0.2</w:t>
                  </w:r>
                </w:p>
              </w:tc>
              <w:tc>
                <w:tcPr>
                  <w:tcW w:w="1309" w:type="pct"/>
                  <w:tcBorders>
                    <w:left w:val="single" w:color="000000" w:sz="2" w:space="0"/>
                  </w:tcBorders>
                  <w:shd w:val="clear" w:color="auto" w:fill="auto"/>
                  <w:noWrap w:val="0"/>
                  <w:vAlign w:val="center"/>
                </w:tcPr>
                <w:p w14:paraId="54C0751F">
                  <w:pPr>
                    <w:pStyle w:val="54"/>
                    <w:spacing w:before="82" w:line="221" w:lineRule="auto"/>
                    <w:jc w:val="center"/>
                    <w:rPr>
                      <w:rFonts w:hint="default" w:ascii="Times New Roman" w:hAnsi="Times New Roman" w:eastAsia="宋体" w:cs="Times New Roman"/>
                      <w:spacing w:val="-4"/>
                      <w:kern w:val="2"/>
                      <w:sz w:val="21"/>
                      <w:szCs w:val="21"/>
                      <w:lang w:val="en-US" w:eastAsia="zh-CN" w:bidi="ar-SA"/>
                    </w:rPr>
                  </w:pPr>
                  <w:r>
                    <w:rPr>
                      <w:rFonts w:hint="eastAsia" w:ascii="Times New Roman" w:hAnsi="Times New Roman" w:cs="Times New Roman"/>
                      <w:spacing w:val="-4"/>
                      <w:kern w:val="2"/>
                      <w:sz w:val="21"/>
                      <w:szCs w:val="21"/>
                      <w:lang w:val="en-US" w:eastAsia="zh-CN" w:bidi="ar-SA"/>
                    </w:rPr>
                    <w:t>厂家直接更换，不在厂区内储存</w:t>
                  </w:r>
                </w:p>
              </w:tc>
              <w:tc>
                <w:tcPr>
                  <w:tcW w:w="1146" w:type="pct"/>
                  <w:tcBorders>
                    <w:right w:val="single" w:color="000000" w:sz="10" w:space="0"/>
                  </w:tcBorders>
                  <w:shd w:val="clear" w:color="auto" w:fill="auto"/>
                  <w:noWrap w:val="0"/>
                  <w:vAlign w:val="center"/>
                </w:tcPr>
                <w:p w14:paraId="5C18A403">
                  <w:pPr>
                    <w:pStyle w:val="54"/>
                    <w:spacing w:before="82" w:line="221" w:lineRule="auto"/>
                    <w:jc w:val="center"/>
                    <w:rPr>
                      <w:rFonts w:hint="default" w:ascii="Times New Roman" w:hAnsi="Times New Roman" w:eastAsia="宋体" w:cs="Times New Roman"/>
                      <w:spacing w:val="-4"/>
                      <w:kern w:val="2"/>
                      <w:sz w:val="21"/>
                      <w:szCs w:val="21"/>
                      <w:lang w:val="en-US" w:eastAsia="en-US" w:bidi="ar-SA"/>
                    </w:rPr>
                  </w:pPr>
                  <w:r>
                    <w:rPr>
                      <w:rFonts w:hint="default" w:ascii="Times New Roman" w:hAnsi="Times New Roman" w:eastAsia="宋体" w:cs="Times New Roman"/>
                      <w:spacing w:val="-4"/>
                    </w:rPr>
                    <w:t>外购</w:t>
                  </w:r>
                </w:p>
              </w:tc>
            </w:tr>
            <w:tr w14:paraId="27A98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19" w:type="pct"/>
                  <w:tcBorders>
                    <w:left w:val="single" w:color="000000" w:sz="10" w:space="0"/>
                  </w:tcBorders>
                  <w:noWrap w:val="0"/>
                  <w:vAlign w:val="center"/>
                </w:tcPr>
                <w:p w14:paraId="53DE5232">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3</w:t>
                  </w:r>
                </w:p>
              </w:tc>
              <w:tc>
                <w:tcPr>
                  <w:tcW w:w="734" w:type="pct"/>
                  <w:noWrap w:val="0"/>
                  <w:vAlign w:val="center"/>
                </w:tcPr>
                <w:p w14:paraId="3AB80069">
                  <w:pPr>
                    <w:pStyle w:val="54"/>
                    <w:spacing w:before="82" w:line="221" w:lineRule="auto"/>
                    <w:jc w:val="center"/>
                    <w:rPr>
                      <w:rFonts w:hint="default" w:ascii="Times New Roman" w:hAnsi="Times New Roman" w:eastAsia="宋体" w:cs="Times New Roman"/>
                      <w:color w:val="0000FF"/>
                      <w:spacing w:val="-4"/>
                    </w:rPr>
                  </w:pPr>
                  <w:r>
                    <w:rPr>
                      <w:rFonts w:hint="default" w:ascii="Times New Roman" w:hAnsi="Times New Roman" w:eastAsia="宋体" w:cs="Times New Roman"/>
                      <w:spacing w:val="-4"/>
                    </w:rPr>
                    <w:t>水</w:t>
                  </w:r>
                </w:p>
              </w:tc>
              <w:tc>
                <w:tcPr>
                  <w:tcW w:w="654" w:type="pct"/>
                  <w:noWrap w:val="0"/>
                  <w:vAlign w:val="center"/>
                </w:tcPr>
                <w:p w14:paraId="29D0CEF6">
                  <w:pPr>
                    <w:pStyle w:val="54"/>
                    <w:spacing w:before="82" w:line="221" w:lineRule="auto"/>
                    <w:jc w:val="center"/>
                    <w:rPr>
                      <w:rFonts w:hint="default" w:ascii="Times New Roman" w:hAnsi="Times New Roman" w:eastAsia="宋体" w:cs="Times New Roman"/>
                      <w:color w:val="0000FF"/>
                      <w:spacing w:val="-4"/>
                    </w:rPr>
                  </w:pPr>
                  <w:r>
                    <w:rPr>
                      <w:rFonts w:hint="default" w:ascii="Times New Roman" w:hAnsi="Times New Roman" w:eastAsia="宋体" w:cs="Times New Roman"/>
                      <w:spacing w:val="-4"/>
                    </w:rPr>
                    <w:t>m</w:t>
                  </w:r>
                  <w:r>
                    <w:rPr>
                      <w:rFonts w:hint="default" w:ascii="Times New Roman" w:hAnsi="Times New Roman" w:eastAsia="宋体" w:cs="Times New Roman"/>
                      <w:spacing w:val="-4"/>
                      <w:vertAlign w:val="superscript"/>
                      <w:lang w:val="en-US" w:eastAsia="zh-CN"/>
                    </w:rPr>
                    <w:t>3</w:t>
                  </w:r>
                </w:p>
              </w:tc>
              <w:tc>
                <w:tcPr>
                  <w:tcW w:w="734" w:type="pct"/>
                  <w:tcBorders>
                    <w:right w:val="single" w:color="000000" w:sz="2" w:space="0"/>
                  </w:tcBorders>
                  <w:noWrap w:val="0"/>
                  <w:vAlign w:val="center"/>
                </w:tcPr>
                <w:p w14:paraId="4C796B45">
                  <w:pPr>
                    <w:pStyle w:val="54"/>
                    <w:spacing w:before="82" w:line="221" w:lineRule="auto"/>
                    <w:jc w:val="center"/>
                    <w:rPr>
                      <w:rFonts w:hint="default" w:ascii="Times New Roman" w:hAnsi="Times New Roman" w:eastAsia="宋体" w:cs="Times New Roman"/>
                      <w:color w:val="0000FF"/>
                      <w:spacing w:val="-4"/>
                      <w:lang w:val="en-US" w:eastAsia="zh-CN"/>
                    </w:rPr>
                  </w:pPr>
                  <w:r>
                    <w:rPr>
                      <w:rFonts w:hint="eastAsia" w:ascii="Times New Roman" w:hAnsi="Times New Roman" w:cs="Times New Roman"/>
                      <w:spacing w:val="-4"/>
                      <w:lang w:val="en-US" w:eastAsia="zh-CN"/>
                    </w:rPr>
                    <w:t>10028.4</w:t>
                  </w:r>
                </w:p>
              </w:tc>
              <w:tc>
                <w:tcPr>
                  <w:tcW w:w="1309" w:type="pct"/>
                  <w:tcBorders>
                    <w:left w:val="single" w:color="000000" w:sz="2" w:space="0"/>
                  </w:tcBorders>
                  <w:noWrap w:val="0"/>
                  <w:vAlign w:val="center"/>
                </w:tcPr>
                <w:p w14:paraId="3DD92E09">
                  <w:pPr>
                    <w:pStyle w:val="54"/>
                    <w:spacing w:before="82" w:line="221" w:lineRule="auto"/>
                    <w:jc w:val="center"/>
                    <w:rPr>
                      <w:rFonts w:hint="default" w:ascii="Times New Roman" w:hAnsi="Times New Roman" w:eastAsia="宋体" w:cs="Times New Roman"/>
                      <w:color w:val="0000FF"/>
                      <w:spacing w:val="-4"/>
                    </w:rPr>
                  </w:pPr>
                  <w:r>
                    <w:rPr>
                      <w:rFonts w:hint="default" w:ascii="Times New Roman" w:hAnsi="Times New Roman" w:eastAsia="宋体" w:cs="Times New Roman"/>
                      <w:spacing w:val="-4"/>
                    </w:rPr>
                    <w:t>/</w:t>
                  </w:r>
                </w:p>
              </w:tc>
              <w:tc>
                <w:tcPr>
                  <w:tcW w:w="1146" w:type="pct"/>
                  <w:tcBorders>
                    <w:right w:val="single" w:color="000000" w:sz="10" w:space="0"/>
                  </w:tcBorders>
                  <w:noWrap w:val="0"/>
                  <w:vAlign w:val="center"/>
                </w:tcPr>
                <w:p w14:paraId="19CE3DCF">
                  <w:pPr>
                    <w:pStyle w:val="54"/>
                    <w:spacing w:before="82" w:line="221" w:lineRule="auto"/>
                    <w:jc w:val="center"/>
                    <w:rPr>
                      <w:rFonts w:hint="default" w:ascii="Times New Roman" w:hAnsi="Times New Roman" w:eastAsia="宋体" w:cs="Times New Roman"/>
                      <w:spacing w:val="-4"/>
                    </w:rPr>
                  </w:pPr>
                  <w:r>
                    <w:rPr>
                      <w:rFonts w:hint="eastAsia" w:ascii="Times New Roman" w:hAnsi="Times New Roman" w:cs="Times New Roman"/>
                      <w:spacing w:val="-4"/>
                      <w:lang w:val="en-US" w:eastAsia="zh-CN"/>
                    </w:rPr>
                    <w:t>市政供水</w:t>
                  </w:r>
                </w:p>
              </w:tc>
            </w:tr>
            <w:tr w14:paraId="2DC8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19" w:type="pct"/>
                  <w:tcBorders>
                    <w:left w:val="single" w:color="000000" w:sz="10" w:space="0"/>
                  </w:tcBorders>
                  <w:noWrap w:val="0"/>
                  <w:vAlign w:val="center"/>
                </w:tcPr>
                <w:p w14:paraId="2953D306">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4</w:t>
                  </w:r>
                </w:p>
              </w:tc>
              <w:tc>
                <w:tcPr>
                  <w:tcW w:w="734" w:type="pct"/>
                  <w:noWrap w:val="0"/>
                  <w:vAlign w:val="center"/>
                </w:tcPr>
                <w:p w14:paraId="6186FCA5">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电</w:t>
                  </w:r>
                </w:p>
              </w:tc>
              <w:tc>
                <w:tcPr>
                  <w:tcW w:w="654" w:type="pct"/>
                  <w:noWrap w:val="0"/>
                  <w:vAlign w:val="center"/>
                </w:tcPr>
                <w:p w14:paraId="720A74C8">
                  <w:pPr>
                    <w:pStyle w:val="54"/>
                    <w:spacing w:before="82" w:line="221" w:lineRule="auto"/>
                    <w:jc w:val="center"/>
                    <w:rPr>
                      <w:rFonts w:hint="default" w:ascii="Times New Roman" w:hAnsi="Times New Roman" w:eastAsia="宋体" w:cs="Times New Roman"/>
                      <w:spacing w:val="-4"/>
                      <w:lang w:val="en-US" w:eastAsia="zh-CN"/>
                    </w:rPr>
                  </w:pPr>
                  <w:r>
                    <w:rPr>
                      <w:rFonts w:hint="default" w:ascii="Times New Roman" w:hAnsi="Times New Roman" w:eastAsia="宋体" w:cs="Times New Roman"/>
                      <w:spacing w:val="-4"/>
                    </w:rPr>
                    <w:t>万kWh</w:t>
                  </w:r>
                </w:p>
              </w:tc>
              <w:tc>
                <w:tcPr>
                  <w:tcW w:w="734" w:type="pct"/>
                  <w:tcBorders>
                    <w:right w:val="single" w:color="000000" w:sz="2" w:space="0"/>
                  </w:tcBorders>
                  <w:noWrap w:val="0"/>
                  <w:vAlign w:val="center"/>
                </w:tcPr>
                <w:p w14:paraId="218BEEA5">
                  <w:pPr>
                    <w:pStyle w:val="54"/>
                    <w:spacing w:before="82" w:line="221" w:lineRule="auto"/>
                    <w:jc w:val="center"/>
                    <w:rPr>
                      <w:rFonts w:hint="default" w:ascii="Times New Roman" w:hAnsi="Times New Roman" w:eastAsia="宋体" w:cs="Times New Roman"/>
                      <w:spacing w:val="-4"/>
                    </w:rPr>
                  </w:pPr>
                  <w:r>
                    <w:rPr>
                      <w:rFonts w:hint="eastAsia" w:ascii="Times New Roman" w:hAnsi="Times New Roman" w:cs="Times New Roman"/>
                      <w:spacing w:val="-4"/>
                      <w:lang w:val="en-US" w:eastAsia="zh-CN"/>
                    </w:rPr>
                    <w:t>15</w:t>
                  </w:r>
                </w:p>
              </w:tc>
              <w:tc>
                <w:tcPr>
                  <w:tcW w:w="1309" w:type="pct"/>
                  <w:tcBorders>
                    <w:left w:val="single" w:color="000000" w:sz="2" w:space="0"/>
                  </w:tcBorders>
                  <w:noWrap w:val="0"/>
                  <w:vAlign w:val="center"/>
                </w:tcPr>
                <w:p w14:paraId="0FB10E66">
                  <w:pPr>
                    <w:pStyle w:val="54"/>
                    <w:spacing w:before="82" w:line="221" w:lineRule="auto"/>
                    <w:jc w:val="center"/>
                    <w:rPr>
                      <w:rFonts w:hint="default" w:ascii="Times New Roman" w:hAnsi="Times New Roman" w:eastAsia="宋体" w:cs="Times New Roman"/>
                      <w:spacing w:val="-4"/>
                    </w:rPr>
                  </w:pPr>
                  <w:r>
                    <w:rPr>
                      <w:rFonts w:hint="default" w:ascii="Times New Roman" w:hAnsi="Times New Roman" w:eastAsia="宋体" w:cs="Times New Roman"/>
                      <w:spacing w:val="-4"/>
                    </w:rPr>
                    <w:t>/</w:t>
                  </w:r>
                </w:p>
              </w:tc>
              <w:tc>
                <w:tcPr>
                  <w:tcW w:w="1146" w:type="pct"/>
                  <w:tcBorders>
                    <w:right w:val="single" w:color="000000" w:sz="10" w:space="0"/>
                  </w:tcBorders>
                  <w:noWrap w:val="0"/>
                  <w:vAlign w:val="center"/>
                </w:tcPr>
                <w:p w14:paraId="3F608390">
                  <w:pPr>
                    <w:pStyle w:val="54"/>
                    <w:spacing w:before="82" w:line="221" w:lineRule="auto"/>
                    <w:jc w:val="center"/>
                    <w:rPr>
                      <w:rFonts w:hint="default" w:ascii="Times New Roman" w:hAnsi="Times New Roman" w:eastAsia="宋体" w:cs="Times New Roman"/>
                      <w:spacing w:val="-4"/>
                      <w:lang w:val="en-US" w:eastAsia="zh-CN"/>
                    </w:rPr>
                  </w:pPr>
                  <w:r>
                    <w:rPr>
                      <w:rFonts w:hint="eastAsia" w:ascii="Times New Roman" w:hAnsi="Times New Roman" w:cs="Times New Roman"/>
                      <w:spacing w:val="-4"/>
                      <w:lang w:val="en-US" w:eastAsia="zh-CN"/>
                    </w:rPr>
                    <w:t>市政供电</w:t>
                  </w:r>
                </w:p>
              </w:tc>
            </w:tr>
          </w:tbl>
          <w:p w14:paraId="56A16F7F">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p>
          <w:p w14:paraId="6E9A1666">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eastAsia" w:ascii="Times New Roman"/>
                <w:color w:val="auto"/>
                <w:sz w:val="24"/>
                <w:lang w:val="en-US" w:eastAsia="zh-CN"/>
              </w:rPr>
              <w:t>4</w:t>
            </w:r>
            <w:r>
              <w:rPr>
                <w:rFonts w:hint="default" w:ascii="Times New Roman" w:hAnsi="Times New Roman" w:eastAsia="宋体"/>
                <w:color w:val="auto"/>
                <w:sz w:val="24"/>
                <w:lang w:val="en-US" w:eastAsia="zh-CN"/>
              </w:rPr>
              <w:t>、公用工程</w:t>
            </w:r>
          </w:p>
          <w:p w14:paraId="7A691549">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（1）给水</w:t>
            </w:r>
          </w:p>
          <w:p w14:paraId="028359E1">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项目运营期用水主要为</w:t>
            </w:r>
            <w:r>
              <w:rPr>
                <w:rFonts w:hint="eastAsia" w:ascii="Times New Roman" w:cs="宋体"/>
                <w:color w:val="auto"/>
                <w:sz w:val="24"/>
                <w:lang w:val="en-US" w:eastAsia="zh-CN"/>
              </w:rPr>
              <w:t>员工生活用水和</w:t>
            </w:r>
            <w:r>
              <w:rPr>
                <w:rFonts w:hint="default" w:ascii="Times New Roman" w:hAnsi="Times New Roman" w:eastAsia="宋体" w:cs="宋体"/>
                <w:color w:val="auto"/>
                <w:sz w:val="24"/>
                <w:lang w:val="en-US" w:eastAsia="zh-CN"/>
              </w:rPr>
              <w:t>软水制备系统用水。</w:t>
            </w:r>
          </w:p>
          <w:p w14:paraId="67639C9E">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①员工生活用水</w:t>
            </w:r>
          </w:p>
          <w:p w14:paraId="01C4657B">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color w:val="auto"/>
                <w:sz w:val="24"/>
                <w:szCs w:val="32"/>
              </w:rPr>
            </w:pPr>
            <w:r>
              <w:rPr>
                <w:rFonts w:hint="eastAsia"/>
                <w:color w:val="auto"/>
                <w:sz w:val="24"/>
              </w:rPr>
              <w:t>本项目劳动定员</w:t>
            </w:r>
            <w:r>
              <w:rPr>
                <w:rFonts w:hint="eastAsia"/>
                <w:color w:val="auto"/>
                <w:sz w:val="24"/>
                <w:lang w:val="en-US" w:eastAsia="zh-CN"/>
              </w:rPr>
              <w:t>3</w:t>
            </w:r>
            <w:r>
              <w:rPr>
                <w:rFonts w:hint="eastAsia"/>
                <w:color w:val="auto"/>
                <w:sz w:val="24"/>
              </w:rPr>
              <w:t>人，</w:t>
            </w:r>
            <w:r>
              <w:rPr>
                <w:rFonts w:hint="default"/>
                <w:color w:val="auto"/>
                <w:sz w:val="24"/>
                <w:szCs w:val="32"/>
              </w:rPr>
              <w:t>根据《陕西省行业用水定额》</w:t>
            </w:r>
            <w:r>
              <w:rPr>
                <w:rFonts w:hint="eastAsia"/>
                <w:color w:val="auto"/>
                <w:sz w:val="24"/>
                <w:szCs w:val="32"/>
              </w:rPr>
              <w:t>（</w:t>
            </w:r>
            <w:r>
              <w:rPr>
                <w:rFonts w:hint="default"/>
                <w:color w:val="auto"/>
                <w:sz w:val="24"/>
                <w:szCs w:val="32"/>
              </w:rPr>
              <w:t>DB61/T 943-2020</w:t>
            </w:r>
            <w:r>
              <w:rPr>
                <w:rFonts w:hint="eastAsia"/>
                <w:color w:val="auto"/>
                <w:sz w:val="24"/>
                <w:szCs w:val="32"/>
              </w:rPr>
              <w:t>）</w:t>
            </w:r>
            <w:r>
              <w:rPr>
                <w:rFonts w:hint="default"/>
                <w:color w:val="auto"/>
                <w:sz w:val="24"/>
                <w:szCs w:val="32"/>
              </w:rPr>
              <w:t>，职工生活用水量按</w:t>
            </w:r>
            <w:r>
              <w:rPr>
                <w:rFonts w:hint="eastAsia"/>
                <w:color w:val="auto"/>
                <w:sz w:val="24"/>
                <w:szCs w:val="32"/>
                <w:lang w:val="en-US" w:eastAsia="zh-CN"/>
              </w:rPr>
              <w:t>30</w:t>
            </w:r>
            <w:r>
              <w:rPr>
                <w:rFonts w:hint="default"/>
                <w:color w:val="auto"/>
                <w:sz w:val="24"/>
                <w:szCs w:val="32"/>
              </w:rPr>
              <w:t>L/人·d计，</w:t>
            </w:r>
            <w:r>
              <w:rPr>
                <w:rFonts w:hint="eastAsia"/>
                <w:color w:val="auto"/>
                <w:sz w:val="24"/>
                <w:szCs w:val="32"/>
              </w:rPr>
              <w:t>日用水量</w:t>
            </w:r>
            <w:r>
              <w:rPr>
                <w:rFonts w:hint="eastAsia"/>
                <w:color w:val="auto"/>
                <w:sz w:val="24"/>
                <w:szCs w:val="32"/>
                <w:lang w:val="en-US" w:eastAsia="zh-CN"/>
              </w:rPr>
              <w:t>0.09</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w:t>
            </w:r>
            <w:r>
              <w:rPr>
                <w:rFonts w:hint="eastAsia"/>
                <w:color w:val="auto"/>
                <w:sz w:val="24"/>
                <w:szCs w:val="32"/>
              </w:rPr>
              <w:t>，项目年工作</w:t>
            </w:r>
            <w:r>
              <w:rPr>
                <w:rFonts w:hint="eastAsia"/>
                <w:color w:val="auto"/>
                <w:sz w:val="24"/>
                <w:szCs w:val="32"/>
                <w:lang w:val="en-US" w:eastAsia="zh-CN"/>
              </w:rPr>
              <w:t>12</w:t>
            </w:r>
            <w:r>
              <w:rPr>
                <w:rFonts w:hint="eastAsia"/>
                <w:color w:val="auto"/>
                <w:sz w:val="24"/>
                <w:szCs w:val="32"/>
              </w:rPr>
              <w:t>0天，则年生活用水量为</w:t>
            </w:r>
            <w:r>
              <w:rPr>
                <w:rFonts w:hint="eastAsia"/>
                <w:color w:val="auto"/>
                <w:sz w:val="24"/>
                <w:szCs w:val="32"/>
                <w:lang w:val="en-US" w:eastAsia="zh-CN"/>
              </w:rPr>
              <w:t>10.8</w:t>
            </w:r>
            <w:r>
              <w:rPr>
                <w:rFonts w:hint="eastAsia"/>
                <w:color w:val="auto"/>
                <w:sz w:val="24"/>
                <w:szCs w:val="32"/>
              </w:rPr>
              <w:t>t/a。</w:t>
            </w:r>
          </w:p>
          <w:p w14:paraId="04939B65">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②锅炉补水</w:t>
            </w:r>
          </w:p>
          <w:p w14:paraId="2EE25654">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本项目新增两台3t/h的天然气锅炉，日运行24h，年工作120d，全天蒸汽量144</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d，锅炉排污水以5%计，则新增锅炉排污水约为</w:t>
            </w:r>
            <w:r>
              <w:rPr>
                <w:rFonts w:hint="eastAsia" w:ascii="Times New Roman" w:cs="宋体"/>
                <w:color w:val="auto"/>
                <w:sz w:val="24"/>
                <w:lang w:val="en-US" w:eastAsia="zh-CN"/>
              </w:rPr>
              <w:t>7.2</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d，冷凝回流50%，即回流72</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d，损耗72</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d，新增锅炉软水补水量为79.2</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w:t>
            </w:r>
            <w:r>
              <w:rPr>
                <w:rFonts w:hint="default" w:ascii="Times New Roman" w:hAnsi="Times New Roman" w:eastAsia="宋体" w:cs="宋体"/>
                <w:color w:val="auto"/>
                <w:sz w:val="24"/>
                <w:lang w:val="en-US" w:eastAsia="zh-CN"/>
              </w:rPr>
              <w:t>。</w:t>
            </w:r>
          </w:p>
          <w:p w14:paraId="70749B1C">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③</w:t>
            </w:r>
            <w:r>
              <w:rPr>
                <w:rFonts w:hint="default" w:ascii="Times New Roman" w:hAnsi="Times New Roman" w:eastAsia="宋体" w:cs="宋体"/>
                <w:color w:val="auto"/>
                <w:sz w:val="24"/>
                <w:lang w:val="en-US" w:eastAsia="zh-CN"/>
              </w:rPr>
              <w:t>软水制备系统用水</w:t>
            </w:r>
          </w:p>
          <w:p w14:paraId="48A21B01">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cs="宋体"/>
                <w:color w:val="auto"/>
                <w:sz w:val="24"/>
                <w:lang w:val="en-US" w:eastAsia="zh-CN"/>
              </w:rPr>
            </w:pPr>
            <w:r>
              <w:rPr>
                <w:rFonts w:hint="eastAsia" w:ascii="Times New Roman" w:cs="宋体"/>
                <w:color w:val="auto"/>
                <w:sz w:val="24"/>
                <w:lang w:val="en-US" w:eastAsia="zh-CN"/>
              </w:rPr>
              <w:t>本项目锅炉补水来源于软水器制备的软化水，软水制备系统制水效率为95%，上文“锅炉软水用水量核算”，则系统补充新鲜用水量为83.39</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d（10004.21</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a）</w:t>
            </w:r>
            <w:r>
              <w:rPr>
                <w:rFonts w:hint="default" w:ascii="Times New Roman" w:hAnsi="Times New Roman" w:eastAsia="宋体" w:cs="宋体"/>
                <w:color w:val="auto"/>
                <w:sz w:val="24"/>
                <w:lang w:val="en-US" w:eastAsia="zh-CN"/>
              </w:rPr>
              <w:t>。</w:t>
            </w:r>
          </w:p>
          <w:p w14:paraId="6578D259">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（2）</w:t>
            </w:r>
            <w:r>
              <w:rPr>
                <w:rFonts w:hint="default" w:ascii="Times New Roman" w:hAnsi="Times New Roman" w:eastAsia="宋体" w:cs="宋体"/>
                <w:color w:val="auto"/>
                <w:sz w:val="24"/>
                <w:lang w:val="en-US" w:eastAsia="zh-CN"/>
              </w:rPr>
              <w:t>排水</w:t>
            </w:r>
          </w:p>
          <w:p w14:paraId="55D89609">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项目废水主要为</w:t>
            </w:r>
            <w:r>
              <w:rPr>
                <w:rFonts w:hint="eastAsia" w:ascii="Times New Roman" w:cs="宋体"/>
                <w:color w:val="auto"/>
                <w:sz w:val="24"/>
                <w:lang w:val="en-US" w:eastAsia="zh-CN"/>
              </w:rPr>
              <w:t>生活污水、</w:t>
            </w:r>
            <w:r>
              <w:rPr>
                <w:rFonts w:hint="default" w:ascii="Times New Roman" w:hAnsi="Times New Roman" w:eastAsia="宋体" w:cs="宋体"/>
                <w:color w:val="auto"/>
                <w:sz w:val="24"/>
                <w:lang w:val="en-US" w:eastAsia="zh-CN"/>
              </w:rPr>
              <w:t>锅炉排污水以及软化系统排水，主要污染物为钙镁盐离子，属于清净下水</w:t>
            </w:r>
            <w:r>
              <w:rPr>
                <w:rFonts w:hint="eastAsia" w:ascii="Times New Roman" w:cs="宋体"/>
                <w:color w:val="auto"/>
                <w:sz w:val="24"/>
                <w:lang w:val="en-US" w:eastAsia="zh-CN"/>
              </w:rPr>
              <w:t>，经厂区化粪池处理后排入陇县第一污水处理厂处理。</w:t>
            </w:r>
          </w:p>
          <w:p w14:paraId="3C30CF7B">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480" w:firstLineChars="200"/>
              <w:jc w:val="both"/>
              <w:textAlignment w:val="auto"/>
              <w:rPr>
                <w:rFonts w:hint="default" w:ascii="Times New Roman" w:cs="宋体"/>
                <w:color w:val="auto"/>
                <w:sz w:val="24"/>
                <w:lang w:val="en-US" w:eastAsia="zh-CN"/>
              </w:rPr>
            </w:pPr>
            <w:r>
              <w:rPr>
                <w:rFonts w:hint="eastAsia" w:ascii="Times New Roman" w:cs="宋体"/>
                <w:color w:val="auto"/>
                <w:sz w:val="24"/>
                <w:szCs w:val="24"/>
                <w:lang w:val="en-US" w:eastAsia="zh-CN" w:bidi="ar-SA"/>
              </w:rPr>
              <w:t>①</w:t>
            </w:r>
            <w:r>
              <w:rPr>
                <w:rFonts w:hint="eastAsia" w:ascii="Times New Roman" w:cs="宋体"/>
                <w:color w:val="auto"/>
                <w:sz w:val="24"/>
                <w:lang w:val="en-US" w:eastAsia="zh-CN"/>
              </w:rPr>
              <w:t>生活污水</w:t>
            </w:r>
          </w:p>
          <w:p w14:paraId="603B47B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宋体"/>
                <w:color w:val="auto"/>
                <w:sz w:val="24"/>
                <w:lang w:val="en-US" w:eastAsia="zh-CN"/>
              </w:rPr>
            </w:pPr>
            <w:r>
              <w:rPr>
                <w:rFonts w:hint="default"/>
                <w:color w:val="000000"/>
                <w:sz w:val="24"/>
              </w:rPr>
              <w:t>生活污水产生量按用水量的80%计，</w:t>
            </w:r>
            <w:r>
              <w:rPr>
                <w:rFonts w:hint="eastAsia"/>
                <w:color w:val="000000"/>
                <w:sz w:val="24"/>
              </w:rPr>
              <w:t>则</w:t>
            </w:r>
            <w:r>
              <w:rPr>
                <w:rFonts w:hint="default"/>
                <w:color w:val="000000"/>
                <w:sz w:val="24"/>
              </w:rPr>
              <w:t>项目生活污水产生量为</w:t>
            </w:r>
            <w:r>
              <w:rPr>
                <w:rFonts w:hint="eastAsia"/>
                <w:color w:val="000000"/>
                <w:sz w:val="24"/>
                <w:lang w:val="en-US" w:eastAsia="zh-CN"/>
              </w:rPr>
              <w:t>0.072</w:t>
            </w:r>
            <w:r>
              <w:rPr>
                <w:rFonts w:hint="default"/>
                <w:color w:val="000000"/>
                <w:sz w:val="24"/>
              </w:rPr>
              <w:t>m</w:t>
            </w:r>
            <w:r>
              <w:rPr>
                <w:rFonts w:hint="default"/>
                <w:color w:val="000000"/>
                <w:sz w:val="24"/>
                <w:vertAlign w:val="superscript"/>
              </w:rPr>
              <w:t>3</w:t>
            </w:r>
            <w:r>
              <w:rPr>
                <w:rFonts w:hint="default"/>
                <w:color w:val="000000"/>
                <w:sz w:val="24"/>
              </w:rPr>
              <w:t>/d，</w:t>
            </w:r>
            <w:r>
              <w:rPr>
                <w:rFonts w:hint="eastAsia"/>
                <w:color w:val="000000"/>
                <w:sz w:val="24"/>
                <w:lang w:val="en-US" w:eastAsia="zh-CN"/>
              </w:rPr>
              <w:t>8.64</w:t>
            </w:r>
            <w:r>
              <w:rPr>
                <w:rFonts w:hint="default"/>
                <w:color w:val="000000"/>
                <w:sz w:val="24"/>
              </w:rPr>
              <w:t>m</w:t>
            </w:r>
            <w:r>
              <w:rPr>
                <w:rFonts w:hint="default"/>
                <w:color w:val="000000"/>
                <w:sz w:val="24"/>
                <w:vertAlign w:val="superscript"/>
              </w:rPr>
              <w:t>3</w:t>
            </w:r>
            <w:r>
              <w:rPr>
                <w:rFonts w:hint="default"/>
                <w:color w:val="000000"/>
                <w:sz w:val="24"/>
              </w:rPr>
              <w:t>/a。</w:t>
            </w:r>
          </w:p>
          <w:p w14:paraId="70D54150">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hAnsi="Times New Roman" w:cs="宋体"/>
                <w:color w:val="auto"/>
                <w:sz w:val="24"/>
                <w:lang w:val="en-US" w:eastAsia="zh-CN"/>
              </w:rPr>
              <w:t>②</w:t>
            </w:r>
            <w:r>
              <w:rPr>
                <w:rFonts w:hint="default" w:ascii="Times New Roman" w:hAnsi="Times New Roman" w:eastAsia="宋体" w:cs="宋体"/>
                <w:color w:val="auto"/>
                <w:sz w:val="24"/>
                <w:lang w:val="en-US" w:eastAsia="zh-CN"/>
              </w:rPr>
              <w:t>锅炉</w:t>
            </w:r>
            <w:r>
              <w:rPr>
                <w:rFonts w:hint="eastAsia" w:ascii="Times New Roman" w:cs="宋体"/>
                <w:color w:val="auto"/>
                <w:sz w:val="24"/>
                <w:lang w:val="en-US" w:eastAsia="zh-CN"/>
              </w:rPr>
              <w:t>排污</w:t>
            </w:r>
            <w:r>
              <w:rPr>
                <w:rFonts w:hint="eastAsia" w:ascii="Times New Roman" w:hAnsi="Times New Roman" w:eastAsia="宋体" w:cs="宋体"/>
                <w:color w:val="auto"/>
                <w:sz w:val="24"/>
                <w:lang w:val="en-US" w:eastAsia="zh-CN"/>
              </w:rPr>
              <w:t>水</w:t>
            </w:r>
          </w:p>
          <w:p w14:paraId="46AE7F3E">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锅炉为定期排污，排污率为</w:t>
            </w:r>
            <w:r>
              <w:rPr>
                <w:rFonts w:hint="eastAsia" w:ascii="Times New Roman" w:hAnsi="Times New Roman" w:cs="宋体"/>
                <w:color w:val="auto"/>
                <w:sz w:val="24"/>
                <w:lang w:val="en-US" w:eastAsia="zh-CN"/>
              </w:rPr>
              <w:t>5</w:t>
            </w:r>
            <w:r>
              <w:rPr>
                <w:rFonts w:hint="default" w:ascii="Times New Roman" w:hAnsi="Times New Roman" w:eastAsia="宋体" w:cs="宋体"/>
                <w:color w:val="auto"/>
                <w:sz w:val="24"/>
                <w:lang w:val="en-US" w:eastAsia="zh-CN"/>
              </w:rPr>
              <w:t>%，则锅炉排污水约为7.2m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d，864</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/a。</w:t>
            </w:r>
          </w:p>
          <w:p w14:paraId="1F24AD2C">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hAnsi="Times New Roman" w:cs="宋体"/>
                <w:color w:val="auto"/>
                <w:sz w:val="24"/>
                <w:lang w:val="en-US" w:eastAsia="zh-CN"/>
              </w:rPr>
              <w:t>③软水系统排水</w:t>
            </w:r>
          </w:p>
          <w:p w14:paraId="078611D0">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锅炉使用软化水，本项目采用全自动软化水装置，装置内装填离子交换树脂，用以去除水中的钙、镁等结垢离子。本项目</w:t>
            </w:r>
            <w:r>
              <w:rPr>
                <w:rFonts w:hint="eastAsia" w:ascii="Times New Roman" w:hAnsi="Times New Roman" w:cs="宋体"/>
                <w:color w:val="auto"/>
                <w:sz w:val="24"/>
                <w:lang w:val="en-US" w:eastAsia="zh-CN"/>
              </w:rPr>
              <w:t>软水系统排水约占水量5%，则浓水排放量为4.28</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d，500.4</w:t>
            </w:r>
            <w:r>
              <w:rPr>
                <w:rFonts w:hint="default" w:ascii="Times New Roman" w:hAnsi="Times New Roman" w:eastAsia="宋体" w:cs="宋体"/>
                <w:color w:val="auto"/>
                <w:sz w:val="24"/>
                <w:lang w:val="en-US" w:eastAsia="zh-CN"/>
              </w:rPr>
              <w:t>m</w:t>
            </w:r>
            <w:r>
              <w:rPr>
                <w:rFonts w:hint="default" w:ascii="Times New Roman" w:hAnsi="Times New Roman" w:eastAsia="宋体" w:cs="宋体"/>
                <w:color w:val="auto"/>
                <w:sz w:val="24"/>
                <w:vertAlign w:val="superscript"/>
                <w:lang w:val="en-US" w:eastAsia="zh-CN"/>
              </w:rPr>
              <w:t>3</w:t>
            </w:r>
            <w:r>
              <w:rPr>
                <w:rFonts w:hint="default" w:ascii="Times New Roman" w:hAnsi="Times New Roman" w:eastAsia="宋体" w:cs="宋体"/>
                <w:color w:val="auto"/>
                <w:sz w:val="24"/>
                <w:lang w:val="en-US" w:eastAsia="zh-CN"/>
              </w:rPr>
              <w:t>/a。</w:t>
            </w:r>
          </w:p>
          <w:p w14:paraId="4D403D3A">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olor w:val="auto"/>
                <w:sz w:val="24"/>
                <w:lang w:val="en-US" w:eastAsia="zh-CN"/>
              </w:rPr>
              <w:t>项目水平衡如下：</w:t>
            </w:r>
          </w:p>
          <w:p w14:paraId="15A66F2B">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表2-</w:t>
            </w:r>
            <w:r>
              <w:rPr>
                <w:rFonts w:hint="eastAsia" w:ascii="Times New Roman" w:cs="宋体"/>
                <w:b/>
                <w:bCs/>
                <w:color w:val="auto"/>
                <w:sz w:val="21"/>
                <w:szCs w:val="21"/>
                <w:lang w:val="en-US" w:eastAsia="zh-CN"/>
              </w:rPr>
              <w:t>7</w:t>
            </w:r>
            <w:r>
              <w:rPr>
                <w:rFonts w:hint="eastAsia" w:ascii="Times New Roman" w:hAnsi="Times New Roman" w:eastAsia="宋体" w:cs="宋体"/>
                <w:b/>
                <w:bCs/>
                <w:color w:val="auto"/>
                <w:sz w:val="21"/>
                <w:szCs w:val="21"/>
                <w:lang w:val="en-US" w:eastAsia="zh-CN"/>
              </w:rPr>
              <w:t xml:space="preserve"> </w:t>
            </w:r>
            <w:r>
              <w:rPr>
                <w:rFonts w:hint="eastAsia" w:ascii="Times New Roman" w:cs="宋体"/>
                <w:b/>
                <w:bCs/>
                <w:color w:val="auto"/>
                <w:sz w:val="21"/>
                <w:szCs w:val="21"/>
                <w:lang w:val="en-US" w:eastAsia="zh-CN"/>
              </w:rPr>
              <w:t>项目</w:t>
            </w:r>
            <w:r>
              <w:rPr>
                <w:rFonts w:hint="default" w:ascii="Times New Roman" w:hAnsi="Times New Roman" w:eastAsia="宋体" w:cs="宋体"/>
                <w:b/>
                <w:bCs/>
                <w:color w:val="auto"/>
                <w:sz w:val="21"/>
                <w:szCs w:val="21"/>
                <w:lang w:val="en-US" w:eastAsia="zh-CN"/>
              </w:rPr>
              <w:t>水平衡表（单位：t/d）</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35"/>
              <w:gridCol w:w="1000"/>
              <w:gridCol w:w="1064"/>
              <w:gridCol w:w="1012"/>
              <w:gridCol w:w="1064"/>
              <w:gridCol w:w="1184"/>
              <w:gridCol w:w="1010"/>
              <w:gridCol w:w="2456"/>
            </w:tblGrid>
            <w:tr w14:paraId="770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236" w:type="pct"/>
                  <w:tcBorders>
                    <w:top w:val="single" w:color="auto" w:sz="4" w:space="0"/>
                    <w:left w:val="single" w:color="auto" w:sz="4" w:space="0"/>
                    <w:right w:val="single" w:color="auto" w:sz="4" w:space="0"/>
                  </w:tcBorders>
                  <w:noWrap w:val="0"/>
                  <w:vAlign w:val="center"/>
                </w:tcPr>
                <w:p w14:paraId="5DF371E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序号</w:t>
                  </w:r>
                </w:p>
              </w:tc>
              <w:tc>
                <w:tcPr>
                  <w:tcW w:w="542" w:type="pct"/>
                  <w:tcBorders>
                    <w:top w:val="single" w:color="auto" w:sz="4" w:space="0"/>
                    <w:left w:val="single" w:color="auto" w:sz="4" w:space="0"/>
                    <w:right w:val="single" w:color="auto" w:sz="4" w:space="0"/>
                  </w:tcBorders>
                  <w:noWrap w:val="0"/>
                  <w:vAlign w:val="center"/>
                </w:tcPr>
                <w:p w14:paraId="3230E136">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用水项目</w:t>
                  </w:r>
                </w:p>
              </w:tc>
              <w:tc>
                <w:tcPr>
                  <w:tcW w:w="576" w:type="pct"/>
                  <w:tcBorders>
                    <w:top w:val="single" w:color="auto" w:sz="4" w:space="0"/>
                    <w:left w:val="single" w:color="auto" w:sz="4" w:space="0"/>
                    <w:right w:val="single" w:color="auto" w:sz="4" w:space="0"/>
                  </w:tcBorders>
                  <w:noWrap w:val="0"/>
                  <w:vAlign w:val="center"/>
                </w:tcPr>
                <w:p w14:paraId="26E3631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新鲜水（</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rPr>
                    <w:t>）</w:t>
                  </w:r>
                </w:p>
              </w:tc>
              <w:tc>
                <w:tcPr>
                  <w:tcW w:w="548" w:type="pct"/>
                  <w:tcBorders>
                    <w:top w:val="single" w:color="auto" w:sz="4" w:space="0"/>
                    <w:left w:val="single" w:color="auto" w:sz="4" w:space="0"/>
                    <w:right w:val="single" w:color="auto" w:sz="4" w:space="0"/>
                  </w:tcBorders>
                  <w:noWrap w:val="0"/>
                  <w:vAlign w:val="center"/>
                </w:tcPr>
                <w:p w14:paraId="53829A7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mallCaps w:val="0"/>
                      <w:color w:val="auto"/>
                      <w:sz w:val="21"/>
                      <w:szCs w:val="21"/>
                      <w:lang w:val="en-US" w:eastAsia="zh-CN"/>
                    </w:rPr>
                    <w:t>软</w:t>
                  </w:r>
                  <w:r>
                    <w:rPr>
                      <w:rFonts w:hint="eastAsia" w:ascii="Times New Roman" w:hAnsi="Times New Roman" w:eastAsia="宋体" w:cs="Times New Roman"/>
                      <w:smallCaps w:val="0"/>
                      <w:color w:val="auto"/>
                      <w:sz w:val="21"/>
                      <w:szCs w:val="21"/>
                    </w:rPr>
                    <w:t>水（</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rPr>
                    <w:t>）</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152646A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损耗量（</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rPr>
                    <w:t>）</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AD15E1E">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循环量（</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lang w:val="en-US" w:eastAsia="zh-CN"/>
                    </w:rPr>
                    <w:t>）</w:t>
                  </w:r>
                </w:p>
              </w:tc>
              <w:tc>
                <w:tcPr>
                  <w:tcW w:w="547" w:type="pct"/>
                  <w:tcBorders>
                    <w:top w:val="single" w:color="auto" w:sz="4" w:space="0"/>
                    <w:left w:val="single" w:color="auto" w:sz="4" w:space="0"/>
                    <w:right w:val="single" w:color="auto" w:sz="4" w:space="0"/>
                  </w:tcBorders>
                  <w:noWrap w:val="0"/>
                  <w:vAlign w:val="center"/>
                </w:tcPr>
                <w:p w14:paraId="28BFC192">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rPr>
                  </w:pPr>
                  <w:r>
                    <w:rPr>
                      <w:rFonts w:hint="eastAsia" w:ascii="Times New Roman" w:hAnsi="Times New Roman" w:eastAsia="宋体" w:cs="Times New Roman"/>
                      <w:smallCaps w:val="0"/>
                      <w:color w:val="auto"/>
                      <w:sz w:val="21"/>
                      <w:szCs w:val="21"/>
                    </w:rPr>
                    <w:t>排水量（</w:t>
                  </w:r>
                  <w:r>
                    <w:rPr>
                      <w:rFonts w:hint="default" w:ascii="Times New Roman" w:hAnsi="Times New Roman" w:eastAsia="宋体" w:cs="Times New Roman"/>
                      <w:smallCaps w:val="0"/>
                      <w:color w:val="auto"/>
                      <w:sz w:val="21"/>
                      <w:szCs w:val="21"/>
                    </w:rPr>
                    <w:t>m</w:t>
                  </w:r>
                  <w:r>
                    <w:rPr>
                      <w:rFonts w:hint="default" w:ascii="Times New Roman" w:hAnsi="Times New Roman" w:eastAsia="宋体" w:cs="Times New Roman"/>
                      <w:smallCaps w:val="0"/>
                      <w:color w:val="auto"/>
                      <w:sz w:val="21"/>
                      <w:szCs w:val="21"/>
                      <w:vertAlign w:val="superscript"/>
                    </w:rPr>
                    <w:t>3</w:t>
                  </w:r>
                  <w:r>
                    <w:rPr>
                      <w:rFonts w:hint="default" w:ascii="Times New Roman" w:hAnsi="Times New Roman" w:eastAsia="宋体" w:cs="Times New Roman"/>
                      <w:smallCaps w:val="0"/>
                      <w:color w:val="auto"/>
                      <w:sz w:val="21"/>
                      <w:szCs w:val="21"/>
                    </w:rPr>
                    <w:t>/d</w:t>
                  </w:r>
                  <w:r>
                    <w:rPr>
                      <w:rFonts w:hint="eastAsia" w:ascii="Times New Roman" w:hAnsi="Times New Roman" w:eastAsia="宋体" w:cs="Times New Roman"/>
                      <w:smallCaps w:val="0"/>
                      <w:color w:val="auto"/>
                      <w:sz w:val="21"/>
                      <w:szCs w:val="21"/>
                    </w:rPr>
                    <w:t>）</w:t>
                  </w:r>
                </w:p>
              </w:tc>
              <w:tc>
                <w:tcPr>
                  <w:tcW w:w="1330" w:type="pct"/>
                  <w:tcBorders>
                    <w:top w:val="single" w:color="auto" w:sz="4" w:space="0"/>
                    <w:left w:val="single" w:color="auto" w:sz="4" w:space="0"/>
                    <w:right w:val="single" w:color="auto" w:sz="4" w:space="0"/>
                  </w:tcBorders>
                  <w:noWrap w:val="0"/>
                  <w:vAlign w:val="center"/>
                </w:tcPr>
                <w:p w14:paraId="551624C5">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废水去向</w:t>
                  </w:r>
                </w:p>
              </w:tc>
            </w:tr>
            <w:tr w14:paraId="5104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14:paraId="04D3F077">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eastAsia="zh-CN"/>
                    </w:rPr>
                  </w:pPr>
                  <w:r>
                    <w:rPr>
                      <w:rFonts w:hint="eastAsia" w:ascii="Times New Roman" w:hAnsi="Times New Roman" w:eastAsia="宋体" w:cs="Times New Roman"/>
                      <w:smallCaps w:val="0"/>
                      <w:color w:val="auto"/>
                      <w:sz w:val="21"/>
                      <w:szCs w:val="21"/>
                      <w:lang w:val="en-US" w:eastAsia="zh-CN"/>
                    </w:rPr>
                    <w:t>1</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32E74811">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员工生活用水</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751C4B78">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0.09</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3BA2EDFC">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0</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6099C3E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0.018</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F57C85B">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0</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0AA90A3">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0.072</w:t>
                  </w:r>
                </w:p>
              </w:tc>
              <w:tc>
                <w:tcPr>
                  <w:tcW w:w="1330" w:type="pct"/>
                  <w:vMerge w:val="restart"/>
                  <w:tcBorders>
                    <w:top w:val="single" w:color="auto" w:sz="4" w:space="0"/>
                    <w:left w:val="single" w:color="auto" w:sz="4" w:space="0"/>
                    <w:right w:val="single" w:color="auto" w:sz="4" w:space="0"/>
                  </w:tcBorders>
                  <w:noWrap w:val="0"/>
                  <w:vAlign w:val="center"/>
                </w:tcPr>
                <w:p w14:paraId="53B20405">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陇县第一污水处理厂</w:t>
                  </w:r>
                </w:p>
              </w:tc>
            </w:tr>
            <w:tr w14:paraId="254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14:paraId="5175DDA7">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eastAsia="zh-CN"/>
                    </w:rPr>
                  </w:pPr>
                  <w:r>
                    <w:rPr>
                      <w:rFonts w:hint="eastAsia" w:ascii="Times New Roman" w:hAnsi="Times New Roman" w:eastAsia="宋体" w:cs="Times New Roman"/>
                      <w:smallCaps w:val="0"/>
                      <w:color w:val="auto"/>
                      <w:sz w:val="21"/>
                      <w:szCs w:val="21"/>
                      <w:lang w:val="en-US" w:eastAsia="zh-CN"/>
                    </w:rPr>
                    <w:t>2</w:t>
                  </w:r>
                </w:p>
              </w:tc>
              <w:tc>
                <w:tcPr>
                  <w:tcW w:w="542" w:type="pct"/>
                  <w:tcBorders>
                    <w:top w:val="single" w:color="auto" w:sz="4" w:space="0"/>
                    <w:left w:val="single" w:color="auto" w:sz="4" w:space="0"/>
                    <w:right w:val="single" w:color="auto" w:sz="4" w:space="0"/>
                  </w:tcBorders>
                  <w:noWrap w:val="0"/>
                  <w:vAlign w:val="center"/>
                </w:tcPr>
                <w:p w14:paraId="3848827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color w:val="auto"/>
                      <w:w w:val="100"/>
                      <w:sz w:val="21"/>
                      <w:lang w:val="en-US" w:eastAsia="zh-CN"/>
                    </w:rPr>
                  </w:pPr>
                  <w:r>
                    <w:rPr>
                      <w:rFonts w:hint="eastAsia" w:cs="Times New Roman"/>
                      <w:color w:val="auto"/>
                      <w:w w:val="100"/>
                      <w:sz w:val="21"/>
                      <w:lang w:val="en-US" w:eastAsia="zh-CN"/>
                    </w:rPr>
                    <w:t>锅炉用水</w:t>
                  </w:r>
                </w:p>
              </w:tc>
              <w:tc>
                <w:tcPr>
                  <w:tcW w:w="576" w:type="pct"/>
                  <w:tcBorders>
                    <w:top w:val="single" w:color="auto" w:sz="4" w:space="0"/>
                    <w:left w:val="single" w:color="auto" w:sz="4" w:space="0"/>
                    <w:right w:val="single" w:color="auto" w:sz="4" w:space="0"/>
                  </w:tcBorders>
                  <w:noWrap w:val="0"/>
                  <w:vAlign w:val="center"/>
                </w:tcPr>
                <w:p w14:paraId="4A4D376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p>
              </w:tc>
              <w:tc>
                <w:tcPr>
                  <w:tcW w:w="548" w:type="pct"/>
                  <w:tcBorders>
                    <w:top w:val="single" w:color="auto" w:sz="4" w:space="0"/>
                    <w:left w:val="single" w:color="auto" w:sz="4" w:space="0"/>
                    <w:right w:val="single" w:color="auto" w:sz="4" w:space="0"/>
                  </w:tcBorders>
                  <w:noWrap w:val="0"/>
                  <w:vAlign w:val="center"/>
                </w:tcPr>
                <w:p w14:paraId="68BD55E1">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79.2</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7D9D0A1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72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123438C">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lang w:val="en-US"/>
                    </w:rPr>
                  </w:pPr>
                  <w:r>
                    <w:rPr>
                      <w:rFonts w:hint="eastAsia" w:cs="Times New Roman"/>
                      <w:smallCaps w:val="0"/>
                      <w:color w:val="auto"/>
                      <w:sz w:val="21"/>
                      <w:szCs w:val="21"/>
                      <w:lang w:val="en-US" w:eastAsia="zh-CN"/>
                    </w:rPr>
                    <w:t>72</w:t>
                  </w:r>
                </w:p>
              </w:tc>
              <w:tc>
                <w:tcPr>
                  <w:tcW w:w="547" w:type="pct"/>
                  <w:tcBorders>
                    <w:top w:val="single" w:color="auto" w:sz="4" w:space="0"/>
                    <w:left w:val="single" w:color="auto" w:sz="4" w:space="0"/>
                    <w:right w:val="single" w:color="auto" w:sz="4" w:space="0"/>
                  </w:tcBorders>
                  <w:noWrap w:val="0"/>
                  <w:vAlign w:val="center"/>
                </w:tcPr>
                <w:p w14:paraId="2533D43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ascii="Times New Roman" w:hAnsi="Times New Roman" w:cs="Times New Roman"/>
                      <w:smallCaps w:val="0"/>
                      <w:color w:val="auto"/>
                      <w:sz w:val="21"/>
                      <w:szCs w:val="21"/>
                      <w:lang w:val="en-US" w:eastAsia="zh-CN"/>
                    </w:rPr>
                    <w:t>7.2</w:t>
                  </w:r>
                </w:p>
              </w:tc>
              <w:tc>
                <w:tcPr>
                  <w:tcW w:w="1330" w:type="pct"/>
                  <w:vMerge w:val="continue"/>
                  <w:tcBorders>
                    <w:left w:val="single" w:color="auto" w:sz="4" w:space="0"/>
                    <w:right w:val="single" w:color="auto" w:sz="4" w:space="0"/>
                  </w:tcBorders>
                  <w:noWrap w:val="0"/>
                  <w:vAlign w:val="center"/>
                </w:tcPr>
                <w:p w14:paraId="1D04A41F">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val="en-US" w:eastAsia="zh-CN"/>
                    </w:rPr>
                  </w:pPr>
                </w:p>
              </w:tc>
            </w:tr>
            <w:tr w14:paraId="3633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14:paraId="6D77C289">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kern w:val="2"/>
                      <w:sz w:val="21"/>
                      <w:szCs w:val="21"/>
                      <w:lang w:val="en-US" w:eastAsia="zh-CN" w:bidi="ar-SA"/>
                    </w:rPr>
                  </w:pPr>
                  <w:r>
                    <w:rPr>
                      <w:rFonts w:hint="eastAsia" w:ascii="Times New Roman" w:hAnsi="Times New Roman" w:eastAsia="宋体" w:cs="Times New Roman"/>
                      <w:smallCaps w:val="0"/>
                      <w:color w:val="auto"/>
                      <w:sz w:val="21"/>
                      <w:szCs w:val="21"/>
                      <w:lang w:val="en-US" w:eastAsia="zh-CN"/>
                    </w:rPr>
                    <w:t>3</w:t>
                  </w:r>
                </w:p>
              </w:tc>
              <w:tc>
                <w:tcPr>
                  <w:tcW w:w="542" w:type="pct"/>
                  <w:tcBorders>
                    <w:left w:val="single" w:color="auto" w:sz="4" w:space="0"/>
                    <w:bottom w:val="single" w:color="auto" w:sz="4" w:space="0"/>
                    <w:right w:val="single" w:color="auto" w:sz="4" w:space="0"/>
                  </w:tcBorders>
                  <w:noWrap w:val="0"/>
                  <w:vAlign w:val="center"/>
                </w:tcPr>
                <w:p w14:paraId="5E46343D">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ascii="Times New Roman" w:hAnsi="Times New Roman" w:eastAsia="宋体" w:cs="Times New Roman"/>
                      <w:color w:val="auto"/>
                      <w:w w:val="100"/>
                      <w:sz w:val="21"/>
                      <w:lang w:val="en-US" w:eastAsia="zh-CN"/>
                    </w:rPr>
                    <w:t>软水处理系统</w:t>
                  </w:r>
                  <w:r>
                    <w:rPr>
                      <w:rFonts w:hint="eastAsia" w:cs="Times New Roman"/>
                      <w:color w:val="auto"/>
                      <w:w w:val="100"/>
                      <w:sz w:val="21"/>
                      <w:lang w:val="en-US" w:eastAsia="zh-CN"/>
                    </w:rPr>
                    <w:t>用</w:t>
                  </w:r>
                  <w:r>
                    <w:rPr>
                      <w:rFonts w:hint="eastAsia" w:ascii="Times New Roman" w:hAnsi="Times New Roman" w:eastAsia="宋体" w:cs="Times New Roman"/>
                      <w:color w:val="auto"/>
                      <w:w w:val="100"/>
                      <w:sz w:val="21"/>
                      <w:lang w:val="en-US" w:eastAsia="zh-CN"/>
                    </w:rPr>
                    <w:t>水</w:t>
                  </w:r>
                </w:p>
              </w:tc>
              <w:tc>
                <w:tcPr>
                  <w:tcW w:w="576" w:type="pct"/>
                  <w:tcBorders>
                    <w:left w:val="single" w:color="auto" w:sz="4" w:space="0"/>
                    <w:right w:val="single" w:color="auto" w:sz="4" w:space="0"/>
                  </w:tcBorders>
                  <w:noWrap w:val="0"/>
                  <w:vAlign w:val="center"/>
                </w:tcPr>
                <w:p w14:paraId="5F69F857">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ascii="Times New Roman" w:cs="宋体"/>
                      <w:color w:val="auto"/>
                      <w:sz w:val="21"/>
                      <w:szCs w:val="21"/>
                      <w:lang w:val="en-US" w:eastAsia="zh-CN"/>
                    </w:rPr>
                    <w:t>83.48</w:t>
                  </w:r>
                </w:p>
              </w:tc>
              <w:tc>
                <w:tcPr>
                  <w:tcW w:w="548" w:type="pct"/>
                  <w:tcBorders>
                    <w:left w:val="single" w:color="auto" w:sz="4" w:space="0"/>
                    <w:right w:val="single" w:color="auto" w:sz="4" w:space="0"/>
                  </w:tcBorders>
                  <w:noWrap w:val="0"/>
                  <w:vAlign w:val="center"/>
                </w:tcPr>
                <w:p w14:paraId="3E734ADA">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ascii="Times New Roman" w:hAnsi="Times New Roman" w:eastAsia="宋体" w:cs="Times New Roman"/>
                      <w:smallCaps w:val="0"/>
                      <w:color w:val="auto"/>
                      <w:kern w:val="2"/>
                      <w:sz w:val="21"/>
                      <w:szCs w:val="21"/>
                      <w:lang w:val="en-US" w:eastAsia="zh-CN" w:bidi="ar-SA"/>
                    </w:rPr>
                    <w:t>0</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6A5F6A57">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0</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FE42105">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0</w:t>
                  </w:r>
                </w:p>
              </w:tc>
              <w:tc>
                <w:tcPr>
                  <w:tcW w:w="547" w:type="pct"/>
                  <w:tcBorders>
                    <w:left w:val="single" w:color="auto" w:sz="4" w:space="0"/>
                    <w:right w:val="single" w:color="auto" w:sz="4" w:space="0"/>
                  </w:tcBorders>
                  <w:noWrap w:val="0"/>
                  <w:vAlign w:val="center"/>
                </w:tcPr>
                <w:p w14:paraId="594D3E4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4.28</w:t>
                  </w:r>
                </w:p>
              </w:tc>
              <w:tc>
                <w:tcPr>
                  <w:tcW w:w="1330" w:type="pct"/>
                  <w:vMerge w:val="continue"/>
                  <w:tcBorders>
                    <w:left w:val="single" w:color="auto" w:sz="4" w:space="0"/>
                    <w:right w:val="single" w:color="auto" w:sz="4" w:space="0"/>
                  </w:tcBorders>
                  <w:noWrap w:val="0"/>
                  <w:vAlign w:val="center"/>
                </w:tcPr>
                <w:p w14:paraId="45081DF0">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kern w:val="2"/>
                      <w:sz w:val="21"/>
                      <w:szCs w:val="21"/>
                      <w:lang w:val="en-US" w:eastAsia="zh-CN" w:bidi="ar-SA"/>
                    </w:rPr>
                  </w:pPr>
                </w:p>
              </w:tc>
            </w:tr>
            <w:tr w14:paraId="578D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78" w:type="pct"/>
                  <w:gridSpan w:val="2"/>
                  <w:tcBorders>
                    <w:top w:val="single" w:color="auto" w:sz="4" w:space="0"/>
                    <w:left w:val="single" w:color="auto" w:sz="4" w:space="0"/>
                    <w:bottom w:val="single" w:color="auto" w:sz="4" w:space="0"/>
                    <w:right w:val="single" w:color="auto" w:sz="4" w:space="0"/>
                  </w:tcBorders>
                  <w:noWrap w:val="0"/>
                  <w:vAlign w:val="center"/>
                </w:tcPr>
                <w:p w14:paraId="0C108831">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val="en-US" w:eastAsia="zh-CN"/>
                    </w:rPr>
                  </w:pPr>
                  <w:r>
                    <w:rPr>
                      <w:rFonts w:hint="eastAsia" w:ascii="Times New Roman" w:hAnsi="Times New Roman" w:eastAsia="宋体" w:cs="Times New Roman"/>
                      <w:smallCaps w:val="0"/>
                      <w:color w:val="auto"/>
                      <w:sz w:val="21"/>
                      <w:szCs w:val="21"/>
                      <w:lang w:val="en-US" w:eastAsia="zh-CN"/>
                    </w:rPr>
                    <w:t>合计</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2E4F3B0D">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83.57</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183F85CD">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p>
              </w:tc>
              <w:tc>
                <w:tcPr>
                  <w:tcW w:w="576" w:type="pct"/>
                  <w:tcBorders>
                    <w:top w:val="single" w:color="auto" w:sz="4" w:space="0"/>
                    <w:left w:val="single" w:color="auto" w:sz="4" w:space="0"/>
                    <w:bottom w:val="single" w:color="auto" w:sz="4" w:space="0"/>
                    <w:right w:val="single" w:color="auto" w:sz="4" w:space="0"/>
                  </w:tcBorders>
                  <w:noWrap w:val="0"/>
                  <w:vAlign w:val="center"/>
                </w:tcPr>
                <w:p w14:paraId="57789318">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72.018</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32CF298B">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77D4CC5F">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宋体" w:cs="Times New Roman"/>
                      <w:smallCaps w:val="0"/>
                      <w:color w:val="auto"/>
                      <w:sz w:val="21"/>
                      <w:szCs w:val="21"/>
                      <w:lang w:val="en-US" w:eastAsia="zh-CN"/>
                    </w:rPr>
                  </w:pPr>
                  <w:r>
                    <w:rPr>
                      <w:rFonts w:hint="eastAsia" w:cs="Times New Roman"/>
                      <w:smallCaps w:val="0"/>
                      <w:color w:val="auto"/>
                      <w:sz w:val="21"/>
                      <w:szCs w:val="21"/>
                      <w:lang w:val="en-US" w:eastAsia="zh-CN"/>
                    </w:rPr>
                    <w:t>11.532</w:t>
                  </w:r>
                </w:p>
              </w:tc>
              <w:tc>
                <w:tcPr>
                  <w:tcW w:w="1330" w:type="pct"/>
                  <w:vMerge w:val="continue"/>
                  <w:tcBorders>
                    <w:left w:val="single" w:color="auto" w:sz="4" w:space="0"/>
                    <w:bottom w:val="single" w:color="auto" w:sz="4" w:space="0"/>
                    <w:right w:val="single" w:color="auto" w:sz="4" w:space="0"/>
                  </w:tcBorders>
                  <w:noWrap w:val="0"/>
                  <w:vAlign w:val="center"/>
                </w:tcPr>
                <w:p w14:paraId="0F7D67D1">
                  <w:pPr>
                    <w:keepNext w:val="0"/>
                    <w:keepLines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宋体" w:cs="Times New Roman"/>
                      <w:smallCaps w:val="0"/>
                      <w:color w:val="auto"/>
                      <w:sz w:val="21"/>
                      <w:szCs w:val="21"/>
                      <w:lang w:val="en-US" w:eastAsia="zh-CN"/>
                    </w:rPr>
                  </w:pPr>
                </w:p>
              </w:tc>
            </w:tr>
          </w:tbl>
          <w:p w14:paraId="17B04C25">
            <w:pPr>
              <w:pStyle w:val="35"/>
              <w:keepNext w:val="0"/>
              <w:keepLines w:val="0"/>
              <w:numPr>
                <w:ilvl w:val="0"/>
                <w:numId w:val="0"/>
              </w:numPr>
              <w:suppressLineNumbers w:val="0"/>
              <w:spacing w:before="0" w:beforeAutospacing="0" w:after="0" w:afterAutospacing="0"/>
              <w:ind w:left="0" w:right="0"/>
              <w:jc w:val="center"/>
              <w:rPr>
                <w:rFonts w:hint="default"/>
              </w:rPr>
            </w:pPr>
          </w:p>
          <w:p w14:paraId="28FBE2BB">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olor w:val="auto"/>
                <w:sz w:val="24"/>
                <w:lang w:val="en-US" w:eastAsia="zh-CN"/>
              </w:rPr>
            </w:pPr>
            <w:r>
              <w:rPr>
                <w:rFonts w:hint="default"/>
              </w:rPr>
              <w:drawing>
                <wp:inline distT="0" distB="0" distL="114300" distR="114300">
                  <wp:extent cx="5930900" cy="2303145"/>
                  <wp:effectExtent l="0" t="0" r="12700"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5930900" cy="2303145"/>
                          </a:xfrm>
                          <a:prstGeom prst="rect">
                            <a:avLst/>
                          </a:prstGeom>
                          <a:noFill/>
                          <a:ln>
                            <a:noFill/>
                          </a:ln>
                        </pic:spPr>
                      </pic:pic>
                    </a:graphicData>
                  </a:graphic>
                </wp:inline>
              </w:drawing>
            </w:r>
          </w:p>
          <w:p w14:paraId="0EF18F92">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图</w:t>
            </w:r>
            <w:r>
              <w:rPr>
                <w:rFonts w:hint="eastAsia" w:ascii="Times New Roman" w:hAnsi="Times New Roman" w:eastAsia="宋体" w:cs="宋体"/>
                <w:b/>
                <w:bCs/>
                <w:color w:val="auto"/>
                <w:sz w:val="21"/>
                <w:szCs w:val="21"/>
                <w:lang w:val="en-US" w:eastAsia="zh-CN"/>
              </w:rPr>
              <w:t xml:space="preserve">2-1 </w:t>
            </w:r>
            <w:r>
              <w:rPr>
                <w:rFonts w:hint="default" w:ascii="Times New Roman" w:hAnsi="Times New Roman" w:eastAsia="宋体" w:cs="宋体"/>
                <w:b/>
                <w:bCs/>
                <w:color w:val="auto"/>
                <w:sz w:val="21"/>
                <w:szCs w:val="21"/>
                <w:lang w:val="en-US" w:eastAsia="zh-CN"/>
              </w:rPr>
              <w:t>项目水平衡图</w:t>
            </w:r>
            <w:r>
              <w:rPr>
                <w:rFonts w:hint="eastAsia" w:ascii="Times New Roman" w:hAnsi="Times New Roman" w:eastAsia="宋体" w:cs="宋体"/>
                <w:b/>
                <w:bCs/>
                <w:color w:val="auto"/>
                <w:sz w:val="21"/>
                <w:szCs w:val="21"/>
                <w:lang w:val="en-US" w:eastAsia="zh-CN"/>
              </w:rPr>
              <w:t xml:space="preserve"> </w:t>
            </w:r>
            <w:r>
              <w:rPr>
                <w:rFonts w:hint="default" w:ascii="Times New Roman" w:hAnsi="Times New Roman" w:eastAsia="宋体" w:cs="宋体"/>
                <w:b/>
                <w:bCs/>
                <w:color w:val="auto"/>
                <w:sz w:val="21"/>
                <w:szCs w:val="21"/>
                <w:lang w:val="en-US" w:eastAsia="zh-CN"/>
              </w:rPr>
              <w:t>单位</w:t>
            </w:r>
            <w:r>
              <w:rPr>
                <w:rFonts w:hint="eastAsia" w:ascii="Times New Roman" w:cs="宋体"/>
                <w:b/>
                <w:bCs/>
                <w:color w:val="auto"/>
                <w:sz w:val="21"/>
                <w:szCs w:val="21"/>
                <w:lang w:val="en-US" w:eastAsia="zh-CN"/>
              </w:rPr>
              <w:t>m</w:t>
            </w:r>
            <w:r>
              <w:rPr>
                <w:rFonts w:hint="eastAsia" w:ascii="Times New Roman" w:cs="宋体"/>
                <w:b/>
                <w:bCs/>
                <w:color w:val="auto"/>
                <w:sz w:val="21"/>
                <w:szCs w:val="21"/>
                <w:vertAlign w:val="superscript"/>
                <w:lang w:val="en-US" w:eastAsia="zh-CN"/>
              </w:rPr>
              <w:t>3</w:t>
            </w:r>
            <w:r>
              <w:rPr>
                <w:rFonts w:hint="default" w:ascii="Times New Roman" w:hAnsi="Times New Roman" w:eastAsia="宋体" w:cs="宋体"/>
                <w:b/>
                <w:bCs/>
                <w:color w:val="auto"/>
                <w:sz w:val="21"/>
                <w:szCs w:val="21"/>
                <w:lang w:val="en-US" w:eastAsia="zh-CN"/>
              </w:rPr>
              <w:t>/d</w:t>
            </w:r>
          </w:p>
          <w:p w14:paraId="368E91A4">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eastAsia" w:ascii="Times New Roman"/>
                <w:color w:val="auto"/>
                <w:sz w:val="24"/>
                <w:lang w:val="en-US" w:eastAsia="zh-CN"/>
              </w:rPr>
              <w:t>（3）</w:t>
            </w:r>
            <w:r>
              <w:rPr>
                <w:rFonts w:hint="default" w:ascii="Times New Roman" w:hAnsi="Times New Roman" w:eastAsia="宋体"/>
                <w:color w:val="auto"/>
                <w:sz w:val="24"/>
                <w:lang w:val="en-US" w:eastAsia="zh-CN"/>
              </w:rPr>
              <w:t>供电</w:t>
            </w:r>
          </w:p>
          <w:p w14:paraId="67D81CFF">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本项目用电有市政外网引入2路10kV电源</w:t>
            </w:r>
            <w:r>
              <w:rPr>
                <w:rFonts w:hint="default" w:ascii="Times New Roman" w:hAnsi="Times New Roman" w:eastAsia="宋体" w:cs="宋体"/>
                <w:color w:val="auto"/>
                <w:sz w:val="24"/>
                <w:lang w:val="en-US" w:eastAsia="zh-CN"/>
              </w:rPr>
              <w:t>。</w:t>
            </w:r>
          </w:p>
          <w:p w14:paraId="3DE9C276">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5</w:t>
            </w:r>
            <w:r>
              <w:rPr>
                <w:rFonts w:hint="default" w:ascii="Times New Roman" w:hAnsi="Times New Roman" w:eastAsia="宋体" w:cs="宋体"/>
                <w:color w:val="auto"/>
                <w:sz w:val="24"/>
                <w:lang w:val="en-US" w:eastAsia="zh-CN"/>
              </w:rPr>
              <w:t>、劳动定员和工作制度</w:t>
            </w:r>
          </w:p>
          <w:p w14:paraId="2F5BA105">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default" w:ascii="Times New Roman" w:hAnsi="Times New Roman" w:eastAsia="宋体" w:cs="宋体"/>
                <w:color w:val="auto"/>
                <w:sz w:val="24"/>
                <w:lang w:val="en-US" w:eastAsia="zh-CN"/>
              </w:rPr>
              <w:t>本项目劳动定员</w:t>
            </w:r>
            <w:r>
              <w:rPr>
                <w:rFonts w:hint="eastAsia" w:ascii="Times New Roman" w:cs="宋体"/>
                <w:color w:val="auto"/>
                <w:sz w:val="24"/>
                <w:lang w:val="en-US" w:eastAsia="zh-CN"/>
              </w:rPr>
              <w:t>3</w:t>
            </w:r>
            <w:r>
              <w:rPr>
                <w:rFonts w:hint="default" w:ascii="Times New Roman" w:hAnsi="Times New Roman" w:eastAsia="宋体" w:cs="宋体"/>
                <w:color w:val="auto"/>
                <w:sz w:val="24"/>
                <w:lang w:val="en-US" w:eastAsia="zh-CN"/>
              </w:rPr>
              <w:t>人，锅炉采暖季年运行1</w:t>
            </w:r>
            <w:r>
              <w:rPr>
                <w:rFonts w:hint="eastAsia" w:ascii="Times New Roman" w:cs="宋体"/>
                <w:color w:val="auto"/>
                <w:sz w:val="24"/>
                <w:lang w:val="en-US" w:eastAsia="zh-CN"/>
              </w:rPr>
              <w:t>2</w:t>
            </w:r>
            <w:r>
              <w:rPr>
                <w:rFonts w:hint="eastAsia" w:ascii="Times New Roman" w:hAnsi="Times New Roman" w:eastAsia="宋体" w:cs="宋体"/>
                <w:color w:val="auto"/>
                <w:sz w:val="24"/>
                <w:lang w:val="en-US" w:eastAsia="zh-CN"/>
              </w:rPr>
              <w:t>0</w:t>
            </w:r>
            <w:r>
              <w:rPr>
                <w:rFonts w:hint="default" w:ascii="Times New Roman" w:hAnsi="Times New Roman" w:eastAsia="宋体" w:cs="宋体"/>
                <w:color w:val="auto"/>
                <w:sz w:val="24"/>
                <w:lang w:val="en-US" w:eastAsia="zh-CN"/>
              </w:rPr>
              <w:t>天，采用三班工作制，每班8小时</w:t>
            </w:r>
            <w:r>
              <w:rPr>
                <w:rFonts w:hint="eastAsia" w:ascii="Times New Roman" w:hAnsi="Times New Roman" w:eastAsia="宋体" w:cs="宋体"/>
                <w:color w:val="auto"/>
                <w:sz w:val="24"/>
                <w:lang w:val="en-US" w:eastAsia="zh-CN"/>
              </w:rPr>
              <w:t>，非采暖季不运行</w:t>
            </w:r>
            <w:r>
              <w:rPr>
                <w:rFonts w:hint="default" w:ascii="Times New Roman" w:hAnsi="Times New Roman" w:eastAsia="宋体" w:cs="宋体"/>
                <w:color w:val="auto"/>
                <w:sz w:val="24"/>
                <w:lang w:val="en-US" w:eastAsia="zh-CN"/>
              </w:rPr>
              <w:t>。</w:t>
            </w:r>
          </w:p>
          <w:p w14:paraId="15C2A682">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lang w:val="en-US" w:eastAsia="zh-CN"/>
              </w:rPr>
            </w:pPr>
            <w:r>
              <w:rPr>
                <w:rFonts w:hint="eastAsia" w:ascii="Times New Roman" w:cs="宋体"/>
                <w:color w:val="auto"/>
                <w:sz w:val="24"/>
                <w:lang w:val="en-US" w:eastAsia="zh-CN"/>
              </w:rPr>
              <w:t>6</w:t>
            </w:r>
            <w:r>
              <w:rPr>
                <w:rFonts w:hint="default" w:ascii="Times New Roman" w:hAnsi="Times New Roman" w:eastAsia="宋体" w:cs="宋体"/>
                <w:color w:val="auto"/>
                <w:sz w:val="24"/>
                <w:lang w:val="en-US" w:eastAsia="zh-CN"/>
              </w:rPr>
              <w:t>、厂区平面布置</w:t>
            </w:r>
          </w:p>
          <w:p w14:paraId="1B5377CD">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olor w:val="auto"/>
                <w:sz w:val="24"/>
                <w:lang w:val="en-US" w:eastAsia="zh-CN"/>
              </w:rPr>
            </w:pPr>
            <w:r>
              <w:rPr>
                <w:rFonts w:hint="default" w:ascii="Times New Roman" w:hAnsi="Times New Roman" w:eastAsia="宋体" w:cs="宋体"/>
                <w:color w:val="auto"/>
                <w:sz w:val="24"/>
                <w:lang w:val="en-US" w:eastAsia="zh-CN"/>
              </w:rPr>
              <w:t>项目锅炉房位于</w:t>
            </w:r>
            <w:r>
              <w:rPr>
                <w:rFonts w:hint="eastAsia" w:ascii="Times New Roman" w:cs="宋体"/>
                <w:color w:val="auto"/>
                <w:sz w:val="24"/>
                <w:lang w:val="en-US" w:eastAsia="zh-CN"/>
              </w:rPr>
              <w:t>陇县第一污水处理厂</w:t>
            </w:r>
            <w:r>
              <w:rPr>
                <w:rFonts w:hint="default" w:ascii="Times New Roman" w:hAnsi="Times New Roman" w:eastAsia="宋体" w:cs="宋体"/>
                <w:color w:val="auto"/>
                <w:sz w:val="24"/>
                <w:lang w:val="en-US" w:eastAsia="zh-CN"/>
              </w:rPr>
              <w:t>内</w:t>
            </w:r>
            <w:r>
              <w:rPr>
                <w:rFonts w:hint="eastAsia" w:ascii="Times New Roman" w:cs="宋体"/>
                <w:color w:val="auto"/>
                <w:sz w:val="24"/>
                <w:lang w:val="en-US" w:eastAsia="zh-CN"/>
              </w:rPr>
              <w:t>西北</w:t>
            </w:r>
            <w:r>
              <w:rPr>
                <w:rFonts w:hint="default" w:ascii="Times New Roman" w:hAnsi="Times New Roman" w:eastAsia="宋体" w:cs="宋体"/>
                <w:color w:val="auto"/>
                <w:sz w:val="24"/>
                <w:lang w:val="en-US" w:eastAsia="zh-CN"/>
              </w:rPr>
              <w:t>侧，其内部</w:t>
            </w:r>
            <w:r>
              <w:rPr>
                <w:rFonts w:hint="eastAsia" w:ascii="Times New Roman" w:cs="宋体"/>
                <w:color w:val="auto"/>
                <w:sz w:val="24"/>
                <w:lang w:val="en-US" w:eastAsia="zh-CN"/>
              </w:rPr>
              <w:t>布置污水源热泵、</w:t>
            </w:r>
            <w:r>
              <w:rPr>
                <w:rFonts w:hint="default" w:ascii="Times New Roman" w:hAnsi="Times New Roman" w:eastAsia="宋体" w:cs="宋体"/>
                <w:color w:val="auto"/>
                <w:sz w:val="24"/>
                <w:lang w:val="en-US" w:eastAsia="zh-CN"/>
              </w:rPr>
              <w:t>3t</w:t>
            </w:r>
            <w:r>
              <w:rPr>
                <w:rFonts w:hint="eastAsia" w:ascii="Times New Roman" w:cs="宋体"/>
                <w:color w:val="auto"/>
                <w:sz w:val="24"/>
                <w:lang w:val="en-US" w:eastAsia="zh-CN"/>
              </w:rPr>
              <w:t>/h</w:t>
            </w:r>
            <w:r>
              <w:rPr>
                <w:rFonts w:hint="default" w:ascii="Times New Roman" w:hAnsi="Times New Roman" w:eastAsia="宋体" w:cs="宋体"/>
                <w:color w:val="auto"/>
                <w:sz w:val="24"/>
                <w:lang w:val="en-US" w:eastAsia="zh-CN"/>
              </w:rPr>
              <w:t>燃气锅炉、循环泵、给水泵、软化水箱、软化器，锅炉房内部结构紧凑，布置合理，具体见附图</w:t>
            </w:r>
            <w:r>
              <w:rPr>
                <w:rFonts w:hint="eastAsia" w:ascii="Times New Roman" w:cs="宋体"/>
                <w:color w:val="auto"/>
                <w:sz w:val="24"/>
                <w:lang w:val="en-US" w:eastAsia="zh-CN"/>
              </w:rPr>
              <w:t>四</w:t>
            </w:r>
            <w:r>
              <w:rPr>
                <w:rFonts w:hint="default" w:ascii="Times New Roman" w:hAnsi="Times New Roman" w:eastAsia="宋体" w:cs="宋体"/>
                <w:color w:val="auto"/>
                <w:sz w:val="24"/>
                <w:lang w:val="en-US" w:eastAsia="zh-CN"/>
              </w:rPr>
              <w:t>。</w:t>
            </w:r>
          </w:p>
        </w:tc>
      </w:tr>
      <w:tr w14:paraId="59BB7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364" w:type="pct"/>
            <w:noWrap w:val="0"/>
            <w:vAlign w:val="center"/>
          </w:tcPr>
          <w:p w14:paraId="7957FD60">
            <w:pPr>
              <w:pStyle w:val="1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1"/>
              </w:rPr>
            </w:pPr>
            <w:r>
              <w:rPr>
                <w:rFonts w:hint="eastAsia" w:ascii="Times New Roman" w:hAnsi="Times New Roman" w:eastAsia="宋体" w:cs="宋体"/>
                <w:color w:val="auto"/>
                <w:sz w:val="21"/>
                <w:szCs w:val="21"/>
              </w:rPr>
              <w:t>工艺流程和产排污环节</w:t>
            </w:r>
          </w:p>
        </w:tc>
        <w:tc>
          <w:tcPr>
            <w:tcW w:w="4635" w:type="pct"/>
            <w:noWrap w:val="0"/>
            <w:vAlign w:val="top"/>
          </w:tcPr>
          <w:p w14:paraId="7D8980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cs="宋体"/>
                <w:color w:val="auto"/>
                <w:sz w:val="24"/>
                <w:szCs w:val="21"/>
                <w:lang w:val="en-US" w:eastAsia="zh-CN"/>
              </w:rPr>
            </w:pPr>
            <w:r>
              <w:rPr>
                <w:rFonts w:hint="eastAsia" w:ascii="Times New Roman" w:hAnsi="Times New Roman" w:eastAsia="宋体" w:cs="宋体"/>
                <w:color w:val="auto"/>
                <w:kern w:val="2"/>
                <w:sz w:val="24"/>
                <w:szCs w:val="21"/>
                <w:lang w:val="en-US" w:eastAsia="zh-CN" w:bidi="ar-SA"/>
              </w:rPr>
              <w:t>1、</w:t>
            </w:r>
            <w:r>
              <w:rPr>
                <w:rFonts w:hint="eastAsia" w:cs="宋体"/>
                <w:color w:val="auto"/>
                <w:sz w:val="24"/>
                <w:szCs w:val="21"/>
                <w:lang w:val="en-US" w:eastAsia="zh-CN"/>
              </w:rPr>
              <w:t>工艺流程</w:t>
            </w:r>
          </w:p>
          <w:p w14:paraId="3BC622D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项目</w:t>
            </w:r>
            <w:r>
              <w:rPr>
                <w:rFonts w:hint="eastAsia" w:cs="宋体"/>
                <w:color w:val="auto"/>
                <w:sz w:val="24"/>
                <w:szCs w:val="21"/>
                <w:lang w:val="en-US" w:eastAsia="zh-CN"/>
              </w:rPr>
              <w:t>运营期</w:t>
            </w:r>
            <w:r>
              <w:rPr>
                <w:rFonts w:hint="eastAsia" w:ascii="Times New Roman" w:hAnsi="Times New Roman" w:eastAsia="宋体" w:cs="宋体"/>
                <w:color w:val="auto"/>
                <w:sz w:val="24"/>
                <w:szCs w:val="21"/>
              </w:rPr>
              <w:t>工艺流程图及产污环节见图</w:t>
            </w:r>
            <w:r>
              <w:rPr>
                <w:rFonts w:hint="eastAsia" w:ascii="Times New Roman" w:hAnsi="Times New Roman" w:eastAsia="宋体" w:cs="宋体"/>
                <w:color w:val="auto"/>
                <w:sz w:val="24"/>
                <w:szCs w:val="21"/>
                <w:lang w:val="en-US" w:eastAsia="zh-CN"/>
              </w:rPr>
              <w:t>2-2</w:t>
            </w:r>
            <w:r>
              <w:rPr>
                <w:rFonts w:hint="eastAsia" w:ascii="Times New Roman" w:hAnsi="Times New Roman" w:eastAsia="宋体" w:cs="宋体"/>
                <w:color w:val="auto"/>
                <w:sz w:val="24"/>
                <w:szCs w:val="21"/>
              </w:rPr>
              <w:t>。</w:t>
            </w:r>
          </w:p>
          <w:p w14:paraId="497FC889">
            <w:pPr>
              <w:pStyle w:val="10"/>
              <w:keepNext w:val="0"/>
              <w:keepLines w:val="0"/>
              <w:suppressLineNumbers w:val="0"/>
              <w:spacing w:before="0" w:beforeAutospacing="0" w:afterAutospacing="0"/>
              <w:ind w:left="0" w:leftChars="0" w:firstLine="0" w:firstLineChars="0"/>
              <w:rPr>
                <w:rFonts w:hint="eastAsia"/>
              </w:rPr>
            </w:pPr>
            <w:r>
              <w:rPr>
                <w:rFonts w:hint="default"/>
              </w:rPr>
              <w:drawing>
                <wp:inline distT="0" distB="0" distL="114300" distR="114300">
                  <wp:extent cx="5907405" cy="3192780"/>
                  <wp:effectExtent l="0" t="0" r="1714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07405" cy="3192780"/>
                          </a:xfrm>
                          <a:prstGeom prst="rect">
                            <a:avLst/>
                          </a:prstGeom>
                          <a:noFill/>
                          <a:ln>
                            <a:noFill/>
                          </a:ln>
                        </pic:spPr>
                      </pic:pic>
                    </a:graphicData>
                  </a:graphic>
                </wp:inline>
              </w:drawing>
            </w:r>
          </w:p>
          <w:p w14:paraId="6B042EF3">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 xml:space="preserve">图2-2 </w:t>
            </w:r>
            <w:r>
              <w:rPr>
                <w:rFonts w:hint="eastAsia" w:ascii="Times New Roman" w:cs="宋体"/>
                <w:b/>
                <w:bCs/>
                <w:color w:val="auto"/>
                <w:sz w:val="21"/>
                <w:szCs w:val="21"/>
                <w:lang w:val="en-US" w:eastAsia="zh-CN"/>
              </w:rPr>
              <w:t>项目供热站系统工艺流程图</w:t>
            </w:r>
          </w:p>
          <w:p w14:paraId="59E769E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运营期工艺流程简述：</w:t>
            </w:r>
          </w:p>
          <w:p w14:paraId="1821269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szCs w:val="21"/>
                <w:lang w:val="en-US" w:eastAsia="zh-CN"/>
              </w:rPr>
            </w:pPr>
            <w:r>
              <w:rPr>
                <w:rFonts w:hint="eastAsia" w:ascii="Times New Roman" w:hAnsi="Times New Roman" w:eastAsia="宋体" w:cs="宋体"/>
                <w:color w:val="auto"/>
                <w:sz w:val="24"/>
                <w:szCs w:val="21"/>
              </w:rPr>
              <w:t>（1）</w:t>
            </w:r>
            <w:r>
              <w:rPr>
                <w:rFonts w:hint="eastAsia" w:ascii="Times New Roman" w:cs="宋体"/>
                <w:color w:val="auto"/>
                <w:sz w:val="24"/>
                <w:szCs w:val="21"/>
                <w:lang w:val="en-US" w:eastAsia="zh-CN"/>
              </w:rPr>
              <w:t>天然气蒸汽锅炉</w:t>
            </w:r>
          </w:p>
          <w:p w14:paraId="527BF1B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本项目燃气锅炉房使用市政天然气。锅炉原水通过软水制备器后变成软水进入天然气蒸汽锅炉。</w:t>
            </w:r>
          </w:p>
          <w:p w14:paraId="0E6DA23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天然气蒸汽锅炉是以天然气为燃料的热能转换装置</w:t>
            </w:r>
            <w:r>
              <w:rPr>
                <w:rFonts w:hint="eastAsia" w:ascii="Times New Roman" w:cs="宋体"/>
                <w:color w:val="auto"/>
                <w:sz w:val="24"/>
                <w:szCs w:val="21"/>
                <w:lang w:eastAsia="zh-CN"/>
              </w:rPr>
              <w:t>：</w:t>
            </w:r>
            <w:r>
              <w:rPr>
                <w:rFonts w:hint="eastAsia" w:ascii="Times New Roman" w:hAnsi="Times New Roman" w:eastAsia="宋体" w:cs="宋体"/>
                <w:color w:val="auto"/>
                <w:sz w:val="24"/>
                <w:szCs w:val="21"/>
              </w:rPr>
              <w:t>炉膛内释放的热量，加热罐内的水，以及将水汽化为蒸汽的热能。锅炉内的水由锅炉内燃气燃烧释放的能量加热。温度升高，产生加压蒸汽。锅炉内的水蒸气在锅炉内等压加热至饱和水，然后汽化。</w:t>
            </w:r>
          </w:p>
          <w:p w14:paraId="566C7A3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lang w:eastAsia="zh-CN"/>
              </w:rPr>
            </w:pPr>
            <w:r>
              <w:rPr>
                <w:rFonts w:hint="eastAsia" w:ascii="Times New Roman" w:hAnsi="Times New Roman" w:eastAsia="宋体" w:cs="宋体"/>
                <w:color w:val="auto"/>
                <w:sz w:val="24"/>
                <w:szCs w:val="21"/>
              </w:rPr>
              <w:t>（2）</w:t>
            </w:r>
            <w:r>
              <w:rPr>
                <w:rFonts w:hint="eastAsia" w:ascii="Times New Roman" w:cs="宋体"/>
                <w:color w:val="auto"/>
                <w:sz w:val="24"/>
                <w:szCs w:val="21"/>
                <w:lang w:val="en-US" w:eastAsia="zh-CN"/>
              </w:rPr>
              <w:t>低氮燃烧原理</w:t>
            </w:r>
          </w:p>
          <w:p w14:paraId="0037CEC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本项目采用常压天然气由市政天然气管道供给新增燃气锅炉。天然气锅炉自带低氮燃烧器，将空气和天然气在进入燃烧室之前按比例完全混合，使天然气充分燃烧的同时，降低空气的需求量，提高烟气露点，使烟气尽早进入冷凝阶段，以进一步提高燃烧效率</w:t>
            </w:r>
            <w:r>
              <w:rPr>
                <w:rFonts w:hint="eastAsia" w:ascii="Times New Roman" w:cs="宋体"/>
                <w:color w:val="auto"/>
                <w:sz w:val="24"/>
                <w:szCs w:val="21"/>
                <w:lang w:eastAsia="zh-CN"/>
              </w:rPr>
              <w:t>，</w:t>
            </w:r>
            <w:r>
              <w:rPr>
                <w:rFonts w:hint="eastAsia" w:ascii="Times New Roman" w:hAnsi="Times New Roman" w:eastAsia="宋体" w:cs="宋体"/>
                <w:color w:val="auto"/>
                <w:sz w:val="24"/>
                <w:szCs w:val="21"/>
              </w:rPr>
              <w:t>同时还降低火焰温度以减少NOx的生成量。</w:t>
            </w:r>
          </w:p>
          <w:p w14:paraId="433FF66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sz w:val="24"/>
                <w:szCs w:val="21"/>
                <w:lang w:val="en-US" w:eastAsia="zh-CN"/>
              </w:rPr>
            </w:pPr>
            <w:r>
              <w:rPr>
                <w:rFonts w:hint="eastAsia" w:ascii="Times New Roman" w:hAnsi="Times New Roman" w:eastAsia="宋体" w:cs="宋体"/>
                <w:color w:val="auto"/>
                <w:sz w:val="24"/>
                <w:szCs w:val="21"/>
              </w:rPr>
              <w:t>（3）</w:t>
            </w:r>
            <w:r>
              <w:rPr>
                <w:rFonts w:hint="eastAsia" w:ascii="Times New Roman" w:cs="宋体"/>
                <w:color w:val="auto"/>
                <w:sz w:val="24"/>
                <w:szCs w:val="21"/>
                <w:lang w:val="en-US" w:eastAsia="zh-CN"/>
              </w:rPr>
              <w:t>软水处理装置系统</w:t>
            </w:r>
          </w:p>
          <w:p w14:paraId="3ACBCC2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本项目</w:t>
            </w:r>
            <w:r>
              <w:rPr>
                <w:rFonts w:hint="eastAsia" w:ascii="Times New Roman" w:cs="宋体"/>
                <w:color w:val="auto"/>
                <w:sz w:val="24"/>
                <w:szCs w:val="21"/>
                <w:lang w:val="en-US" w:eastAsia="zh-CN"/>
              </w:rPr>
              <w:t>使用</w:t>
            </w:r>
            <w:r>
              <w:rPr>
                <w:rFonts w:hint="eastAsia" w:ascii="Times New Roman" w:hAnsi="Times New Roman" w:eastAsia="宋体" w:cs="宋体"/>
                <w:color w:val="auto"/>
                <w:sz w:val="24"/>
                <w:szCs w:val="21"/>
              </w:rPr>
              <w:t>软水装置制备锅炉用水。软水制备装置采用“离子交换树脂”的处理工艺。原水经原水泵提升至钠离子交换罐，组成水中硬度的钙、镁离子与软化器中的离子交换树脂进行交换，水中的钙、镁离子被钠离子交换，从而获得软化水。软水制备系统原水采用</w:t>
            </w:r>
            <w:r>
              <w:rPr>
                <w:rFonts w:hint="eastAsia" w:ascii="Times New Roman" w:cs="宋体"/>
                <w:color w:val="auto"/>
                <w:sz w:val="24"/>
                <w:szCs w:val="21"/>
                <w:lang w:val="en-US" w:eastAsia="zh-CN"/>
              </w:rPr>
              <w:t>新鲜自来水</w:t>
            </w:r>
            <w:r>
              <w:rPr>
                <w:rFonts w:hint="eastAsia" w:ascii="Times New Roman" w:hAnsi="Times New Roman" w:eastAsia="宋体" w:cs="宋体"/>
                <w:color w:val="auto"/>
                <w:sz w:val="24"/>
                <w:szCs w:val="21"/>
              </w:rPr>
              <w:t>，出水效率达到 95%以上。软化水出水水质达不到锅炉用水要求时，对离子交换树脂进行更换。</w:t>
            </w:r>
          </w:p>
          <w:p w14:paraId="50E8A63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（4）</w:t>
            </w:r>
            <w:r>
              <w:rPr>
                <w:rFonts w:hint="eastAsia" w:ascii="Times New Roman" w:cs="宋体"/>
                <w:color w:val="auto"/>
                <w:sz w:val="24"/>
                <w:szCs w:val="21"/>
                <w:lang w:val="en-US" w:eastAsia="zh-CN"/>
              </w:rPr>
              <w:t>污水源热泵系统</w:t>
            </w:r>
          </w:p>
          <w:p w14:paraId="701CE45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热泵系统为热泵机组换热器中的制冷剂直接同污水进行热交换，提取污水中的热量。本项目主要利用</w:t>
            </w:r>
            <w:r>
              <w:rPr>
                <w:rFonts w:hint="eastAsia" w:ascii="Times New Roman" w:cs="宋体"/>
                <w:color w:val="auto"/>
                <w:sz w:val="24"/>
                <w:szCs w:val="21"/>
                <w:lang w:val="en-US" w:eastAsia="zh-CN"/>
              </w:rPr>
              <w:t>陇县第一污水处理厂</w:t>
            </w:r>
            <w:r>
              <w:rPr>
                <w:rFonts w:hint="eastAsia" w:ascii="Times New Roman" w:hAnsi="Times New Roman" w:eastAsia="宋体" w:cs="宋体"/>
                <w:color w:val="auto"/>
                <w:sz w:val="24"/>
                <w:szCs w:val="21"/>
              </w:rPr>
              <w:t>出水作为热源，通过水源热泵机组提取热量后最后转化为高品位热能，为建筑供暖。</w:t>
            </w:r>
          </w:p>
          <w:p w14:paraId="7F1E23C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①12℃左右的污水通过缓冲水池经污水取用泵提升，进入热泵机组释热，将从污水中获取的热量传递给热泵机组后，以5.5℃左右排放至原有排海泵入口池中，实现污水循环</w:t>
            </w:r>
          </w:p>
          <w:p w14:paraId="590CA2D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1"/>
              </w:rPr>
            </w:pPr>
            <w:r>
              <w:rPr>
                <w:rFonts w:hint="eastAsia" w:ascii="Times New Roman" w:hAnsi="Times New Roman" w:eastAsia="宋体" w:cs="宋体"/>
                <w:color w:val="auto"/>
                <w:sz w:val="24"/>
                <w:szCs w:val="21"/>
              </w:rPr>
              <w:t>②37℃左右的末端系统回水经末端循环泵输送，进入热泵机组进行换热，将热泵机组从污水中转化来的高温热量吸收，再以47℃左右的末端供水进入末端散热设备将热量释放给</w:t>
            </w:r>
            <w:r>
              <w:rPr>
                <w:rFonts w:hint="eastAsia" w:ascii="Times New Roman" w:cs="宋体"/>
                <w:color w:val="auto"/>
                <w:sz w:val="24"/>
                <w:szCs w:val="21"/>
                <w:lang w:val="en-US" w:eastAsia="zh-CN"/>
              </w:rPr>
              <w:t>供热管网</w:t>
            </w:r>
            <w:r>
              <w:rPr>
                <w:rFonts w:hint="eastAsia" w:ascii="Times New Roman" w:hAnsi="Times New Roman" w:eastAsia="宋体" w:cs="宋体"/>
                <w:color w:val="auto"/>
                <w:sz w:val="24"/>
                <w:szCs w:val="21"/>
              </w:rPr>
              <w:t>，实现末端循环，为建筑供暖。本期拟采用的取退水方案为</w:t>
            </w:r>
            <w:r>
              <w:rPr>
                <w:rFonts w:hint="eastAsia" w:ascii="Times New Roman" w:cs="宋体"/>
                <w:color w:val="auto"/>
                <w:sz w:val="24"/>
                <w:szCs w:val="21"/>
                <w:lang w:eastAsia="zh-CN"/>
              </w:rPr>
              <w:t>：</w:t>
            </w:r>
            <w:r>
              <w:rPr>
                <w:rFonts w:hint="eastAsia" w:ascii="Times New Roman" w:hAnsi="Times New Roman" w:eastAsia="宋体" w:cs="宋体"/>
                <w:color w:val="auto"/>
                <w:sz w:val="24"/>
                <w:szCs w:val="21"/>
              </w:rPr>
              <w:t>取水点为污水处理厂处理达标后的尾水管，在尾水管后设置一座调蓄水池，将尾水引至调蓄水池，再经取水泵站内设置的加压泵加压供至能源站内的污水源热泵系统，经热泵利用后排至城市排水箱涵。本项目设计取水量为8000-10000m</w:t>
            </w:r>
            <w:r>
              <w:rPr>
                <w:rFonts w:hint="eastAsia" w:ascii="Times New Roman" w:cs="宋体"/>
                <w:color w:val="auto"/>
                <w:sz w:val="24"/>
                <w:szCs w:val="21"/>
                <w:vertAlign w:val="superscript"/>
                <w:lang w:val="en-US" w:eastAsia="zh-CN"/>
              </w:rPr>
              <w:t>3</w:t>
            </w:r>
            <w:r>
              <w:rPr>
                <w:rFonts w:hint="eastAsia" w:ascii="Times New Roman" w:hAnsi="Times New Roman" w:eastAsia="宋体" w:cs="宋体"/>
                <w:color w:val="auto"/>
                <w:sz w:val="24"/>
                <w:szCs w:val="21"/>
              </w:rPr>
              <w:t>/d</w:t>
            </w:r>
            <w:r>
              <w:rPr>
                <w:rFonts w:hint="eastAsia" w:ascii="Times New Roman" w:cs="宋体"/>
                <w:color w:val="auto"/>
                <w:sz w:val="24"/>
                <w:szCs w:val="21"/>
                <w:lang w:eastAsia="zh-CN"/>
              </w:rPr>
              <w:t>，</w:t>
            </w:r>
            <w:r>
              <w:rPr>
                <w:rFonts w:hint="eastAsia" w:ascii="Times New Roman" w:hAnsi="Times New Roman" w:eastAsia="宋体" w:cs="宋体"/>
                <w:color w:val="auto"/>
                <w:sz w:val="24"/>
                <w:szCs w:val="21"/>
              </w:rPr>
              <w:t>即0.1m</w:t>
            </w:r>
            <w:r>
              <w:rPr>
                <w:rFonts w:hint="eastAsia" w:ascii="Times New Roman" w:cs="宋体"/>
                <w:color w:val="auto"/>
                <w:sz w:val="24"/>
                <w:szCs w:val="21"/>
                <w:vertAlign w:val="superscript"/>
                <w:lang w:val="en-US" w:eastAsia="zh-CN"/>
              </w:rPr>
              <w:t>3</w:t>
            </w:r>
            <w:r>
              <w:rPr>
                <w:rFonts w:hint="eastAsia" w:ascii="Times New Roman" w:hAnsi="Times New Roman" w:eastAsia="宋体" w:cs="宋体"/>
                <w:color w:val="auto"/>
                <w:sz w:val="24"/>
                <w:szCs w:val="21"/>
              </w:rPr>
              <w:t>/s。热泵机组故障停机检修时，污水厂尾水不进供热站，直接旁通流入排水箱涵。</w:t>
            </w:r>
          </w:p>
          <w:p w14:paraId="075A0D56">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480" w:firstLineChars="200"/>
              <w:jc w:val="both"/>
              <w:textAlignment w:val="auto"/>
              <w:rPr>
                <w:rFonts w:hint="default" w:ascii="Times New Roman" w:cs="宋体"/>
                <w:color w:val="auto"/>
                <w:sz w:val="24"/>
                <w:szCs w:val="21"/>
                <w:lang w:val="en-US" w:eastAsia="zh-CN"/>
              </w:rPr>
            </w:pPr>
            <w:r>
              <w:rPr>
                <w:rFonts w:hint="eastAsia" w:ascii="Times New Roman" w:cs="宋体"/>
                <w:color w:val="auto"/>
                <w:sz w:val="24"/>
                <w:szCs w:val="21"/>
                <w:lang w:val="en-US" w:eastAsia="zh-CN" w:bidi="ar-SA"/>
              </w:rPr>
              <w:t>2</w:t>
            </w:r>
            <w:r>
              <w:rPr>
                <w:rFonts w:hint="default" w:ascii="Times New Roman" w:hAnsi="Times New Roman" w:eastAsia="宋体" w:cs="宋体"/>
                <w:color w:val="auto"/>
                <w:sz w:val="24"/>
                <w:szCs w:val="21"/>
                <w:lang w:val="en-US" w:eastAsia="zh-CN" w:bidi="ar-SA"/>
              </w:rPr>
              <w:t>、</w:t>
            </w:r>
            <w:r>
              <w:rPr>
                <w:rFonts w:hint="eastAsia" w:ascii="Times New Roman" w:cs="宋体"/>
                <w:color w:val="auto"/>
                <w:sz w:val="24"/>
                <w:szCs w:val="21"/>
                <w:lang w:val="en-US" w:eastAsia="zh-CN"/>
              </w:rPr>
              <w:t>产污环节</w:t>
            </w:r>
          </w:p>
          <w:p w14:paraId="699CAA4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cs="宋体"/>
                <w:color w:val="auto"/>
                <w:sz w:val="24"/>
                <w:szCs w:val="21"/>
                <w:lang w:val="en-US" w:eastAsia="zh-CN"/>
              </w:rPr>
            </w:pPr>
            <w:r>
              <w:rPr>
                <w:rFonts w:hint="eastAsia" w:ascii="Times New Roman" w:hAnsi="Times New Roman" w:eastAsia="宋体" w:cs="宋体"/>
                <w:color w:val="auto"/>
                <w:sz w:val="24"/>
                <w:szCs w:val="21"/>
                <w:lang w:val="en-US" w:eastAsia="zh-CN"/>
              </w:rPr>
              <w:t>锅炉烟气中的大气污染物主要为颗粒物、S</w:t>
            </w:r>
            <w:r>
              <w:rPr>
                <w:rFonts w:hint="eastAsia" w:ascii="Times New Roman" w:hAnsi="Times New Roman" w:cs="宋体"/>
                <w:color w:val="auto"/>
                <w:sz w:val="24"/>
                <w:szCs w:val="21"/>
                <w:lang w:val="en-US" w:eastAsia="zh-CN"/>
              </w:rPr>
              <w:t>O</w:t>
            </w:r>
            <w:r>
              <w:rPr>
                <w:rFonts w:hint="eastAsia" w:ascii="Times New Roman" w:hAnsi="Times New Roman" w:cs="宋体"/>
                <w:color w:val="auto"/>
                <w:sz w:val="24"/>
                <w:szCs w:val="21"/>
                <w:vertAlign w:val="subscript"/>
                <w:lang w:val="en-US" w:eastAsia="zh-CN"/>
              </w:rPr>
              <w:t>2</w:t>
            </w:r>
            <w:r>
              <w:rPr>
                <w:rFonts w:hint="eastAsia" w:ascii="Times New Roman" w:hAnsi="Times New Roman" w:eastAsia="宋体" w:cs="宋体"/>
                <w:color w:val="auto"/>
                <w:sz w:val="24"/>
                <w:szCs w:val="21"/>
                <w:lang w:val="en-US" w:eastAsia="zh-CN"/>
              </w:rPr>
              <w:t>和 NO</w:t>
            </w:r>
            <w:r>
              <w:rPr>
                <w:rFonts w:hint="eastAsia" w:ascii="Times New Roman" w:hAnsi="Times New Roman" w:cs="宋体"/>
                <w:color w:val="auto"/>
                <w:sz w:val="24"/>
                <w:szCs w:val="21"/>
                <w:lang w:val="en-US" w:eastAsia="zh-CN"/>
              </w:rPr>
              <w:t>x，</w:t>
            </w:r>
            <w:r>
              <w:rPr>
                <w:rFonts w:hint="eastAsia" w:ascii="Times New Roman" w:hAnsi="Times New Roman" w:eastAsia="宋体" w:cs="宋体"/>
                <w:color w:val="auto"/>
                <w:sz w:val="24"/>
                <w:szCs w:val="21"/>
                <w:lang w:val="en-US" w:eastAsia="zh-CN"/>
              </w:rPr>
              <w:t>排放浓度满足《锅炉大气污染物排放标准》</w:t>
            </w:r>
            <w:r>
              <w:rPr>
                <w:rFonts w:hint="eastAsia" w:ascii="Times New Roman" w:hAnsi="Times New Roman" w:cs="宋体"/>
                <w:color w:val="auto"/>
                <w:sz w:val="24"/>
                <w:szCs w:val="21"/>
                <w:lang w:val="en-US" w:eastAsia="zh-CN"/>
              </w:rPr>
              <w:t>（</w:t>
            </w:r>
            <w:r>
              <w:rPr>
                <w:rFonts w:hint="eastAsia" w:ascii="Times New Roman" w:hAnsi="Times New Roman" w:eastAsia="宋体" w:cs="宋体"/>
                <w:color w:val="auto"/>
                <w:sz w:val="24"/>
                <w:szCs w:val="21"/>
                <w:lang w:val="en-US" w:eastAsia="zh-CN"/>
              </w:rPr>
              <w:t>DB61/1226-2018</w:t>
            </w:r>
            <w:r>
              <w:rPr>
                <w:rFonts w:hint="eastAsia" w:ascii="Times New Roman" w:hAnsi="Times New Roman" w:cs="宋体"/>
                <w:color w:val="auto"/>
                <w:sz w:val="24"/>
                <w:szCs w:val="21"/>
                <w:lang w:val="en-US" w:eastAsia="zh-CN"/>
              </w:rPr>
              <w:t>）</w:t>
            </w:r>
            <w:r>
              <w:rPr>
                <w:rFonts w:hint="eastAsia" w:ascii="Times New Roman" w:hAnsi="Times New Roman" w:eastAsia="宋体" w:cs="宋体"/>
                <w:color w:val="auto"/>
                <w:sz w:val="24"/>
                <w:szCs w:val="21"/>
                <w:lang w:val="en-US" w:eastAsia="zh-CN"/>
              </w:rPr>
              <w:t>中燃气锅炉大气污染物排放浓度限值</w:t>
            </w:r>
            <w:r>
              <w:rPr>
                <w:rFonts w:hint="eastAsia" w:ascii="Times New Roman" w:hAnsi="Times New Roman" w:cs="宋体"/>
                <w:color w:val="auto"/>
                <w:sz w:val="24"/>
                <w:szCs w:val="21"/>
                <w:lang w:val="en-US" w:eastAsia="zh-CN"/>
              </w:rPr>
              <w:t>；</w:t>
            </w:r>
            <w:r>
              <w:rPr>
                <w:rFonts w:hint="eastAsia" w:ascii="Times New Roman" w:hAnsi="Times New Roman" w:eastAsia="宋体" w:cs="宋体"/>
                <w:color w:val="auto"/>
                <w:sz w:val="24"/>
                <w:szCs w:val="21"/>
                <w:lang w:val="en-US" w:eastAsia="zh-CN"/>
              </w:rPr>
              <w:t>噪声污染主要来源于燃气锅炉、补水泵、循环泵等</w:t>
            </w:r>
            <w:r>
              <w:rPr>
                <w:rFonts w:hint="eastAsia" w:ascii="Times New Roman" w:hAnsi="Times New Roman" w:cs="宋体"/>
                <w:color w:val="auto"/>
                <w:sz w:val="24"/>
                <w:szCs w:val="21"/>
                <w:lang w:val="en-US" w:eastAsia="zh-CN"/>
              </w:rPr>
              <w:t>；</w:t>
            </w:r>
            <w:r>
              <w:rPr>
                <w:rFonts w:hint="eastAsia" w:ascii="Times New Roman" w:hAnsi="Times New Roman" w:eastAsia="宋体" w:cs="宋体"/>
                <w:color w:val="auto"/>
                <w:sz w:val="24"/>
                <w:szCs w:val="21"/>
                <w:lang w:val="en-US" w:eastAsia="zh-CN"/>
              </w:rPr>
              <w:t>废水来自</w:t>
            </w:r>
            <w:r>
              <w:rPr>
                <w:rFonts w:hint="eastAsia" w:ascii="Times New Roman" w:hAnsi="Times New Roman" w:cs="宋体"/>
                <w:color w:val="auto"/>
                <w:sz w:val="24"/>
                <w:szCs w:val="21"/>
                <w:lang w:val="en-US" w:eastAsia="zh-CN"/>
              </w:rPr>
              <w:t>生活污水、</w:t>
            </w:r>
            <w:r>
              <w:rPr>
                <w:rFonts w:hint="eastAsia" w:ascii="Times New Roman" w:hAnsi="Times New Roman" w:eastAsia="宋体" w:cs="宋体"/>
                <w:color w:val="auto"/>
                <w:sz w:val="24"/>
                <w:szCs w:val="21"/>
                <w:lang w:val="en-US" w:eastAsia="zh-CN"/>
              </w:rPr>
              <w:t>锅炉排污水及软水设备</w:t>
            </w:r>
            <w:r>
              <w:rPr>
                <w:rFonts w:hint="eastAsia" w:ascii="Times New Roman" w:hAnsi="Times New Roman" w:cs="宋体"/>
                <w:color w:val="auto"/>
                <w:sz w:val="24"/>
                <w:szCs w:val="21"/>
                <w:lang w:val="en-US" w:eastAsia="zh-CN"/>
              </w:rPr>
              <w:t>产生浓水，</w:t>
            </w:r>
            <w:r>
              <w:rPr>
                <w:rFonts w:hint="eastAsia" w:ascii="Times New Roman" w:hAnsi="Times New Roman" w:eastAsia="宋体" w:cs="宋体"/>
                <w:color w:val="auto"/>
                <w:sz w:val="24"/>
                <w:szCs w:val="21"/>
                <w:lang w:val="en-US" w:eastAsia="zh-CN"/>
              </w:rPr>
              <w:t>废水经</w:t>
            </w:r>
            <w:r>
              <w:rPr>
                <w:rFonts w:hint="eastAsia" w:ascii="Times New Roman" w:hAnsi="Times New Roman" w:cs="宋体"/>
                <w:color w:val="auto"/>
                <w:sz w:val="24"/>
                <w:szCs w:val="21"/>
                <w:lang w:val="en-US" w:eastAsia="zh-CN"/>
              </w:rPr>
              <w:t>化粪池</w:t>
            </w:r>
            <w:r>
              <w:rPr>
                <w:rFonts w:hint="eastAsia" w:ascii="Times New Roman" w:hAnsi="Times New Roman" w:eastAsia="宋体" w:cs="宋体"/>
                <w:color w:val="auto"/>
                <w:sz w:val="24"/>
                <w:szCs w:val="21"/>
                <w:lang w:val="en-US" w:eastAsia="zh-CN"/>
              </w:rPr>
              <w:t>处理后排入</w:t>
            </w:r>
            <w:r>
              <w:rPr>
                <w:rFonts w:hint="eastAsia" w:ascii="Times New Roman" w:hAnsi="Times New Roman" w:cs="宋体"/>
                <w:color w:val="auto"/>
                <w:sz w:val="24"/>
                <w:szCs w:val="21"/>
                <w:lang w:val="en-US" w:eastAsia="zh-CN"/>
              </w:rPr>
              <w:t>陇县第一污水处理厂；</w:t>
            </w:r>
            <w:r>
              <w:rPr>
                <w:rFonts w:hint="eastAsia" w:ascii="Times New Roman" w:hAnsi="Times New Roman" w:eastAsia="宋体" w:cs="宋体"/>
                <w:color w:val="auto"/>
                <w:sz w:val="24"/>
                <w:szCs w:val="21"/>
                <w:lang w:val="en-US" w:eastAsia="zh-CN"/>
              </w:rPr>
              <w:t>固体废物主要为软水设备产生的废离子交换树脂</w:t>
            </w:r>
            <w:r>
              <w:rPr>
                <w:rFonts w:hint="eastAsia" w:ascii="Times New Roman" w:hAnsi="Times New Roman" w:cs="宋体"/>
                <w:color w:val="auto"/>
                <w:sz w:val="24"/>
                <w:szCs w:val="21"/>
                <w:lang w:val="en-US" w:eastAsia="zh-CN"/>
              </w:rPr>
              <w:t>，由厂家更换后直接带走</w:t>
            </w:r>
            <w:r>
              <w:rPr>
                <w:rFonts w:hint="eastAsia" w:ascii="Times New Roman" w:hAnsi="Times New Roman" w:eastAsia="宋体" w:cs="宋体"/>
                <w:color w:val="auto"/>
                <w:sz w:val="24"/>
                <w:szCs w:val="21"/>
                <w:lang w:val="en-US" w:eastAsia="zh-CN"/>
              </w:rPr>
              <w:t>。</w:t>
            </w:r>
          </w:p>
        </w:tc>
      </w:tr>
      <w:tr w14:paraId="4E716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364" w:type="pct"/>
            <w:noWrap w:val="0"/>
            <w:vAlign w:val="center"/>
          </w:tcPr>
          <w:p w14:paraId="45529224">
            <w:pPr>
              <w:pStyle w:val="1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1"/>
              </w:rPr>
            </w:pPr>
            <w:r>
              <w:rPr>
                <w:rFonts w:hint="eastAsia" w:ascii="Times New Roman" w:hAnsi="Times New Roman" w:eastAsia="宋体" w:cs="宋体"/>
                <w:bCs/>
                <w:color w:val="auto"/>
                <w:kern w:val="2"/>
                <w:sz w:val="21"/>
                <w:szCs w:val="21"/>
              </w:rPr>
              <w:t>与项目有关的原有环境污染问题</w:t>
            </w:r>
          </w:p>
        </w:tc>
        <w:tc>
          <w:tcPr>
            <w:tcW w:w="4635" w:type="pct"/>
            <w:noWrap w:val="0"/>
            <w:vAlign w:val="center"/>
          </w:tcPr>
          <w:p w14:paraId="15EA2AA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bCs/>
                <w:color w:val="auto"/>
                <w:sz w:val="24"/>
                <w:szCs w:val="21"/>
              </w:rPr>
            </w:pPr>
            <w:r>
              <w:rPr>
                <w:rFonts w:hint="eastAsia" w:ascii="Times New Roman" w:hAnsi="Times New Roman" w:eastAsia="宋体" w:cs="宋体"/>
                <w:color w:val="auto"/>
                <w:sz w:val="24"/>
                <w:szCs w:val="21"/>
              </w:rPr>
              <w:t>本项目为</w:t>
            </w:r>
            <w:r>
              <w:rPr>
                <w:rFonts w:hint="eastAsia" w:ascii="Times New Roman" w:hAnsi="Times New Roman" w:cs="宋体"/>
                <w:color w:val="auto"/>
                <w:sz w:val="24"/>
                <w:szCs w:val="21"/>
                <w:lang w:val="en-US" w:eastAsia="zh-CN"/>
              </w:rPr>
              <w:t>新建供热站项目，</w:t>
            </w:r>
            <w:r>
              <w:rPr>
                <w:rFonts w:hint="eastAsia" w:ascii="Times New Roman" w:hAnsi="Times New Roman" w:eastAsia="宋体" w:cs="宋体"/>
                <w:color w:val="auto"/>
                <w:sz w:val="24"/>
                <w:szCs w:val="21"/>
              </w:rPr>
              <w:t>项目用地为</w:t>
            </w:r>
            <w:r>
              <w:rPr>
                <w:rFonts w:hint="eastAsia" w:ascii="Times New Roman" w:hAnsi="Times New Roman" w:cs="宋体"/>
                <w:color w:val="auto"/>
                <w:sz w:val="24"/>
                <w:szCs w:val="21"/>
                <w:lang w:val="en-US" w:eastAsia="zh-CN"/>
              </w:rPr>
              <w:t>陇县第一污水处理厂内空置厂房</w:t>
            </w:r>
            <w:r>
              <w:rPr>
                <w:rFonts w:hint="eastAsia" w:ascii="Times New Roman" w:hAnsi="Times New Roman" w:eastAsia="宋体" w:cs="宋体"/>
                <w:color w:val="auto"/>
                <w:sz w:val="24"/>
                <w:szCs w:val="21"/>
              </w:rPr>
              <w:t>，现场不存在与本项目有关的原有环境污染问题。</w:t>
            </w:r>
          </w:p>
        </w:tc>
      </w:tr>
    </w:tbl>
    <w:p w14:paraId="54C6514A">
      <w:pPr>
        <w:pStyle w:val="16"/>
        <w:jc w:val="center"/>
        <w:rPr>
          <w:rFonts w:ascii="黑体" w:hAnsi="黑体" w:eastAsia="黑体"/>
          <w:snapToGrid w:val="0"/>
          <w:color w:val="auto"/>
          <w:sz w:val="36"/>
          <w:szCs w:val="36"/>
        </w:rPr>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4A3B902A">
      <w:pPr>
        <w:pStyle w:val="16"/>
        <w:adjustRightInd w:val="0"/>
        <w:snapToGrid w:val="0"/>
        <w:spacing w:before="0" w:beforeAutospacing="0" w:after="0" w:afterAutospacing="0" w:line="14" w:lineRule="auto"/>
        <w:jc w:val="center"/>
        <w:outlineLvl w:val="0"/>
        <w:rPr>
          <w:rFonts w:hint="eastAsia" w:ascii="黑体" w:hAnsi="黑体" w:eastAsia="黑体"/>
          <w:snapToGrid w:val="0"/>
          <w:color w:val="auto"/>
          <w:sz w:val="30"/>
          <w:szCs w:val="30"/>
        </w:rPr>
      </w:pPr>
    </w:p>
    <w:p w14:paraId="0335068A">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7A2FE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800" w:type="dxa"/>
            <w:noWrap w:val="0"/>
            <w:vAlign w:val="center"/>
          </w:tcPr>
          <w:p w14:paraId="12C7EB36">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区域</w:t>
            </w:r>
          </w:p>
          <w:p w14:paraId="75AD435A">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环境</w:t>
            </w:r>
          </w:p>
          <w:p w14:paraId="12D286D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质量</w:t>
            </w:r>
          </w:p>
          <w:p w14:paraId="7CDE7A80">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color w:val="auto"/>
                <w:kern w:val="0"/>
                <w:szCs w:val="21"/>
              </w:rPr>
              <w:t>现状</w:t>
            </w:r>
          </w:p>
        </w:tc>
        <w:tc>
          <w:tcPr>
            <w:tcW w:w="8190" w:type="dxa"/>
            <w:noWrap w:val="0"/>
            <w:vAlign w:val="center"/>
          </w:tcPr>
          <w:p w14:paraId="51D115B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一、环境空气质量现状</w:t>
            </w:r>
          </w:p>
          <w:p w14:paraId="684C686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w:t>
            </w:r>
            <w:r>
              <w:rPr>
                <w:rFonts w:hint="default" w:ascii="Times New Roman" w:hAnsi="Times New Roman" w:eastAsia="宋体" w:cs="Times New Roman"/>
                <w:color w:val="auto"/>
                <w:sz w:val="24"/>
                <w:lang w:val="en-US" w:eastAsia="zh-CN"/>
              </w:rPr>
              <w:t>区域达标性分析</w:t>
            </w:r>
          </w:p>
          <w:p w14:paraId="73AEC0E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本项目位于</w:t>
            </w:r>
            <w:r>
              <w:rPr>
                <w:rFonts w:hint="eastAsia" w:cs="Times New Roman"/>
                <w:color w:val="auto"/>
                <w:sz w:val="24"/>
                <w:lang w:val="en-US" w:eastAsia="zh-CN"/>
              </w:rPr>
              <w:t>宝鸡市陇县</w:t>
            </w:r>
            <w:r>
              <w:rPr>
                <w:rFonts w:hint="default" w:ascii="Times New Roman" w:hAnsi="Times New Roman" w:eastAsia="宋体" w:cs="Times New Roman"/>
                <w:color w:val="auto"/>
                <w:sz w:val="24"/>
              </w:rPr>
              <w:t>。根据大气功能区划，本项目所在地为二类功能区，环境空气质量标准执行《环境空气质量标准》（GB3095-2012）二级标准要求。</w:t>
            </w:r>
          </w:p>
          <w:p w14:paraId="700D29F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项目所在区域环境空气基本污染物监测数据引用</w:t>
            </w:r>
            <w:r>
              <w:rPr>
                <w:rFonts w:hint="eastAsia" w:cs="Times New Roman"/>
                <w:color w:val="auto"/>
                <w:sz w:val="24"/>
                <w:lang w:val="en-US" w:eastAsia="zh-CN"/>
              </w:rPr>
              <w:t>宝鸡市</w:t>
            </w:r>
            <w:r>
              <w:rPr>
                <w:rFonts w:hint="default" w:ascii="Times New Roman" w:hAnsi="Times New Roman" w:eastAsia="宋体" w:cs="Times New Roman"/>
                <w:color w:val="auto"/>
                <w:sz w:val="24"/>
              </w:rPr>
              <w:t>生态环境厅发布的《</w:t>
            </w:r>
            <w:r>
              <w:rPr>
                <w:rFonts w:hint="eastAsia" w:cs="Times New Roman"/>
                <w:color w:val="auto"/>
                <w:sz w:val="24"/>
                <w:lang w:val="en-US" w:eastAsia="zh-CN"/>
              </w:rPr>
              <w:t>2024年1-12月份各区（县）空气环境质量状况统计表</w:t>
            </w:r>
            <w:r>
              <w:rPr>
                <w:rFonts w:hint="default" w:ascii="Times New Roman" w:hAnsi="Times New Roman" w:eastAsia="宋体" w:cs="Times New Roman"/>
                <w:color w:val="auto"/>
                <w:sz w:val="24"/>
              </w:rPr>
              <w:t>》中</w:t>
            </w:r>
            <w:r>
              <w:rPr>
                <w:rFonts w:hint="eastAsia" w:cs="Times New Roman"/>
                <w:color w:val="auto"/>
                <w:sz w:val="24"/>
                <w:lang w:val="en-US" w:eastAsia="zh-CN"/>
              </w:rPr>
              <w:t>陇县</w:t>
            </w:r>
            <w:r>
              <w:rPr>
                <w:rFonts w:hint="default" w:ascii="Times New Roman" w:hAnsi="Times New Roman" w:eastAsia="宋体" w:cs="Times New Roman"/>
                <w:color w:val="auto"/>
                <w:sz w:val="24"/>
              </w:rPr>
              <w:t>空气质量</w:t>
            </w:r>
            <w:r>
              <w:rPr>
                <w:rFonts w:hint="eastAsia" w:cs="Times New Roman"/>
                <w:color w:val="auto"/>
                <w:sz w:val="24"/>
                <w:lang w:val="en-US" w:eastAsia="zh-CN"/>
              </w:rPr>
              <w:t>统计表，监测结果和标准对比情况见</w:t>
            </w:r>
            <w:r>
              <w:rPr>
                <w:rFonts w:hint="default" w:ascii="Times New Roman" w:hAnsi="Times New Roman" w:eastAsia="宋体" w:cs="Times New Roman"/>
                <w:color w:val="auto"/>
                <w:sz w:val="24"/>
              </w:rPr>
              <w:t>表3-1。</w:t>
            </w:r>
          </w:p>
          <w:p w14:paraId="7D97A2B3">
            <w:pPr>
              <w:pStyle w:val="35"/>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宋体"/>
                <w:b/>
                <w:bCs/>
                <w:color w:val="auto"/>
                <w:sz w:val="21"/>
                <w:szCs w:val="21"/>
                <w:lang w:val="en-US" w:eastAsia="zh-CN"/>
              </w:rPr>
            </w:pPr>
            <w:r>
              <w:rPr>
                <w:rFonts w:hint="default" w:ascii="Times New Roman" w:hAnsi="Times New Roman" w:eastAsia="宋体" w:cs="宋体"/>
                <w:b/>
                <w:bCs/>
                <w:color w:val="auto"/>
                <w:sz w:val="21"/>
                <w:szCs w:val="21"/>
                <w:lang w:val="en-US" w:eastAsia="zh-CN"/>
              </w:rPr>
              <w:t>表3-1</w:t>
            </w:r>
            <w:r>
              <w:rPr>
                <w:rFonts w:hint="eastAsia" w:ascii="Times New Roman" w:hAnsi="Times New Roman" w:eastAsia="宋体" w:cs="宋体"/>
                <w:b/>
                <w:bCs/>
                <w:color w:val="auto"/>
                <w:sz w:val="21"/>
                <w:szCs w:val="21"/>
                <w:lang w:val="en-US" w:eastAsia="zh-CN"/>
              </w:rPr>
              <w:t xml:space="preserve"> </w:t>
            </w:r>
            <w:r>
              <w:rPr>
                <w:rFonts w:hint="eastAsia" w:ascii="Times New Roman" w:cs="宋体"/>
                <w:b/>
                <w:bCs/>
                <w:color w:val="auto"/>
                <w:sz w:val="21"/>
                <w:szCs w:val="21"/>
                <w:lang w:val="en-US" w:eastAsia="zh-CN"/>
              </w:rPr>
              <w:t>宝鸡市陇县</w:t>
            </w:r>
            <w:r>
              <w:rPr>
                <w:rFonts w:hint="default" w:ascii="Times New Roman" w:hAnsi="Times New Roman" w:eastAsia="宋体" w:cs="宋体"/>
                <w:b/>
                <w:bCs/>
                <w:color w:val="auto"/>
                <w:sz w:val="21"/>
                <w:szCs w:val="21"/>
                <w:lang w:val="en-US" w:eastAsia="zh-CN"/>
              </w:rPr>
              <w:t>2024年1-12月大气污染物现状监测结果</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31"/>
              <w:gridCol w:w="1243"/>
              <w:gridCol w:w="1243"/>
              <w:gridCol w:w="1243"/>
              <w:gridCol w:w="1139"/>
            </w:tblGrid>
            <w:tr w14:paraId="6B42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70B82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污染物</w:t>
                  </w:r>
                </w:p>
              </w:tc>
              <w:tc>
                <w:tcPr>
                  <w:tcW w:w="1400" w:type="pct"/>
                  <w:noWrap w:val="0"/>
                  <w:vAlign w:val="center"/>
                </w:tcPr>
                <w:p w14:paraId="20562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年评价指标</w:t>
                  </w:r>
                </w:p>
              </w:tc>
              <w:tc>
                <w:tcPr>
                  <w:tcW w:w="780" w:type="pct"/>
                  <w:noWrap w:val="0"/>
                  <w:vAlign w:val="center"/>
                </w:tcPr>
                <w:p w14:paraId="78E05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现状浓度µg/m</w:t>
                  </w:r>
                  <w:r>
                    <w:rPr>
                      <w:rFonts w:hint="default" w:ascii="Times New Roman" w:hAnsi="Times New Roman" w:eastAsia="宋体" w:cs="Times New Roman"/>
                      <w:b w:val="0"/>
                      <w:bCs/>
                      <w:color w:val="auto"/>
                      <w:szCs w:val="21"/>
                      <w:vertAlign w:val="superscript"/>
                    </w:rPr>
                    <w:t>3</w:t>
                  </w:r>
                </w:p>
              </w:tc>
              <w:tc>
                <w:tcPr>
                  <w:tcW w:w="780" w:type="pct"/>
                  <w:noWrap w:val="0"/>
                  <w:vAlign w:val="center"/>
                </w:tcPr>
                <w:p w14:paraId="42E43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标准值</w:t>
                  </w:r>
                </w:p>
                <w:p w14:paraId="5F556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µg/m</w:t>
                  </w:r>
                  <w:r>
                    <w:rPr>
                      <w:rFonts w:hint="default" w:ascii="Times New Roman" w:hAnsi="Times New Roman" w:eastAsia="宋体" w:cs="Times New Roman"/>
                      <w:b w:val="0"/>
                      <w:bCs/>
                      <w:color w:val="auto"/>
                      <w:szCs w:val="21"/>
                      <w:vertAlign w:val="superscript"/>
                    </w:rPr>
                    <w:t>3</w:t>
                  </w:r>
                </w:p>
              </w:tc>
              <w:tc>
                <w:tcPr>
                  <w:tcW w:w="780" w:type="pct"/>
                  <w:noWrap w:val="0"/>
                  <w:vAlign w:val="center"/>
                </w:tcPr>
                <w:p w14:paraId="1FB8E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占标率%</w:t>
                  </w:r>
                </w:p>
              </w:tc>
              <w:tc>
                <w:tcPr>
                  <w:tcW w:w="715" w:type="pct"/>
                  <w:noWrap w:val="0"/>
                  <w:vAlign w:val="center"/>
                </w:tcPr>
                <w:p w14:paraId="3A6EA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p w14:paraId="11E6F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情况</w:t>
                  </w:r>
                </w:p>
              </w:tc>
            </w:tr>
            <w:tr w14:paraId="71A1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37BD2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PM</w:t>
                  </w:r>
                  <w:r>
                    <w:rPr>
                      <w:rFonts w:hint="default" w:ascii="Times New Roman" w:hAnsi="Times New Roman" w:eastAsia="宋体" w:cs="Times New Roman"/>
                      <w:b w:val="0"/>
                      <w:bCs/>
                      <w:color w:val="auto"/>
                      <w:szCs w:val="21"/>
                      <w:vertAlign w:val="subscript"/>
                    </w:rPr>
                    <w:t>10</w:t>
                  </w:r>
                </w:p>
              </w:tc>
              <w:tc>
                <w:tcPr>
                  <w:tcW w:w="1400" w:type="pct"/>
                  <w:noWrap w:val="0"/>
                  <w:vAlign w:val="center"/>
                </w:tcPr>
                <w:p w14:paraId="3CA51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年平均质量浓度</w:t>
                  </w:r>
                </w:p>
              </w:tc>
              <w:tc>
                <w:tcPr>
                  <w:tcW w:w="780" w:type="pct"/>
                  <w:noWrap w:val="0"/>
                  <w:vAlign w:val="center"/>
                </w:tcPr>
                <w:p w14:paraId="29BEF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60</w:t>
                  </w:r>
                </w:p>
              </w:tc>
              <w:tc>
                <w:tcPr>
                  <w:tcW w:w="780" w:type="pct"/>
                  <w:noWrap w:val="0"/>
                  <w:vAlign w:val="center"/>
                </w:tcPr>
                <w:p w14:paraId="521FF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70</w:t>
                  </w:r>
                </w:p>
              </w:tc>
              <w:tc>
                <w:tcPr>
                  <w:tcW w:w="780" w:type="pct"/>
                  <w:noWrap w:val="0"/>
                  <w:vAlign w:val="center"/>
                </w:tcPr>
                <w:p w14:paraId="16D42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85.7</w:t>
                  </w:r>
                </w:p>
              </w:tc>
              <w:tc>
                <w:tcPr>
                  <w:tcW w:w="715" w:type="pct"/>
                  <w:noWrap w:val="0"/>
                  <w:vAlign w:val="center"/>
                </w:tcPr>
                <w:p w14:paraId="4DA1E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2C78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3974E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PM</w:t>
                  </w:r>
                  <w:r>
                    <w:rPr>
                      <w:rFonts w:hint="default" w:ascii="Times New Roman" w:hAnsi="Times New Roman" w:eastAsia="宋体" w:cs="Times New Roman"/>
                      <w:b w:val="0"/>
                      <w:bCs/>
                      <w:color w:val="auto"/>
                      <w:szCs w:val="21"/>
                      <w:vertAlign w:val="subscript"/>
                    </w:rPr>
                    <w:t>2.5</w:t>
                  </w:r>
                </w:p>
              </w:tc>
              <w:tc>
                <w:tcPr>
                  <w:tcW w:w="1400" w:type="pct"/>
                  <w:noWrap w:val="0"/>
                  <w:vAlign w:val="center"/>
                </w:tcPr>
                <w:p w14:paraId="4AAD0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年平均质量浓度</w:t>
                  </w:r>
                </w:p>
              </w:tc>
              <w:tc>
                <w:tcPr>
                  <w:tcW w:w="780" w:type="pct"/>
                  <w:noWrap w:val="0"/>
                  <w:vAlign w:val="center"/>
                </w:tcPr>
                <w:p w14:paraId="1FB1E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32</w:t>
                  </w:r>
                </w:p>
              </w:tc>
              <w:tc>
                <w:tcPr>
                  <w:tcW w:w="780" w:type="pct"/>
                  <w:noWrap w:val="0"/>
                  <w:vAlign w:val="center"/>
                </w:tcPr>
                <w:p w14:paraId="5F9C5A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35</w:t>
                  </w:r>
                </w:p>
              </w:tc>
              <w:tc>
                <w:tcPr>
                  <w:tcW w:w="780" w:type="pct"/>
                  <w:noWrap w:val="0"/>
                  <w:vAlign w:val="center"/>
                </w:tcPr>
                <w:p w14:paraId="4AA3B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91.4</w:t>
                  </w:r>
                </w:p>
              </w:tc>
              <w:tc>
                <w:tcPr>
                  <w:tcW w:w="715" w:type="pct"/>
                  <w:noWrap w:val="0"/>
                  <w:vAlign w:val="center"/>
                </w:tcPr>
                <w:p w14:paraId="72B5D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0E2F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338D1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SO</w:t>
                  </w:r>
                  <w:r>
                    <w:rPr>
                      <w:rFonts w:hint="default" w:ascii="Times New Roman" w:hAnsi="Times New Roman" w:eastAsia="宋体" w:cs="Times New Roman"/>
                      <w:b w:val="0"/>
                      <w:bCs/>
                      <w:color w:val="auto"/>
                      <w:szCs w:val="21"/>
                      <w:vertAlign w:val="subscript"/>
                    </w:rPr>
                    <w:t>2</w:t>
                  </w:r>
                </w:p>
              </w:tc>
              <w:tc>
                <w:tcPr>
                  <w:tcW w:w="1400" w:type="pct"/>
                  <w:noWrap w:val="0"/>
                  <w:vAlign w:val="center"/>
                </w:tcPr>
                <w:p w14:paraId="5C21B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年平均质量浓度</w:t>
                  </w:r>
                </w:p>
              </w:tc>
              <w:tc>
                <w:tcPr>
                  <w:tcW w:w="780" w:type="pct"/>
                  <w:noWrap w:val="0"/>
                  <w:vAlign w:val="center"/>
                </w:tcPr>
                <w:p w14:paraId="790C0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7</w:t>
                  </w:r>
                </w:p>
              </w:tc>
              <w:tc>
                <w:tcPr>
                  <w:tcW w:w="780" w:type="pct"/>
                  <w:noWrap w:val="0"/>
                  <w:vAlign w:val="center"/>
                </w:tcPr>
                <w:p w14:paraId="38AB9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60</w:t>
                  </w:r>
                </w:p>
              </w:tc>
              <w:tc>
                <w:tcPr>
                  <w:tcW w:w="780" w:type="pct"/>
                  <w:noWrap w:val="0"/>
                  <w:vAlign w:val="center"/>
                </w:tcPr>
                <w:p w14:paraId="7BF3A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11.67</w:t>
                  </w:r>
                </w:p>
              </w:tc>
              <w:tc>
                <w:tcPr>
                  <w:tcW w:w="715" w:type="pct"/>
                  <w:noWrap w:val="0"/>
                  <w:vAlign w:val="center"/>
                </w:tcPr>
                <w:p w14:paraId="72C15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2310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023A8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NO</w:t>
                  </w:r>
                  <w:r>
                    <w:rPr>
                      <w:rFonts w:hint="default" w:ascii="Times New Roman" w:hAnsi="Times New Roman" w:eastAsia="宋体" w:cs="Times New Roman"/>
                      <w:b w:val="0"/>
                      <w:bCs/>
                      <w:color w:val="auto"/>
                      <w:szCs w:val="21"/>
                      <w:vertAlign w:val="subscript"/>
                    </w:rPr>
                    <w:t>2</w:t>
                  </w:r>
                </w:p>
              </w:tc>
              <w:tc>
                <w:tcPr>
                  <w:tcW w:w="1400" w:type="pct"/>
                  <w:noWrap w:val="0"/>
                  <w:vAlign w:val="center"/>
                </w:tcPr>
                <w:p w14:paraId="2F45E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年平均质量浓度</w:t>
                  </w:r>
                </w:p>
              </w:tc>
              <w:tc>
                <w:tcPr>
                  <w:tcW w:w="780" w:type="pct"/>
                  <w:noWrap w:val="0"/>
                  <w:vAlign w:val="center"/>
                </w:tcPr>
                <w:p w14:paraId="61155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17</w:t>
                  </w:r>
                </w:p>
              </w:tc>
              <w:tc>
                <w:tcPr>
                  <w:tcW w:w="780" w:type="pct"/>
                  <w:noWrap w:val="0"/>
                  <w:vAlign w:val="center"/>
                </w:tcPr>
                <w:p w14:paraId="14FF9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40</w:t>
                  </w:r>
                </w:p>
              </w:tc>
              <w:tc>
                <w:tcPr>
                  <w:tcW w:w="780" w:type="pct"/>
                  <w:noWrap w:val="0"/>
                  <w:vAlign w:val="center"/>
                </w:tcPr>
                <w:p w14:paraId="4E44F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42.5</w:t>
                  </w:r>
                </w:p>
              </w:tc>
              <w:tc>
                <w:tcPr>
                  <w:tcW w:w="715" w:type="pct"/>
                  <w:noWrap w:val="0"/>
                  <w:vAlign w:val="center"/>
                </w:tcPr>
                <w:p w14:paraId="38124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1E06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1258E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CO</w:t>
                  </w:r>
                </w:p>
              </w:tc>
              <w:tc>
                <w:tcPr>
                  <w:tcW w:w="1400" w:type="pct"/>
                  <w:noWrap w:val="0"/>
                  <w:vAlign w:val="center"/>
                </w:tcPr>
                <w:p w14:paraId="056C7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24小时平均质量浓度</w:t>
                  </w:r>
                </w:p>
              </w:tc>
              <w:tc>
                <w:tcPr>
                  <w:tcW w:w="780" w:type="pct"/>
                  <w:noWrap w:val="0"/>
                  <w:vAlign w:val="center"/>
                </w:tcPr>
                <w:p w14:paraId="46D60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900</w:t>
                  </w:r>
                </w:p>
              </w:tc>
              <w:tc>
                <w:tcPr>
                  <w:tcW w:w="780" w:type="pct"/>
                  <w:noWrap w:val="0"/>
                  <w:vAlign w:val="center"/>
                </w:tcPr>
                <w:p w14:paraId="6572D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4000</w:t>
                  </w:r>
                </w:p>
              </w:tc>
              <w:tc>
                <w:tcPr>
                  <w:tcW w:w="780" w:type="pct"/>
                  <w:noWrap w:val="0"/>
                  <w:vAlign w:val="center"/>
                </w:tcPr>
                <w:p w14:paraId="0A3AB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22.5</w:t>
                  </w:r>
                </w:p>
              </w:tc>
              <w:tc>
                <w:tcPr>
                  <w:tcW w:w="715" w:type="pct"/>
                  <w:noWrap w:val="0"/>
                  <w:vAlign w:val="center"/>
                </w:tcPr>
                <w:p w14:paraId="3E7C9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r w14:paraId="30E8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14:paraId="50159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O</w:t>
                  </w:r>
                  <w:r>
                    <w:rPr>
                      <w:rFonts w:hint="default" w:ascii="Times New Roman" w:hAnsi="Times New Roman" w:eastAsia="宋体" w:cs="Times New Roman"/>
                      <w:b w:val="0"/>
                      <w:bCs/>
                      <w:color w:val="auto"/>
                      <w:szCs w:val="21"/>
                      <w:vertAlign w:val="subscript"/>
                    </w:rPr>
                    <w:t>3</w:t>
                  </w:r>
                </w:p>
              </w:tc>
              <w:tc>
                <w:tcPr>
                  <w:tcW w:w="1400" w:type="pct"/>
                  <w:noWrap w:val="0"/>
                  <w:vAlign w:val="center"/>
                </w:tcPr>
                <w:p w14:paraId="7182C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8小时平均质量浓度</w:t>
                  </w:r>
                </w:p>
              </w:tc>
              <w:tc>
                <w:tcPr>
                  <w:tcW w:w="780" w:type="pct"/>
                  <w:noWrap w:val="0"/>
                  <w:vAlign w:val="center"/>
                </w:tcPr>
                <w:p w14:paraId="7F606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129</w:t>
                  </w:r>
                </w:p>
              </w:tc>
              <w:tc>
                <w:tcPr>
                  <w:tcW w:w="780" w:type="pct"/>
                  <w:noWrap w:val="0"/>
                  <w:vAlign w:val="center"/>
                </w:tcPr>
                <w:p w14:paraId="6E696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160</w:t>
                  </w:r>
                </w:p>
              </w:tc>
              <w:tc>
                <w:tcPr>
                  <w:tcW w:w="780" w:type="pct"/>
                  <w:noWrap w:val="0"/>
                  <w:vAlign w:val="center"/>
                </w:tcPr>
                <w:p w14:paraId="32198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80.6</w:t>
                  </w:r>
                </w:p>
              </w:tc>
              <w:tc>
                <w:tcPr>
                  <w:tcW w:w="715" w:type="pct"/>
                  <w:noWrap w:val="0"/>
                  <w:vAlign w:val="center"/>
                </w:tcPr>
                <w:p w14:paraId="09CD2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达标</w:t>
                  </w:r>
                </w:p>
              </w:tc>
            </w:tr>
          </w:tbl>
          <w:p w14:paraId="753CCE6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rPr>
            </w:pPr>
            <w:r>
              <w:rPr>
                <w:rFonts w:hint="default" w:ascii="Times New Roman" w:hAnsi="Times New Roman" w:eastAsia="宋体" w:cs="Times New Roman"/>
                <w:color w:val="auto"/>
                <w:sz w:val="24"/>
              </w:rPr>
              <w:t>根据上述监测结果，202</w:t>
            </w: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年</w:t>
            </w:r>
            <w:r>
              <w:rPr>
                <w:rFonts w:hint="eastAsia" w:cs="Times New Roman"/>
                <w:color w:val="auto"/>
                <w:sz w:val="24"/>
                <w:lang w:val="en-US" w:eastAsia="zh-CN"/>
              </w:rPr>
              <w:t>陇县</w:t>
            </w:r>
            <w:r>
              <w:rPr>
                <w:rFonts w:hint="default" w:ascii="Times New Roman" w:hAnsi="Times New Roman" w:eastAsia="宋体" w:cs="Times New Roman"/>
                <w:color w:val="auto"/>
                <w:sz w:val="24"/>
              </w:rPr>
              <w:t>环境空气中的SO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、NO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、CO</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PM</w:t>
            </w:r>
            <w:r>
              <w:rPr>
                <w:rFonts w:hint="default" w:ascii="Times New Roman" w:hAnsi="Times New Roman" w:eastAsia="宋体" w:cs="Times New Roman"/>
                <w:color w:val="auto"/>
                <w:sz w:val="24"/>
                <w:vertAlign w:val="subscript"/>
              </w:rPr>
              <w:t>10</w:t>
            </w:r>
            <w:r>
              <w:rPr>
                <w:rFonts w:hint="default" w:ascii="Times New Roman" w:hAnsi="Times New Roman" w:eastAsia="宋体" w:cs="Times New Roman"/>
                <w:color w:val="auto"/>
                <w:sz w:val="24"/>
              </w:rPr>
              <w:t>、PM</w:t>
            </w:r>
            <w:r>
              <w:rPr>
                <w:rFonts w:hint="default" w:ascii="Times New Roman" w:hAnsi="Times New Roman" w:eastAsia="宋体" w:cs="Times New Roman"/>
                <w:color w:val="auto"/>
                <w:sz w:val="24"/>
                <w:vertAlign w:val="subscript"/>
              </w:rPr>
              <w:t>2.5</w:t>
            </w:r>
            <w:r>
              <w:rPr>
                <w:rFonts w:hint="default" w:ascii="Times New Roman" w:hAnsi="Times New Roman" w:eastAsia="宋体" w:cs="Times New Roman"/>
                <w:color w:val="auto"/>
                <w:sz w:val="24"/>
              </w:rPr>
              <w:t>、O</w:t>
            </w:r>
            <w:r>
              <w:rPr>
                <w:rFonts w:hint="default" w:ascii="Times New Roman" w:hAnsi="Times New Roman" w:eastAsia="宋体" w:cs="Times New Roman"/>
                <w:color w:val="auto"/>
                <w:sz w:val="24"/>
                <w:vertAlign w:val="subscript"/>
              </w:rPr>
              <w:t>3</w:t>
            </w:r>
            <w:r>
              <w:rPr>
                <w:rFonts w:hint="default" w:ascii="Times New Roman" w:hAnsi="Times New Roman" w:eastAsia="宋体" w:cs="Times New Roman"/>
                <w:color w:val="auto"/>
                <w:sz w:val="24"/>
              </w:rPr>
              <w:t>均能</w:t>
            </w:r>
            <w:r>
              <w:rPr>
                <w:rFonts w:hint="default" w:ascii="Times New Roman" w:hAnsi="Times New Roman" w:eastAsia="宋体" w:cs="Times New Roman"/>
                <w:color w:val="auto"/>
                <w:sz w:val="24"/>
                <w:lang w:eastAsia="zh-CN"/>
              </w:rPr>
              <w:t>达到</w:t>
            </w:r>
            <w:r>
              <w:rPr>
                <w:rFonts w:hint="default" w:ascii="Times New Roman" w:hAnsi="Times New Roman" w:eastAsia="宋体" w:cs="Times New Roman"/>
                <w:color w:val="auto"/>
                <w:sz w:val="24"/>
              </w:rPr>
              <w:t>《环境空气质量标准》（GB3095-2012）中二级标准限值。本项目所在区域属于达标区。</w:t>
            </w:r>
          </w:p>
          <w:p w14:paraId="391C63A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二</w:t>
            </w:r>
            <w:r>
              <w:rPr>
                <w:rFonts w:hint="default" w:ascii="Times New Roman" w:hAnsi="Times New Roman" w:eastAsia="宋体" w:cs="Times New Roman"/>
                <w:bCs/>
                <w:color w:val="auto"/>
                <w:sz w:val="24"/>
              </w:rPr>
              <w:t>、声环境质量现状</w:t>
            </w:r>
          </w:p>
          <w:p w14:paraId="03ACAD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根据《建设项目环境影响报告表编制技术指南》（污染影响类）可知，厂界外周边50米范围内存在声环境保护目标的建设项目，应监测保护目标声环境质量现状并评价达标情况。各点位应监测昼夜间噪声，监测时间不少于1天。</w:t>
            </w:r>
          </w:p>
          <w:p w14:paraId="0BFDBAE4">
            <w:pPr>
              <w:pStyle w:val="8"/>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本项目周边50米范围内不存在声环境保护目标，且指南中未提出监测厂界噪声，因此声环境未进行监测。</w:t>
            </w:r>
          </w:p>
          <w:p w14:paraId="6518BD0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三</w:t>
            </w:r>
            <w:r>
              <w:rPr>
                <w:rFonts w:hint="default" w:ascii="Times New Roman" w:hAnsi="Times New Roman" w:eastAsia="宋体" w:cs="Times New Roman"/>
                <w:color w:val="auto"/>
                <w:sz w:val="24"/>
              </w:rPr>
              <w:t>、生态环境质量</w:t>
            </w:r>
          </w:p>
          <w:p w14:paraId="6241200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本项目位于</w:t>
            </w:r>
            <w:r>
              <w:rPr>
                <w:rFonts w:hint="eastAsia" w:cs="Times New Roman"/>
                <w:color w:val="auto"/>
                <w:sz w:val="24"/>
                <w:lang w:val="en-US" w:eastAsia="zh-CN"/>
              </w:rPr>
              <w:t>陇县第一污水处理厂场地内，利用原有空置厂房建设</w:t>
            </w:r>
            <w:r>
              <w:rPr>
                <w:rFonts w:hint="default" w:ascii="Times New Roman" w:hAnsi="Times New Roman" w:eastAsia="宋体" w:cs="Times New Roman"/>
                <w:color w:val="auto"/>
                <w:sz w:val="24"/>
              </w:rPr>
              <w:t>，不属于新增用地，且用地范围内不含有生态环境保护目标，故不进行生态现状调查。</w:t>
            </w:r>
          </w:p>
          <w:p w14:paraId="2300013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四</w:t>
            </w:r>
            <w:r>
              <w:rPr>
                <w:rFonts w:hint="default" w:ascii="Times New Roman" w:hAnsi="Times New Roman" w:eastAsia="宋体" w:cs="Times New Roman"/>
                <w:bCs/>
                <w:color w:val="auto"/>
                <w:sz w:val="24"/>
              </w:rPr>
              <w:t>、土壤、地下水质量现状</w:t>
            </w:r>
          </w:p>
          <w:p w14:paraId="26C6D10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宋体" w:hAnsi="宋体" w:cs="宋体"/>
                <w:color w:val="auto"/>
                <w:kern w:val="0"/>
                <w:szCs w:val="21"/>
              </w:rPr>
            </w:pPr>
            <w:r>
              <w:rPr>
                <w:rFonts w:hint="eastAsia" w:ascii="Times New Roman" w:hAnsi="Times New Roman" w:eastAsia="宋体" w:cs="Times New Roman"/>
                <w:bCs/>
                <w:color w:val="auto"/>
                <w:kern w:val="0"/>
                <w:sz w:val="24"/>
                <w:szCs w:val="24"/>
                <w:lang w:val="en-US" w:eastAsia="zh-CN" w:bidi="ar-SA"/>
              </w:rPr>
              <w:t>本项目属于热力生产和供应工程，</w:t>
            </w:r>
            <w:r>
              <w:rPr>
                <w:rFonts w:hint="default" w:ascii="Times New Roman" w:hAnsi="Times New Roman" w:eastAsia="宋体" w:cs="Times New Roman"/>
                <w:bCs/>
                <w:color w:val="auto"/>
                <w:kern w:val="0"/>
                <w:sz w:val="24"/>
                <w:szCs w:val="24"/>
                <w:lang w:val="en-US" w:eastAsia="zh-CN" w:bidi="ar-SA"/>
              </w:rPr>
              <w:t>根据《</w:t>
            </w:r>
            <w:r>
              <w:rPr>
                <w:rFonts w:hint="eastAsia" w:ascii="Times New Roman" w:hAnsi="Times New Roman" w:eastAsia="宋体" w:cs="Times New Roman"/>
                <w:bCs/>
                <w:color w:val="auto"/>
                <w:kern w:val="0"/>
                <w:sz w:val="24"/>
                <w:szCs w:val="24"/>
                <w:lang w:val="en-US" w:eastAsia="zh-CN" w:bidi="ar-SA"/>
              </w:rPr>
              <w:t>环境影响评价技术导则 地下水环境</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4"/>
                <w:lang w:val="en-US" w:eastAsia="zh-CN" w:bidi="ar-SA"/>
              </w:rPr>
              <w:t>HJ 610-2016</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4"/>
                <w:lang w:val="en-US" w:eastAsia="zh-CN" w:bidi="ar-SA"/>
              </w:rPr>
              <w:t>和</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4"/>
                <w:lang w:val="en-US" w:eastAsia="zh-CN" w:bidi="ar-SA"/>
              </w:rPr>
              <w:t>环境影响评价技术导则 地下水环境（试行）</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4"/>
                <w:lang w:val="en-US" w:eastAsia="zh-CN" w:bidi="ar-SA"/>
              </w:rPr>
              <w:t>HJ 964-2018</w:t>
            </w:r>
            <w:r>
              <w:rPr>
                <w:rFonts w:hint="default" w:ascii="Times New Roman" w:hAnsi="Times New Roman" w:eastAsia="宋体" w:cs="Times New Roman"/>
                <w:bCs/>
                <w:color w:val="auto"/>
                <w:kern w:val="0"/>
                <w:sz w:val="24"/>
                <w:szCs w:val="24"/>
                <w:lang w:val="en-US" w:eastAsia="zh-CN" w:bidi="ar-SA"/>
              </w:rPr>
              <w:t>）可知，</w:t>
            </w:r>
            <w:r>
              <w:rPr>
                <w:rFonts w:hint="eastAsia" w:ascii="Times New Roman" w:hAnsi="Times New Roman" w:eastAsia="宋体" w:cs="Times New Roman"/>
                <w:bCs/>
                <w:color w:val="auto"/>
                <w:kern w:val="0"/>
                <w:sz w:val="24"/>
                <w:szCs w:val="24"/>
                <w:lang w:val="en-US" w:eastAsia="zh-CN" w:bidi="ar-SA"/>
              </w:rPr>
              <w:t>本项目地下水环境影响评价和土壤环境影响评价均属于Ⅳ类项目，</w:t>
            </w:r>
            <w:r>
              <w:rPr>
                <w:rFonts w:hint="default" w:ascii="Times New Roman" w:hAnsi="Times New Roman" w:eastAsia="宋体" w:cs="Times New Roman"/>
                <w:bCs/>
                <w:color w:val="auto"/>
                <w:kern w:val="0"/>
                <w:sz w:val="24"/>
                <w:szCs w:val="24"/>
                <w:lang w:val="en-US" w:eastAsia="zh-CN" w:bidi="ar-SA"/>
              </w:rPr>
              <w:t>不</w:t>
            </w:r>
            <w:r>
              <w:rPr>
                <w:rFonts w:hint="eastAsia" w:ascii="Times New Roman" w:hAnsi="Times New Roman" w:eastAsia="宋体" w:cs="Times New Roman"/>
                <w:bCs/>
                <w:color w:val="auto"/>
                <w:kern w:val="0"/>
                <w:sz w:val="24"/>
                <w:szCs w:val="24"/>
                <w:lang w:val="en-US" w:eastAsia="zh-CN" w:bidi="ar-SA"/>
              </w:rPr>
              <w:t>需</w:t>
            </w:r>
            <w:r>
              <w:rPr>
                <w:rFonts w:hint="default" w:ascii="Times New Roman" w:hAnsi="Times New Roman" w:eastAsia="宋体" w:cs="Times New Roman"/>
                <w:bCs/>
                <w:color w:val="auto"/>
                <w:kern w:val="0"/>
                <w:sz w:val="24"/>
                <w:szCs w:val="24"/>
                <w:lang w:val="en-US" w:eastAsia="zh-CN" w:bidi="ar-SA"/>
              </w:rPr>
              <w:t>开展</w:t>
            </w:r>
            <w:r>
              <w:rPr>
                <w:rFonts w:hint="eastAsia" w:ascii="Times New Roman" w:hAnsi="Times New Roman" w:eastAsia="宋体" w:cs="Times New Roman"/>
                <w:bCs/>
                <w:color w:val="auto"/>
                <w:kern w:val="0"/>
                <w:sz w:val="24"/>
                <w:szCs w:val="24"/>
                <w:lang w:val="en-US" w:eastAsia="zh-CN" w:bidi="ar-SA"/>
              </w:rPr>
              <w:t>地下水</w:t>
            </w:r>
            <w:r>
              <w:rPr>
                <w:rFonts w:hint="default" w:ascii="Times New Roman" w:hAnsi="Times New Roman" w:eastAsia="宋体" w:cs="Times New Roman"/>
                <w:bCs/>
                <w:color w:val="auto"/>
                <w:kern w:val="0"/>
                <w:sz w:val="24"/>
                <w:szCs w:val="24"/>
                <w:lang w:val="en-US" w:eastAsia="zh-CN" w:bidi="ar-SA"/>
              </w:rPr>
              <w:t>环境</w:t>
            </w:r>
            <w:r>
              <w:rPr>
                <w:rFonts w:hint="eastAsia" w:ascii="Times New Roman" w:hAnsi="Times New Roman" w:eastAsia="宋体" w:cs="Times New Roman"/>
                <w:bCs/>
                <w:color w:val="auto"/>
                <w:kern w:val="0"/>
                <w:sz w:val="24"/>
                <w:szCs w:val="24"/>
                <w:lang w:val="en-US" w:eastAsia="zh-CN" w:bidi="ar-SA"/>
              </w:rPr>
              <w:t>和土壤环境影响评价</w:t>
            </w:r>
            <w:r>
              <w:rPr>
                <w:rFonts w:hint="default" w:ascii="Times New Roman" w:hAnsi="Times New Roman" w:eastAsia="宋体" w:cs="Times New Roman"/>
                <w:bCs/>
                <w:color w:val="auto"/>
                <w:kern w:val="0"/>
                <w:sz w:val="24"/>
                <w:szCs w:val="24"/>
                <w:lang w:val="en-US" w:eastAsia="zh-CN" w:bidi="ar-SA"/>
              </w:rPr>
              <w:t>。</w:t>
            </w:r>
          </w:p>
        </w:tc>
      </w:tr>
      <w:tr w14:paraId="3D0E4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14:paraId="670A48A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环境</w:t>
            </w:r>
          </w:p>
          <w:p w14:paraId="0BC7A185">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保护</w:t>
            </w:r>
          </w:p>
          <w:p w14:paraId="66207B8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目标</w:t>
            </w:r>
          </w:p>
        </w:tc>
        <w:tc>
          <w:tcPr>
            <w:tcW w:w="8190" w:type="dxa"/>
            <w:noWrap w:val="0"/>
            <w:vAlign w:val="center"/>
          </w:tcPr>
          <w:p w14:paraId="3B5712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rPr>
            </w:pPr>
            <w:r>
              <w:rPr>
                <w:rFonts w:hint="eastAsia" w:ascii="Times New Roman" w:hAnsi="Times New Roman" w:cs="宋体"/>
                <w:color w:val="auto"/>
                <w:kern w:val="0"/>
                <w:sz w:val="24"/>
                <w:szCs w:val="21"/>
              </w:rPr>
              <w:t>根据现场调查，评价区内无自然保护区、风景名胜区、居住区、文化区和农村地区中人群较集中的区域等敏感区域，无地下水集中式饮用水水源和热水、矿泉水、温泉等特殊地下水资源。周边各环境要素的敏感环境保护目标见表3-2。</w:t>
            </w:r>
          </w:p>
          <w:p w14:paraId="63788E8B">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表3-2 敏感环境保护目标</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46"/>
              <w:gridCol w:w="707"/>
              <w:gridCol w:w="870"/>
              <w:gridCol w:w="1424"/>
              <w:gridCol w:w="849"/>
              <w:gridCol w:w="531"/>
              <w:gridCol w:w="570"/>
              <w:gridCol w:w="1840"/>
            </w:tblGrid>
            <w:tr w14:paraId="0B01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268" w:type="pct"/>
                  <w:vMerge w:val="restart"/>
                  <w:noWrap w:val="0"/>
                  <w:vAlign w:val="center"/>
                </w:tcPr>
                <w:p w14:paraId="771DA213">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kern w:val="2"/>
                      <w:sz w:val="21"/>
                      <w:szCs w:val="21"/>
                      <w:highlight w:val="none"/>
                    </w:rPr>
                    <w:t>环境要素</w:t>
                  </w:r>
                </w:p>
              </w:tc>
              <w:tc>
                <w:tcPr>
                  <w:tcW w:w="468" w:type="pct"/>
                  <w:vMerge w:val="restart"/>
                  <w:noWrap w:val="0"/>
                  <w:vAlign w:val="center"/>
                </w:tcPr>
                <w:p w14:paraId="1E1FF8DB">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kern w:val="2"/>
                      <w:sz w:val="21"/>
                      <w:szCs w:val="21"/>
                      <w:highlight w:val="none"/>
                    </w:rPr>
                    <w:t>名称</w:t>
                  </w:r>
                </w:p>
              </w:tc>
              <w:tc>
                <w:tcPr>
                  <w:tcW w:w="1884" w:type="pct"/>
                  <w:gridSpan w:val="3"/>
                  <w:noWrap w:val="0"/>
                  <w:vAlign w:val="center"/>
                </w:tcPr>
                <w:p w14:paraId="23B39BA6">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kern w:val="2"/>
                      <w:sz w:val="21"/>
                      <w:szCs w:val="21"/>
                      <w:highlight w:val="none"/>
                    </w:rPr>
                    <w:t>坐标</w:t>
                  </w:r>
                </w:p>
              </w:tc>
              <w:tc>
                <w:tcPr>
                  <w:tcW w:w="533" w:type="pct"/>
                  <w:vMerge w:val="restart"/>
                  <w:noWrap w:val="0"/>
                  <w:vAlign w:val="center"/>
                </w:tcPr>
                <w:p w14:paraId="723DF2A9">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lang w:eastAsia="zh-CN"/>
                    </w:rPr>
                  </w:pPr>
                  <w:r>
                    <w:rPr>
                      <w:rFonts w:hint="default" w:ascii="Times New Roman" w:hAnsi="Times New Roman" w:cs="Times New Roman"/>
                      <w:b/>
                      <w:bCs/>
                      <w:color w:val="auto"/>
                      <w:kern w:val="2"/>
                      <w:sz w:val="21"/>
                      <w:szCs w:val="21"/>
                      <w:highlight w:val="none"/>
                    </w:rPr>
                    <w:t>保护内容</w:t>
                  </w:r>
                  <w:r>
                    <w:rPr>
                      <w:rFonts w:hint="eastAsia" w:ascii="Times New Roman" w:hAnsi="Times New Roman" w:cs="Times New Roman"/>
                      <w:b/>
                      <w:bCs/>
                      <w:color w:val="auto"/>
                      <w:kern w:val="2"/>
                      <w:sz w:val="21"/>
                      <w:szCs w:val="21"/>
                      <w:highlight w:val="none"/>
                      <w:lang w:eastAsia="zh-CN"/>
                    </w:rPr>
                    <w:t>（人）</w:t>
                  </w:r>
                </w:p>
              </w:tc>
              <w:tc>
                <w:tcPr>
                  <w:tcW w:w="333" w:type="pct"/>
                  <w:vMerge w:val="restart"/>
                  <w:noWrap w:val="0"/>
                  <w:vAlign w:val="center"/>
                </w:tcPr>
                <w:p w14:paraId="3942291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spacing w:val="-6"/>
                      <w:sz w:val="21"/>
                      <w:szCs w:val="21"/>
                      <w:highlight w:val="none"/>
                    </w:rPr>
                    <w:t>相对厂界距离/m</w:t>
                  </w:r>
                </w:p>
              </w:tc>
              <w:tc>
                <w:tcPr>
                  <w:tcW w:w="357" w:type="pct"/>
                  <w:vMerge w:val="restart"/>
                  <w:noWrap w:val="0"/>
                  <w:vAlign w:val="center"/>
                </w:tcPr>
                <w:p w14:paraId="21DAC458">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spacing w:val="-6"/>
                      <w:sz w:val="21"/>
                      <w:szCs w:val="21"/>
                      <w:highlight w:val="none"/>
                    </w:rPr>
                    <w:t>相对厂址方位</w:t>
                  </w:r>
                </w:p>
              </w:tc>
              <w:tc>
                <w:tcPr>
                  <w:tcW w:w="1155" w:type="pct"/>
                  <w:vMerge w:val="restart"/>
                  <w:noWrap w:val="0"/>
                  <w:vAlign w:val="center"/>
                </w:tcPr>
                <w:p w14:paraId="0ABF3CC3">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r>
                    <w:rPr>
                      <w:rFonts w:hint="default" w:ascii="Times New Roman" w:hAnsi="Times New Roman" w:cs="Times New Roman"/>
                      <w:b/>
                      <w:bCs/>
                      <w:color w:val="auto"/>
                      <w:spacing w:val="-6"/>
                      <w:sz w:val="21"/>
                      <w:szCs w:val="21"/>
                      <w:highlight w:val="none"/>
                    </w:rPr>
                    <w:t>环境功能区</w:t>
                  </w:r>
                </w:p>
              </w:tc>
            </w:tr>
            <w:tr w14:paraId="5050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68" w:type="pct"/>
                  <w:vMerge w:val="continue"/>
                  <w:noWrap w:val="0"/>
                  <w:vAlign w:val="center"/>
                </w:tcPr>
                <w:p w14:paraId="71E5F204">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highlight w:val="none"/>
                    </w:rPr>
                  </w:pPr>
                </w:p>
              </w:tc>
              <w:tc>
                <w:tcPr>
                  <w:tcW w:w="468" w:type="pct"/>
                  <w:vMerge w:val="continue"/>
                  <w:noWrap w:val="0"/>
                  <w:vAlign w:val="center"/>
                </w:tcPr>
                <w:p w14:paraId="5FE0E439">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highlight w:val="none"/>
                    </w:rPr>
                  </w:pPr>
                </w:p>
              </w:tc>
              <w:tc>
                <w:tcPr>
                  <w:tcW w:w="990" w:type="pct"/>
                  <w:gridSpan w:val="2"/>
                  <w:noWrap w:val="0"/>
                  <w:vAlign w:val="center"/>
                </w:tcPr>
                <w:p w14:paraId="617E497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rPr>
                  </w:pPr>
                  <w:r>
                    <w:rPr>
                      <w:rFonts w:hint="eastAsia" w:cs="Times New Roman"/>
                      <w:b/>
                      <w:bCs/>
                      <w:color w:val="auto"/>
                      <w:kern w:val="2"/>
                      <w:sz w:val="21"/>
                      <w:szCs w:val="21"/>
                      <w:highlight w:val="none"/>
                      <w:lang w:val="en-US" w:eastAsia="zh-CN"/>
                    </w:rPr>
                    <w:t>东经</w:t>
                  </w:r>
                </w:p>
              </w:tc>
              <w:tc>
                <w:tcPr>
                  <w:tcW w:w="894" w:type="pct"/>
                  <w:noWrap w:val="0"/>
                  <w:vAlign w:val="center"/>
                </w:tcPr>
                <w:p w14:paraId="4770874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rPr>
                  </w:pPr>
                  <w:r>
                    <w:rPr>
                      <w:rFonts w:hint="eastAsia" w:cs="Times New Roman"/>
                      <w:b/>
                      <w:bCs/>
                      <w:color w:val="auto"/>
                      <w:kern w:val="2"/>
                      <w:sz w:val="21"/>
                      <w:szCs w:val="21"/>
                      <w:highlight w:val="none"/>
                      <w:lang w:val="en-US" w:eastAsia="zh-CN"/>
                    </w:rPr>
                    <w:t>北纬</w:t>
                  </w:r>
                </w:p>
              </w:tc>
              <w:tc>
                <w:tcPr>
                  <w:tcW w:w="533" w:type="pct"/>
                  <w:vMerge w:val="continue"/>
                  <w:noWrap w:val="0"/>
                  <w:vAlign w:val="center"/>
                </w:tcPr>
                <w:p w14:paraId="275A462B">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p>
              </w:tc>
              <w:tc>
                <w:tcPr>
                  <w:tcW w:w="333" w:type="pct"/>
                  <w:vMerge w:val="continue"/>
                  <w:noWrap w:val="0"/>
                  <w:vAlign w:val="center"/>
                </w:tcPr>
                <w:p w14:paraId="3CEE18B8">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p>
              </w:tc>
              <w:tc>
                <w:tcPr>
                  <w:tcW w:w="357" w:type="pct"/>
                  <w:vMerge w:val="continue"/>
                  <w:noWrap w:val="0"/>
                  <w:vAlign w:val="center"/>
                </w:tcPr>
                <w:p w14:paraId="4D6469CF">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p>
              </w:tc>
              <w:tc>
                <w:tcPr>
                  <w:tcW w:w="1155" w:type="pct"/>
                  <w:vMerge w:val="continue"/>
                  <w:noWrap w:val="0"/>
                  <w:vAlign w:val="center"/>
                </w:tcPr>
                <w:p w14:paraId="021F8A88">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 w:val="21"/>
                      <w:szCs w:val="21"/>
                      <w:highlight w:val="none"/>
                    </w:rPr>
                  </w:pPr>
                </w:p>
              </w:tc>
            </w:tr>
            <w:tr w14:paraId="5AEE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68" w:type="pct"/>
                  <w:vMerge w:val="restart"/>
                  <w:noWrap w:val="0"/>
                  <w:vAlign w:val="center"/>
                </w:tcPr>
                <w:p w14:paraId="47BEFC59">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环境空气</w:t>
                  </w:r>
                </w:p>
              </w:tc>
              <w:tc>
                <w:tcPr>
                  <w:tcW w:w="468" w:type="pct"/>
                  <w:noWrap w:val="0"/>
                  <w:vAlign w:val="center"/>
                </w:tcPr>
                <w:p w14:paraId="57EA369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spacing w:val="-1"/>
                      <w:lang w:val="en-US" w:eastAsia="zh-CN"/>
                    </w:rPr>
                    <w:t>东关小区</w:t>
                  </w:r>
                </w:p>
              </w:tc>
              <w:tc>
                <w:tcPr>
                  <w:tcW w:w="990" w:type="pct"/>
                  <w:gridSpan w:val="2"/>
                  <w:noWrap w:val="0"/>
                  <w:vAlign w:val="center"/>
                </w:tcPr>
                <w:p w14:paraId="3BE185C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106.869303</w:t>
                  </w:r>
                </w:p>
              </w:tc>
              <w:tc>
                <w:tcPr>
                  <w:tcW w:w="894" w:type="pct"/>
                  <w:noWrap w:val="0"/>
                  <w:vAlign w:val="center"/>
                </w:tcPr>
                <w:p w14:paraId="09D6660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34.891761</w:t>
                  </w:r>
                </w:p>
              </w:tc>
              <w:tc>
                <w:tcPr>
                  <w:tcW w:w="533" w:type="pct"/>
                  <w:noWrap w:val="0"/>
                  <w:vAlign w:val="center"/>
                </w:tcPr>
                <w:p w14:paraId="42B877A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120</w:t>
                  </w:r>
                  <w:r>
                    <w:rPr>
                      <w:rFonts w:hint="eastAsia" w:ascii="Times New Roman" w:hAnsi="Times New Roman" w:eastAsia="宋体" w:cs="Times New Roman"/>
                      <w:color w:val="auto"/>
                      <w:kern w:val="2"/>
                      <w:sz w:val="21"/>
                      <w:szCs w:val="21"/>
                      <w:highlight w:val="none"/>
                      <w:lang w:val="en-US" w:eastAsia="zh-CN"/>
                    </w:rPr>
                    <w:t>户/</w:t>
                  </w:r>
                  <w:r>
                    <w:rPr>
                      <w:rFonts w:hint="eastAsia" w:cs="Times New Roman"/>
                      <w:color w:val="auto"/>
                      <w:kern w:val="2"/>
                      <w:sz w:val="21"/>
                      <w:szCs w:val="21"/>
                      <w:highlight w:val="none"/>
                      <w:lang w:val="en-US" w:eastAsia="zh-CN"/>
                    </w:rPr>
                    <w:t>380</w:t>
                  </w:r>
                  <w:r>
                    <w:rPr>
                      <w:rFonts w:hint="eastAsia" w:ascii="Times New Roman" w:hAnsi="Times New Roman" w:eastAsia="宋体" w:cs="Times New Roman"/>
                      <w:color w:val="auto"/>
                      <w:kern w:val="2"/>
                      <w:sz w:val="21"/>
                      <w:szCs w:val="21"/>
                      <w:highlight w:val="none"/>
                      <w:lang w:val="en-US" w:eastAsia="zh-CN"/>
                    </w:rPr>
                    <w:t>人</w:t>
                  </w:r>
                </w:p>
              </w:tc>
              <w:tc>
                <w:tcPr>
                  <w:tcW w:w="333" w:type="pct"/>
                  <w:noWrap w:val="0"/>
                  <w:vAlign w:val="center"/>
                </w:tcPr>
                <w:p w14:paraId="4A37EEA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80</w:t>
                  </w:r>
                </w:p>
              </w:tc>
              <w:tc>
                <w:tcPr>
                  <w:tcW w:w="357" w:type="pct"/>
                  <w:noWrap w:val="0"/>
                  <w:vAlign w:val="center"/>
                </w:tcPr>
                <w:p w14:paraId="6264B65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N</w:t>
                  </w:r>
                  <w:r>
                    <w:rPr>
                      <w:rFonts w:hint="eastAsia" w:cs="Times New Roman"/>
                      <w:color w:val="auto"/>
                      <w:kern w:val="2"/>
                      <w:sz w:val="21"/>
                      <w:szCs w:val="21"/>
                      <w:highlight w:val="none"/>
                      <w:lang w:val="en-US" w:eastAsia="zh-CN"/>
                    </w:rPr>
                    <w:t>E</w:t>
                  </w:r>
                </w:p>
              </w:tc>
              <w:tc>
                <w:tcPr>
                  <w:tcW w:w="1155" w:type="pct"/>
                  <w:vMerge w:val="restart"/>
                  <w:noWrap w:val="0"/>
                  <w:vAlign w:val="center"/>
                </w:tcPr>
                <w:p w14:paraId="4BF99E6A">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《环境空气质量标准》</w:t>
                  </w:r>
                  <w:r>
                    <w:rPr>
                      <w:rFonts w:hint="eastAsia" w:ascii="Times New Roman" w:hAnsi="Times New Roman" w:cs="Times New Roman"/>
                      <w:color w:val="auto"/>
                      <w:kern w:val="2"/>
                      <w:sz w:val="21"/>
                      <w:szCs w:val="21"/>
                      <w:highlight w:val="none"/>
                      <w:lang w:eastAsia="zh-CN"/>
                    </w:rPr>
                    <w:t>（</w:t>
                  </w:r>
                  <w:r>
                    <w:rPr>
                      <w:rFonts w:hint="default" w:ascii="Times New Roman" w:hAnsi="Times New Roman" w:cs="Times New Roman"/>
                      <w:color w:val="auto"/>
                      <w:kern w:val="2"/>
                      <w:sz w:val="21"/>
                      <w:szCs w:val="21"/>
                      <w:highlight w:val="none"/>
                    </w:rPr>
                    <w:t>GB3095-2012</w:t>
                  </w:r>
                  <w:r>
                    <w:rPr>
                      <w:rFonts w:hint="eastAsia" w:ascii="Times New Roman" w:hAnsi="Times New Roman" w:cs="Times New Roman"/>
                      <w:color w:val="auto"/>
                      <w:kern w:val="2"/>
                      <w:sz w:val="21"/>
                      <w:szCs w:val="21"/>
                      <w:highlight w:val="none"/>
                      <w:lang w:eastAsia="zh-CN"/>
                    </w:rPr>
                    <w:t>）</w:t>
                  </w:r>
                  <w:r>
                    <w:rPr>
                      <w:rFonts w:hint="default" w:ascii="Times New Roman" w:hAnsi="Times New Roman" w:cs="Times New Roman"/>
                      <w:color w:val="auto"/>
                      <w:kern w:val="2"/>
                      <w:sz w:val="21"/>
                      <w:szCs w:val="21"/>
                      <w:highlight w:val="none"/>
                    </w:rPr>
                    <w:t>中二级标准</w:t>
                  </w:r>
                </w:p>
              </w:tc>
            </w:tr>
            <w:tr w14:paraId="0695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68" w:type="pct"/>
                  <w:vMerge w:val="continue"/>
                  <w:noWrap w:val="0"/>
                  <w:vAlign w:val="center"/>
                </w:tcPr>
                <w:p w14:paraId="4DBF0A23">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p>
              </w:tc>
              <w:tc>
                <w:tcPr>
                  <w:tcW w:w="468" w:type="pct"/>
                  <w:noWrap w:val="0"/>
                  <w:vAlign w:val="center"/>
                </w:tcPr>
                <w:p w14:paraId="4F1EA3A2">
                  <w:pPr>
                    <w:keepNext w:val="0"/>
                    <w:keepLines w:val="0"/>
                    <w:suppressLineNumbers w:val="0"/>
                    <w:spacing w:before="0" w:beforeAutospacing="0" w:after="0" w:afterAutospacing="0"/>
                    <w:ind w:left="0" w:right="0"/>
                    <w:jc w:val="center"/>
                    <w:rPr>
                      <w:rFonts w:hint="default" w:cs="Times New Roman"/>
                      <w:spacing w:val="-1"/>
                      <w:lang w:val="en-US" w:eastAsia="zh-CN"/>
                    </w:rPr>
                  </w:pPr>
                  <w:r>
                    <w:rPr>
                      <w:rFonts w:hint="eastAsia" w:cs="Times New Roman"/>
                      <w:spacing w:val="-1"/>
                      <w:lang w:val="en-US" w:eastAsia="zh-CN"/>
                    </w:rPr>
                    <w:t>泰和新村</w:t>
                  </w:r>
                </w:p>
              </w:tc>
              <w:tc>
                <w:tcPr>
                  <w:tcW w:w="990" w:type="pct"/>
                  <w:gridSpan w:val="2"/>
                  <w:noWrap w:val="0"/>
                  <w:vAlign w:val="center"/>
                </w:tcPr>
                <w:p w14:paraId="33039E0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106.864271</w:t>
                  </w:r>
                </w:p>
              </w:tc>
              <w:tc>
                <w:tcPr>
                  <w:tcW w:w="894" w:type="pct"/>
                  <w:noWrap w:val="0"/>
                  <w:vAlign w:val="center"/>
                </w:tcPr>
                <w:p w14:paraId="4588090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34.892230</w:t>
                  </w:r>
                </w:p>
              </w:tc>
              <w:tc>
                <w:tcPr>
                  <w:tcW w:w="533" w:type="pct"/>
                  <w:noWrap w:val="0"/>
                  <w:vAlign w:val="center"/>
                </w:tcPr>
                <w:p w14:paraId="20F8676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40</w:t>
                  </w:r>
                  <w:r>
                    <w:rPr>
                      <w:rFonts w:hint="eastAsia" w:ascii="Times New Roman" w:hAnsi="Times New Roman" w:eastAsia="宋体" w:cs="Times New Roman"/>
                      <w:color w:val="auto"/>
                      <w:kern w:val="2"/>
                      <w:sz w:val="21"/>
                      <w:szCs w:val="21"/>
                      <w:highlight w:val="none"/>
                      <w:lang w:val="en-US" w:eastAsia="zh-CN"/>
                    </w:rPr>
                    <w:t>户/</w:t>
                  </w:r>
                  <w:r>
                    <w:rPr>
                      <w:rFonts w:hint="eastAsia" w:cs="Times New Roman"/>
                      <w:color w:val="auto"/>
                      <w:kern w:val="2"/>
                      <w:sz w:val="21"/>
                      <w:szCs w:val="21"/>
                      <w:highlight w:val="none"/>
                      <w:lang w:val="en-US" w:eastAsia="zh-CN"/>
                    </w:rPr>
                    <w:t>150</w:t>
                  </w:r>
                  <w:r>
                    <w:rPr>
                      <w:rFonts w:hint="eastAsia" w:ascii="Times New Roman" w:hAnsi="Times New Roman" w:eastAsia="宋体" w:cs="Times New Roman"/>
                      <w:color w:val="auto"/>
                      <w:kern w:val="2"/>
                      <w:sz w:val="21"/>
                      <w:szCs w:val="21"/>
                      <w:highlight w:val="none"/>
                      <w:lang w:val="en-US" w:eastAsia="zh-CN"/>
                    </w:rPr>
                    <w:t>人</w:t>
                  </w:r>
                </w:p>
              </w:tc>
              <w:tc>
                <w:tcPr>
                  <w:tcW w:w="333" w:type="pct"/>
                  <w:noWrap w:val="0"/>
                  <w:vAlign w:val="center"/>
                </w:tcPr>
                <w:p w14:paraId="7929DDE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450</w:t>
                  </w:r>
                </w:p>
              </w:tc>
              <w:tc>
                <w:tcPr>
                  <w:tcW w:w="357" w:type="pct"/>
                  <w:noWrap w:val="0"/>
                  <w:vAlign w:val="center"/>
                </w:tcPr>
                <w:p w14:paraId="7F006F4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NW</w:t>
                  </w:r>
                </w:p>
              </w:tc>
              <w:tc>
                <w:tcPr>
                  <w:tcW w:w="1155" w:type="pct"/>
                  <w:vMerge w:val="continue"/>
                  <w:noWrap w:val="0"/>
                  <w:vAlign w:val="center"/>
                </w:tcPr>
                <w:p w14:paraId="000C6738">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p>
              </w:tc>
            </w:tr>
            <w:tr w14:paraId="14D2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noWrap w:val="0"/>
                  <w:vAlign w:val="center"/>
                </w:tcPr>
                <w:p w14:paraId="357F1B4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地下水</w:t>
                  </w:r>
                </w:p>
              </w:tc>
              <w:tc>
                <w:tcPr>
                  <w:tcW w:w="4731" w:type="pct"/>
                  <w:gridSpan w:val="8"/>
                  <w:noWrap w:val="0"/>
                  <w:vAlign w:val="center"/>
                </w:tcPr>
                <w:p w14:paraId="30197378">
                  <w:pPr>
                    <w:pStyle w:val="56"/>
                    <w:keepNext w:val="0"/>
                    <w:keepLines w:val="0"/>
                    <w:suppressLineNumbers w:val="0"/>
                    <w:snapToGrid w:val="0"/>
                    <w:spacing w:before="0" w:beforeAutospacing="0" w:after="0" w:afterAutospacing="0"/>
                    <w:ind w:left="0" w:right="0"/>
                    <w:rPr>
                      <w:rFonts w:hint="default" w:ascii="Times New Roman" w:cs="Times New Roman"/>
                      <w:color w:val="auto"/>
                      <w:spacing w:val="-11"/>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厂界外500m范围内无集中式饮用水水源地和热水、矿泉水、温泉等特殊地表水资源</w:t>
                  </w:r>
                </w:p>
              </w:tc>
            </w:tr>
            <w:tr w14:paraId="21DD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68" w:type="pct"/>
                  <w:noWrap w:val="0"/>
                  <w:vAlign w:val="center"/>
                </w:tcPr>
                <w:p w14:paraId="155E38A4">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声环境</w:t>
                  </w:r>
                </w:p>
              </w:tc>
              <w:tc>
                <w:tcPr>
                  <w:tcW w:w="912" w:type="pct"/>
                  <w:gridSpan w:val="2"/>
                  <w:noWrap w:val="0"/>
                  <w:vAlign w:val="center"/>
                </w:tcPr>
                <w:p w14:paraId="6CE01C02">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厂界</w:t>
                  </w:r>
                </w:p>
              </w:tc>
              <w:tc>
                <w:tcPr>
                  <w:tcW w:w="2664" w:type="pct"/>
                  <w:gridSpan w:val="5"/>
                  <w:noWrap w:val="0"/>
                  <w:vAlign w:val="center"/>
                </w:tcPr>
                <w:p w14:paraId="4D7050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1155" w:type="pct"/>
                  <w:noWrap w:val="0"/>
                  <w:vAlign w:val="center"/>
                </w:tcPr>
                <w:p w14:paraId="360E81C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Cs w:val="21"/>
                      <w:highlight w:val="none"/>
                    </w:rPr>
                    <w:t>《声环境质量标准》（GB3096-2008）</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类标准</w:t>
                  </w:r>
                </w:p>
              </w:tc>
            </w:tr>
            <w:tr w14:paraId="6F62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noWrap w:val="0"/>
                  <w:vAlign w:val="center"/>
                </w:tcPr>
                <w:p w14:paraId="10A3DE79">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生态环境</w:t>
                  </w:r>
                </w:p>
              </w:tc>
              <w:tc>
                <w:tcPr>
                  <w:tcW w:w="912" w:type="pct"/>
                  <w:gridSpan w:val="2"/>
                  <w:noWrap w:val="0"/>
                  <w:vAlign w:val="center"/>
                </w:tcPr>
                <w:p w14:paraId="4DF0518B">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动植物、自然景观、生态系统等</w:t>
                  </w:r>
                </w:p>
              </w:tc>
              <w:tc>
                <w:tcPr>
                  <w:tcW w:w="2664" w:type="pct"/>
                  <w:gridSpan w:val="5"/>
                  <w:noWrap w:val="0"/>
                  <w:vAlign w:val="center"/>
                </w:tcPr>
                <w:p w14:paraId="653F0F7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1155" w:type="pct"/>
                  <w:noWrap w:val="0"/>
                  <w:vAlign w:val="center"/>
                </w:tcPr>
                <w:p w14:paraId="2D080F2C">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尽可能减少占压土地、植被</w:t>
                  </w:r>
                  <w:r>
                    <w:rPr>
                      <w:rFonts w:hint="eastAsia" w:ascii="Times New Roman" w:hAnsi="Times New Roman" w:cs="Times New Roman"/>
                      <w:color w:val="auto"/>
                      <w:kern w:val="2"/>
                      <w:sz w:val="21"/>
                      <w:szCs w:val="21"/>
                      <w:highlight w:val="none"/>
                    </w:rPr>
                    <w:t>；</w:t>
                  </w:r>
                </w:p>
              </w:tc>
            </w:tr>
          </w:tbl>
          <w:p w14:paraId="685EC9F5">
            <w:pPr>
              <w:pStyle w:val="35"/>
              <w:keepNext w:val="0"/>
              <w:keepLines w:val="0"/>
              <w:suppressLineNumbers w:val="0"/>
              <w:spacing w:before="0" w:beforeAutospacing="0" w:after="0" w:afterAutospacing="0"/>
              <w:ind w:left="0" w:right="0"/>
              <w:rPr>
                <w:rFonts w:hint="eastAsia" w:ascii="Times New Roman" w:hAnsi="Times New Roman" w:cs="宋体"/>
                <w:color w:val="auto"/>
                <w:kern w:val="0"/>
                <w:sz w:val="24"/>
                <w:szCs w:val="21"/>
              </w:rPr>
            </w:pPr>
          </w:p>
        </w:tc>
      </w:tr>
      <w:tr w14:paraId="38E9A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800" w:type="dxa"/>
            <w:noWrap w:val="0"/>
            <w:tcMar>
              <w:left w:w="28" w:type="dxa"/>
              <w:right w:w="28" w:type="dxa"/>
            </w:tcMar>
            <w:vAlign w:val="center"/>
          </w:tcPr>
          <w:p w14:paraId="71841E8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污染</w:t>
            </w:r>
          </w:p>
          <w:p w14:paraId="5A980201">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物排</w:t>
            </w:r>
          </w:p>
          <w:p w14:paraId="64F1FD90">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放控</w:t>
            </w:r>
          </w:p>
          <w:p w14:paraId="2987C32C">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制标</w:t>
            </w:r>
          </w:p>
          <w:p w14:paraId="7F1232D1">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color w:val="auto"/>
                <w:kern w:val="0"/>
                <w:szCs w:val="21"/>
              </w:rPr>
              <w:t>准</w:t>
            </w:r>
          </w:p>
        </w:tc>
        <w:tc>
          <w:tcPr>
            <w:tcW w:w="8190" w:type="dxa"/>
            <w:noWrap w:val="0"/>
            <w:vAlign w:val="center"/>
          </w:tcPr>
          <w:p w14:paraId="0BE0F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000000"/>
                <w:kern w:val="0"/>
                <w:sz w:val="24"/>
                <w:szCs w:val="21"/>
                <w:lang w:eastAsia="zh-CN"/>
              </w:rPr>
            </w:pPr>
            <w:r>
              <w:rPr>
                <w:rFonts w:hint="eastAsia" w:ascii="Times New Roman" w:hAnsi="Times New Roman" w:eastAsia="宋体" w:cs="宋体"/>
                <w:color w:val="000000"/>
                <w:kern w:val="0"/>
                <w:sz w:val="24"/>
                <w:szCs w:val="21"/>
              </w:rPr>
              <w:t>1、</w:t>
            </w:r>
            <w:r>
              <w:rPr>
                <w:rFonts w:hint="eastAsia" w:ascii="Times New Roman" w:hAnsi="Times New Roman" w:eastAsia="宋体" w:cs="宋体"/>
                <w:color w:val="000000"/>
                <w:kern w:val="0"/>
                <w:sz w:val="24"/>
                <w:szCs w:val="21"/>
                <w:lang w:val="en-US" w:eastAsia="zh-CN"/>
              </w:rPr>
              <w:t>项目</w:t>
            </w:r>
            <w:r>
              <w:rPr>
                <w:rFonts w:hint="eastAsia" w:ascii="Times New Roman" w:hAnsi="Times New Roman" w:eastAsia="宋体" w:cs="宋体"/>
                <w:color w:val="000000"/>
                <w:kern w:val="0"/>
                <w:sz w:val="24"/>
                <w:szCs w:val="21"/>
              </w:rPr>
              <w:t>锅炉</w:t>
            </w:r>
            <w:r>
              <w:rPr>
                <w:rFonts w:hint="eastAsia" w:cs="宋体"/>
                <w:color w:val="000000"/>
                <w:kern w:val="0"/>
                <w:sz w:val="24"/>
                <w:szCs w:val="21"/>
                <w:lang w:val="en-US" w:eastAsia="zh-CN"/>
              </w:rPr>
              <w:t>烟气</w:t>
            </w:r>
            <w:r>
              <w:rPr>
                <w:rFonts w:hint="eastAsia" w:ascii="Times New Roman" w:hAnsi="Times New Roman" w:eastAsia="宋体" w:cs="宋体"/>
                <w:color w:val="000000"/>
                <w:kern w:val="0"/>
                <w:sz w:val="24"/>
                <w:szCs w:val="21"/>
              </w:rPr>
              <w:t>排放执行《锅炉大气污染物排放标准》（DB61/1226-2018）表</w:t>
            </w:r>
            <w:r>
              <w:rPr>
                <w:rFonts w:hint="eastAsia" w:cs="宋体"/>
                <w:color w:val="000000"/>
                <w:kern w:val="0"/>
                <w:sz w:val="24"/>
                <w:szCs w:val="21"/>
                <w:lang w:val="en-US" w:eastAsia="zh-CN"/>
              </w:rPr>
              <w:t>3</w:t>
            </w:r>
            <w:r>
              <w:rPr>
                <w:rFonts w:hint="eastAsia" w:ascii="Times New Roman" w:hAnsi="Times New Roman" w:eastAsia="宋体" w:cs="宋体"/>
                <w:color w:val="000000"/>
                <w:kern w:val="0"/>
                <w:sz w:val="24"/>
                <w:szCs w:val="21"/>
              </w:rPr>
              <w:t>中标准限值</w:t>
            </w:r>
            <w:r>
              <w:rPr>
                <w:rFonts w:hint="eastAsia" w:ascii="Times New Roman" w:hAnsi="Times New Roman" w:eastAsia="宋体" w:cs="宋体"/>
                <w:color w:val="000000"/>
                <w:kern w:val="0"/>
                <w:sz w:val="24"/>
                <w:szCs w:val="21"/>
                <w:lang w:eastAsia="zh-CN"/>
              </w:rPr>
              <w:t>。</w:t>
            </w:r>
          </w:p>
          <w:p w14:paraId="65A89164">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表3-3 废气污染物排放限值单位mg/m</w:t>
            </w:r>
            <w:r>
              <w:rPr>
                <w:rFonts w:hint="eastAsia" w:ascii="Times New Roman" w:hAnsi="Times New Roman" w:eastAsia="宋体" w:cs="宋体"/>
                <w:b/>
                <w:bCs/>
                <w:color w:val="auto"/>
                <w:sz w:val="21"/>
                <w:szCs w:val="21"/>
                <w:vertAlign w:val="superscript"/>
                <w:lang w:val="en-US" w:eastAsia="zh-CN"/>
              </w:rPr>
              <w:t>3</w:t>
            </w:r>
          </w:p>
          <w:tbl>
            <w:tblPr>
              <w:tblStyle w:val="19"/>
              <w:tblW w:w="47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9"/>
              <w:gridCol w:w="1880"/>
              <w:gridCol w:w="1530"/>
              <w:gridCol w:w="2650"/>
            </w:tblGrid>
            <w:tr w14:paraId="1A144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59" w:type="pct"/>
                  <w:noWrap w:val="0"/>
                  <w:vAlign w:val="center"/>
                </w:tcPr>
                <w:p w14:paraId="464106F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污染物</w:t>
                  </w:r>
                </w:p>
              </w:tc>
              <w:tc>
                <w:tcPr>
                  <w:tcW w:w="1253" w:type="pct"/>
                  <w:noWrap w:val="0"/>
                  <w:vAlign w:val="center"/>
                </w:tcPr>
                <w:p w14:paraId="7E09A38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排放方式</w:t>
                  </w:r>
                </w:p>
              </w:tc>
              <w:tc>
                <w:tcPr>
                  <w:tcW w:w="1020" w:type="pct"/>
                  <w:noWrap w:val="0"/>
                  <w:vAlign w:val="center"/>
                </w:tcPr>
                <w:p w14:paraId="3C21313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浓度限值</w:t>
                  </w:r>
                </w:p>
              </w:tc>
              <w:tc>
                <w:tcPr>
                  <w:tcW w:w="1766" w:type="pct"/>
                  <w:noWrap w:val="0"/>
                  <w:vAlign w:val="center"/>
                </w:tcPr>
                <w:p w14:paraId="73A7AB85">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标准名称及级</w:t>
                  </w:r>
                  <w:r>
                    <w:rPr>
                      <w:rFonts w:hint="eastAsia" w:ascii="Times New Roman" w:hAnsi="Times New Roman" w:eastAsia="宋体"/>
                      <w:b w:val="0"/>
                      <w:bCs/>
                      <w:color w:val="auto"/>
                      <w:sz w:val="21"/>
                      <w:lang w:eastAsia="zh-CN"/>
                    </w:rPr>
                    <w:t>（</w:t>
                  </w:r>
                  <w:r>
                    <w:rPr>
                      <w:rFonts w:hint="default" w:ascii="Times New Roman" w:hAnsi="Times New Roman" w:eastAsia="宋体"/>
                      <w:b w:val="0"/>
                      <w:bCs/>
                      <w:color w:val="auto"/>
                      <w:sz w:val="21"/>
                    </w:rPr>
                    <w:t>类</w:t>
                  </w:r>
                  <w:r>
                    <w:rPr>
                      <w:rFonts w:hint="eastAsia" w:ascii="Times New Roman" w:hAnsi="Times New Roman" w:eastAsia="宋体"/>
                      <w:b w:val="0"/>
                      <w:bCs/>
                      <w:color w:val="auto"/>
                      <w:sz w:val="21"/>
                      <w:lang w:eastAsia="zh-CN"/>
                    </w:rPr>
                    <w:t>）</w:t>
                  </w:r>
                  <w:r>
                    <w:rPr>
                      <w:rFonts w:hint="default" w:ascii="Times New Roman" w:hAnsi="Times New Roman" w:eastAsia="宋体"/>
                      <w:b w:val="0"/>
                      <w:bCs/>
                      <w:color w:val="auto"/>
                      <w:sz w:val="21"/>
                    </w:rPr>
                    <w:t>别</w:t>
                  </w:r>
                </w:p>
              </w:tc>
            </w:tr>
            <w:tr w14:paraId="66690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59" w:type="pct"/>
                  <w:noWrap w:val="0"/>
                  <w:vAlign w:val="center"/>
                </w:tcPr>
                <w:p w14:paraId="6C47B39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颗粒物</w:t>
                  </w:r>
                </w:p>
              </w:tc>
              <w:tc>
                <w:tcPr>
                  <w:tcW w:w="1253" w:type="pct"/>
                  <w:vMerge w:val="restart"/>
                  <w:noWrap w:val="0"/>
                  <w:vAlign w:val="center"/>
                </w:tcPr>
                <w:p w14:paraId="3F58020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lang w:val="en-US" w:eastAsia="zh-CN"/>
                    </w:rPr>
                  </w:pPr>
                  <w:r>
                    <w:rPr>
                      <w:rFonts w:hint="eastAsia" w:ascii="Times New Roman" w:hAnsi="Times New Roman"/>
                      <w:b w:val="0"/>
                      <w:bCs/>
                      <w:color w:val="auto"/>
                      <w:sz w:val="21"/>
                      <w:lang w:val="en-US" w:eastAsia="zh-CN"/>
                    </w:rPr>
                    <w:t>25</w:t>
                  </w:r>
                  <w:r>
                    <w:rPr>
                      <w:rFonts w:hint="eastAsia" w:ascii="Times New Roman" w:hAnsi="Times New Roman" w:eastAsia="宋体"/>
                      <w:b w:val="0"/>
                      <w:bCs/>
                      <w:color w:val="auto"/>
                      <w:sz w:val="21"/>
                      <w:lang w:val="en-US" w:eastAsia="zh-CN"/>
                    </w:rPr>
                    <w:t>m高排气筒</w:t>
                  </w:r>
                </w:p>
              </w:tc>
              <w:tc>
                <w:tcPr>
                  <w:tcW w:w="1020" w:type="pct"/>
                  <w:noWrap w:val="0"/>
                  <w:vAlign w:val="center"/>
                </w:tcPr>
                <w:p w14:paraId="18992C0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10</w:t>
                  </w:r>
                </w:p>
              </w:tc>
              <w:tc>
                <w:tcPr>
                  <w:tcW w:w="1766" w:type="pct"/>
                  <w:vMerge w:val="restart"/>
                  <w:noWrap w:val="0"/>
                  <w:vAlign w:val="center"/>
                </w:tcPr>
                <w:p w14:paraId="5CD9FF1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《锅炉大气污染物排放标准》</w:t>
                  </w:r>
                </w:p>
                <w:p w14:paraId="6487DAE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lang w:val="en-US" w:eastAsia="zh-CN"/>
                    </w:rPr>
                  </w:pPr>
                  <w:r>
                    <w:rPr>
                      <w:rFonts w:hint="default" w:ascii="Times New Roman" w:hAnsi="Times New Roman" w:eastAsia="宋体"/>
                      <w:b w:val="0"/>
                      <w:bCs/>
                      <w:color w:val="auto"/>
                      <w:sz w:val="21"/>
                    </w:rPr>
                    <w:t>（DB61/1226-2018）表</w:t>
                  </w:r>
                  <w:r>
                    <w:rPr>
                      <w:rFonts w:hint="eastAsia" w:ascii="Times New Roman" w:hAnsi="Times New Roman"/>
                      <w:b w:val="0"/>
                      <w:bCs/>
                      <w:color w:val="auto"/>
                      <w:sz w:val="21"/>
                      <w:lang w:val="en-US" w:eastAsia="zh-CN"/>
                    </w:rPr>
                    <w:t>3中天然气锅炉标准</w:t>
                  </w:r>
                </w:p>
                <w:p w14:paraId="0BFF333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规定限值</w:t>
                  </w:r>
                </w:p>
              </w:tc>
            </w:tr>
            <w:tr w14:paraId="46F16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59" w:type="pct"/>
                  <w:noWrap w:val="0"/>
                  <w:vAlign w:val="center"/>
                </w:tcPr>
                <w:p w14:paraId="7FBC964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SO</w:t>
                  </w:r>
                  <w:r>
                    <w:rPr>
                      <w:rFonts w:hint="default" w:ascii="Times New Roman" w:hAnsi="Times New Roman" w:eastAsia="宋体"/>
                      <w:b w:val="0"/>
                      <w:bCs/>
                      <w:color w:val="auto"/>
                      <w:sz w:val="21"/>
                      <w:vertAlign w:val="subscript"/>
                    </w:rPr>
                    <w:t>2</w:t>
                  </w:r>
                </w:p>
              </w:tc>
              <w:tc>
                <w:tcPr>
                  <w:tcW w:w="1253" w:type="pct"/>
                  <w:vMerge w:val="continue"/>
                  <w:noWrap w:val="0"/>
                  <w:vAlign w:val="center"/>
                </w:tcPr>
                <w:p w14:paraId="64F77CB2">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p>
              </w:tc>
              <w:tc>
                <w:tcPr>
                  <w:tcW w:w="1020" w:type="pct"/>
                  <w:noWrap w:val="0"/>
                  <w:vAlign w:val="center"/>
                </w:tcPr>
                <w:p w14:paraId="0C9F5E4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lang w:val="en-US" w:eastAsia="zh-CN"/>
                    </w:rPr>
                  </w:pPr>
                  <w:r>
                    <w:rPr>
                      <w:rFonts w:hint="eastAsia" w:ascii="Times New Roman" w:hAnsi="Times New Roman"/>
                      <w:b w:val="0"/>
                      <w:bCs/>
                      <w:color w:val="auto"/>
                      <w:sz w:val="21"/>
                      <w:lang w:val="en-US" w:eastAsia="zh-CN"/>
                    </w:rPr>
                    <w:t>20</w:t>
                  </w:r>
                </w:p>
              </w:tc>
              <w:tc>
                <w:tcPr>
                  <w:tcW w:w="1766" w:type="pct"/>
                  <w:vMerge w:val="continue"/>
                  <w:tcBorders>
                    <w:top w:val="nil"/>
                  </w:tcBorders>
                  <w:noWrap w:val="0"/>
                  <w:vAlign w:val="center"/>
                </w:tcPr>
                <w:p w14:paraId="75E765D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p>
              </w:tc>
            </w:tr>
            <w:tr w14:paraId="11AE6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959" w:type="pct"/>
                  <w:noWrap w:val="0"/>
                  <w:vAlign w:val="center"/>
                </w:tcPr>
                <w:p w14:paraId="5BC6FE47">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NOx</w:t>
                  </w:r>
                </w:p>
              </w:tc>
              <w:tc>
                <w:tcPr>
                  <w:tcW w:w="1253" w:type="pct"/>
                  <w:vMerge w:val="continue"/>
                  <w:noWrap w:val="0"/>
                  <w:vAlign w:val="center"/>
                </w:tcPr>
                <w:p w14:paraId="5EFF4D7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p>
              </w:tc>
              <w:tc>
                <w:tcPr>
                  <w:tcW w:w="1020" w:type="pct"/>
                  <w:noWrap w:val="0"/>
                  <w:vAlign w:val="center"/>
                </w:tcPr>
                <w:p w14:paraId="1EC16DB9">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r>
                    <w:rPr>
                      <w:rFonts w:hint="default" w:ascii="Times New Roman" w:hAnsi="Times New Roman" w:eastAsia="宋体"/>
                      <w:b w:val="0"/>
                      <w:bCs/>
                      <w:color w:val="auto"/>
                      <w:sz w:val="21"/>
                    </w:rPr>
                    <w:t>50</w:t>
                  </w:r>
                </w:p>
              </w:tc>
              <w:tc>
                <w:tcPr>
                  <w:tcW w:w="1766" w:type="pct"/>
                  <w:vMerge w:val="continue"/>
                  <w:tcBorders>
                    <w:top w:val="nil"/>
                  </w:tcBorders>
                  <w:noWrap w:val="0"/>
                  <w:vAlign w:val="center"/>
                </w:tcPr>
                <w:p w14:paraId="4183461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b w:val="0"/>
                      <w:bCs/>
                      <w:color w:val="auto"/>
                      <w:sz w:val="21"/>
                    </w:rPr>
                  </w:pPr>
                </w:p>
              </w:tc>
            </w:tr>
          </w:tbl>
          <w:p w14:paraId="618B0F1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rPr>
            </w:pPr>
            <w:r>
              <w:rPr>
                <w:rFonts w:hint="eastAsia" w:ascii="Times New Roman" w:hAnsi="Times New Roman" w:cs="宋体"/>
                <w:color w:val="auto"/>
                <w:kern w:val="0"/>
                <w:sz w:val="24"/>
                <w:szCs w:val="21"/>
              </w:rPr>
              <w:t>2、项目废水排放执行《污水综合排放标准》</w:t>
            </w:r>
            <w:r>
              <w:rPr>
                <w:rFonts w:hint="eastAsia" w:ascii="Times New Roman" w:cs="宋体"/>
                <w:color w:val="auto"/>
                <w:kern w:val="0"/>
                <w:sz w:val="24"/>
                <w:szCs w:val="21"/>
                <w:lang w:eastAsia="zh-CN"/>
              </w:rPr>
              <w:t>（</w:t>
            </w:r>
            <w:r>
              <w:rPr>
                <w:rFonts w:hint="eastAsia" w:ascii="Times New Roman" w:hAnsi="Times New Roman" w:cs="宋体"/>
                <w:color w:val="auto"/>
                <w:kern w:val="0"/>
                <w:sz w:val="24"/>
                <w:szCs w:val="21"/>
              </w:rPr>
              <w:t>GB8978-1996</w:t>
            </w:r>
            <w:r>
              <w:rPr>
                <w:rFonts w:hint="eastAsia" w:ascii="Times New Roman" w:cs="宋体"/>
                <w:color w:val="auto"/>
                <w:kern w:val="0"/>
                <w:sz w:val="24"/>
                <w:szCs w:val="21"/>
                <w:lang w:eastAsia="zh-CN"/>
              </w:rPr>
              <w:t>）</w:t>
            </w:r>
            <w:r>
              <w:rPr>
                <w:rFonts w:hint="eastAsia" w:ascii="Times New Roman" w:hAnsi="Times New Roman" w:cs="宋体"/>
                <w:color w:val="auto"/>
                <w:kern w:val="0"/>
                <w:sz w:val="24"/>
                <w:szCs w:val="21"/>
              </w:rPr>
              <w:t>三级标准及《污水排入城镇下水道水质标准》</w:t>
            </w:r>
            <w:r>
              <w:rPr>
                <w:rFonts w:hint="eastAsia" w:ascii="Times New Roman" w:cs="宋体"/>
                <w:color w:val="auto"/>
                <w:kern w:val="0"/>
                <w:sz w:val="24"/>
                <w:szCs w:val="21"/>
                <w:lang w:eastAsia="zh-CN"/>
              </w:rPr>
              <w:t>（</w:t>
            </w:r>
            <w:r>
              <w:rPr>
                <w:rFonts w:hint="eastAsia" w:ascii="Times New Roman" w:hAnsi="Times New Roman" w:cs="宋体"/>
                <w:color w:val="auto"/>
                <w:kern w:val="0"/>
                <w:sz w:val="24"/>
                <w:szCs w:val="21"/>
              </w:rPr>
              <w:t>GB/T31962-2015</w:t>
            </w:r>
            <w:r>
              <w:rPr>
                <w:rFonts w:hint="eastAsia" w:ascii="Times New Roman" w:cs="宋体"/>
                <w:color w:val="auto"/>
                <w:kern w:val="0"/>
                <w:sz w:val="24"/>
                <w:szCs w:val="21"/>
                <w:lang w:eastAsia="zh-CN"/>
              </w:rPr>
              <w:t>）</w:t>
            </w:r>
            <w:r>
              <w:rPr>
                <w:rFonts w:hint="eastAsia" w:ascii="Times New Roman" w:hAnsi="Times New Roman" w:cs="宋体"/>
                <w:color w:val="auto"/>
                <w:kern w:val="0"/>
                <w:sz w:val="24"/>
                <w:szCs w:val="21"/>
              </w:rPr>
              <w:t>B等级标准。</w:t>
            </w:r>
          </w:p>
          <w:p w14:paraId="68D407DE">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表3-</w:t>
            </w:r>
            <w:r>
              <w:rPr>
                <w:rFonts w:hint="eastAsia" w:ascii="Times New Roman" w:cs="宋体"/>
                <w:b/>
                <w:bCs/>
                <w:color w:val="auto"/>
                <w:sz w:val="21"/>
                <w:szCs w:val="21"/>
                <w:lang w:val="en-US" w:eastAsia="zh-CN"/>
              </w:rPr>
              <w:t>4</w:t>
            </w:r>
            <w:r>
              <w:rPr>
                <w:rFonts w:hint="eastAsia" w:ascii="Times New Roman" w:hAnsi="Times New Roman" w:eastAsia="宋体" w:cs="宋体"/>
                <w:b/>
                <w:bCs/>
                <w:color w:val="auto"/>
                <w:sz w:val="21"/>
                <w:szCs w:val="21"/>
                <w:lang w:val="en-US" w:eastAsia="zh-CN"/>
              </w:rPr>
              <w:t xml:space="preserve"> 污水排放执行标准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2655"/>
              <w:gridCol w:w="2655"/>
            </w:tblGrid>
            <w:tr w14:paraId="3879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Align w:val="center"/>
                </w:tcPr>
                <w:p w14:paraId="3B50270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标准名称及级别</w:t>
                  </w:r>
                </w:p>
              </w:tc>
              <w:tc>
                <w:tcPr>
                  <w:tcW w:w="2655" w:type="dxa"/>
                  <w:vAlign w:val="center"/>
                </w:tcPr>
                <w:p w14:paraId="2B89BCD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项目</w:t>
                  </w:r>
                </w:p>
              </w:tc>
              <w:tc>
                <w:tcPr>
                  <w:tcW w:w="2655" w:type="dxa"/>
                  <w:vAlign w:val="center"/>
                </w:tcPr>
                <w:p w14:paraId="4158885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bCs/>
                      <w:color w:val="auto"/>
                      <w:sz w:val="21"/>
                      <w:szCs w:val="21"/>
                      <w:vertAlign w:val="baseline"/>
                      <w:lang w:val="en-US" w:eastAsia="zh-CN"/>
                    </w:rPr>
                  </w:pPr>
                  <w:r>
                    <w:rPr>
                      <w:rFonts w:hint="eastAsia" w:ascii="Times New Roman" w:cs="宋体"/>
                      <w:b/>
                      <w:bCs/>
                      <w:color w:val="auto"/>
                      <w:sz w:val="21"/>
                      <w:szCs w:val="21"/>
                      <w:vertAlign w:val="baseline"/>
                      <w:lang w:val="en-US" w:eastAsia="zh-CN"/>
                    </w:rPr>
                    <w:t>标准限值（mg/L）</w:t>
                  </w:r>
                </w:p>
              </w:tc>
            </w:tr>
            <w:tr w14:paraId="302C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restart"/>
                  <w:vAlign w:val="center"/>
                </w:tcPr>
                <w:p w14:paraId="74A94D9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18"/>
                      <w:szCs w:val="18"/>
                      <w:vertAlign w:val="baseline"/>
                      <w:lang w:val="en-US" w:eastAsia="zh-CN"/>
                    </w:rPr>
                  </w:pPr>
                  <w:r>
                    <w:rPr>
                      <w:rFonts w:hint="eastAsia" w:ascii="Times New Roman" w:hAnsi="Times New Roman" w:cs="宋体"/>
                      <w:color w:val="auto"/>
                      <w:kern w:val="0"/>
                      <w:sz w:val="21"/>
                      <w:szCs w:val="18"/>
                    </w:rPr>
                    <w:t>《污水综合排放标准》</w:t>
                  </w:r>
                  <w:r>
                    <w:rPr>
                      <w:rFonts w:hint="eastAsia" w:ascii="Times New Roman" w:cs="宋体"/>
                      <w:color w:val="auto"/>
                      <w:kern w:val="0"/>
                      <w:sz w:val="21"/>
                      <w:szCs w:val="18"/>
                      <w:lang w:eastAsia="zh-CN"/>
                    </w:rPr>
                    <w:t>（</w:t>
                  </w:r>
                  <w:r>
                    <w:rPr>
                      <w:rFonts w:hint="eastAsia" w:ascii="Times New Roman" w:hAnsi="Times New Roman" w:cs="宋体"/>
                      <w:color w:val="auto"/>
                      <w:kern w:val="0"/>
                      <w:sz w:val="21"/>
                      <w:szCs w:val="18"/>
                    </w:rPr>
                    <w:t>GB8978-1996</w:t>
                  </w:r>
                  <w:r>
                    <w:rPr>
                      <w:rFonts w:hint="eastAsia" w:ascii="Times New Roman" w:cs="宋体"/>
                      <w:color w:val="auto"/>
                      <w:kern w:val="0"/>
                      <w:sz w:val="21"/>
                      <w:szCs w:val="18"/>
                      <w:lang w:eastAsia="zh-CN"/>
                    </w:rPr>
                    <w:t>）</w:t>
                  </w:r>
                  <w:r>
                    <w:rPr>
                      <w:rFonts w:hint="eastAsia" w:ascii="Times New Roman" w:hAnsi="Times New Roman" w:cs="宋体"/>
                      <w:color w:val="auto"/>
                      <w:kern w:val="0"/>
                      <w:sz w:val="21"/>
                      <w:szCs w:val="18"/>
                    </w:rPr>
                    <w:t>三级标准</w:t>
                  </w:r>
                </w:p>
              </w:tc>
              <w:tc>
                <w:tcPr>
                  <w:tcW w:w="2655" w:type="dxa"/>
                  <w:vAlign w:val="center"/>
                </w:tcPr>
                <w:p w14:paraId="541BF0E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COD</w:t>
                  </w:r>
                </w:p>
              </w:tc>
              <w:tc>
                <w:tcPr>
                  <w:tcW w:w="2655" w:type="dxa"/>
                  <w:vAlign w:val="center"/>
                </w:tcPr>
                <w:p w14:paraId="2B7DBD7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500</w:t>
                  </w:r>
                </w:p>
              </w:tc>
            </w:tr>
            <w:tr w14:paraId="7DDC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2E05740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18"/>
                      <w:szCs w:val="18"/>
                      <w:vertAlign w:val="baseline"/>
                      <w:lang w:val="en-US" w:eastAsia="zh-CN"/>
                    </w:rPr>
                  </w:pPr>
                </w:p>
              </w:tc>
              <w:tc>
                <w:tcPr>
                  <w:tcW w:w="2655" w:type="dxa"/>
                  <w:vAlign w:val="center"/>
                </w:tcPr>
                <w:p w14:paraId="1607B57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subscript"/>
                      <w:lang w:val="en-US" w:eastAsia="zh-CN"/>
                    </w:rPr>
                  </w:pPr>
                  <w:r>
                    <w:rPr>
                      <w:rFonts w:hint="eastAsia" w:ascii="Times New Roman" w:cs="宋体"/>
                      <w:b w:val="0"/>
                      <w:bCs w:val="0"/>
                      <w:color w:val="auto"/>
                      <w:sz w:val="21"/>
                      <w:szCs w:val="21"/>
                      <w:vertAlign w:val="baseline"/>
                      <w:lang w:val="en-US" w:eastAsia="zh-CN"/>
                    </w:rPr>
                    <w:t>BOD</w:t>
                  </w:r>
                  <w:r>
                    <w:rPr>
                      <w:rFonts w:hint="eastAsia" w:ascii="Times New Roman" w:cs="宋体"/>
                      <w:b w:val="0"/>
                      <w:bCs w:val="0"/>
                      <w:color w:val="auto"/>
                      <w:sz w:val="21"/>
                      <w:szCs w:val="21"/>
                      <w:vertAlign w:val="subscript"/>
                      <w:lang w:val="en-US" w:eastAsia="zh-CN"/>
                    </w:rPr>
                    <w:t>5</w:t>
                  </w:r>
                </w:p>
              </w:tc>
              <w:tc>
                <w:tcPr>
                  <w:tcW w:w="2655" w:type="dxa"/>
                  <w:vAlign w:val="center"/>
                </w:tcPr>
                <w:p w14:paraId="7F10826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300</w:t>
                  </w:r>
                </w:p>
              </w:tc>
            </w:tr>
            <w:tr w14:paraId="59D8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567B67E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18"/>
                      <w:szCs w:val="18"/>
                      <w:vertAlign w:val="baseline"/>
                      <w:lang w:val="en-US" w:eastAsia="zh-CN"/>
                    </w:rPr>
                  </w:pPr>
                </w:p>
              </w:tc>
              <w:tc>
                <w:tcPr>
                  <w:tcW w:w="2655" w:type="dxa"/>
                  <w:vAlign w:val="center"/>
                </w:tcPr>
                <w:p w14:paraId="77208BC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SS</w:t>
                  </w:r>
                </w:p>
              </w:tc>
              <w:tc>
                <w:tcPr>
                  <w:tcW w:w="2655" w:type="dxa"/>
                  <w:vAlign w:val="center"/>
                </w:tcPr>
                <w:p w14:paraId="10135EF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400</w:t>
                  </w:r>
                </w:p>
              </w:tc>
            </w:tr>
            <w:tr w14:paraId="311A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restart"/>
                  <w:vAlign w:val="center"/>
                </w:tcPr>
                <w:p w14:paraId="7A2A07F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18"/>
                      <w:szCs w:val="18"/>
                      <w:vertAlign w:val="baseline"/>
                      <w:lang w:val="en-US" w:eastAsia="zh-CN"/>
                    </w:rPr>
                  </w:pPr>
                  <w:r>
                    <w:rPr>
                      <w:rFonts w:hint="eastAsia" w:ascii="Times New Roman" w:hAnsi="Times New Roman" w:cs="宋体"/>
                      <w:color w:val="auto"/>
                      <w:kern w:val="0"/>
                      <w:sz w:val="21"/>
                      <w:szCs w:val="18"/>
                    </w:rPr>
                    <w:t>《污水排入城镇下水道水质标准》</w:t>
                  </w:r>
                  <w:r>
                    <w:rPr>
                      <w:rFonts w:hint="eastAsia" w:ascii="Times New Roman" w:cs="宋体"/>
                      <w:color w:val="auto"/>
                      <w:kern w:val="0"/>
                      <w:sz w:val="21"/>
                      <w:szCs w:val="18"/>
                      <w:lang w:eastAsia="zh-CN"/>
                    </w:rPr>
                    <w:t>（</w:t>
                  </w:r>
                  <w:r>
                    <w:rPr>
                      <w:rFonts w:hint="eastAsia" w:ascii="Times New Roman" w:hAnsi="Times New Roman" w:cs="宋体"/>
                      <w:color w:val="auto"/>
                      <w:kern w:val="0"/>
                      <w:sz w:val="21"/>
                      <w:szCs w:val="18"/>
                    </w:rPr>
                    <w:t>GB/T31962-2015</w:t>
                  </w:r>
                  <w:r>
                    <w:rPr>
                      <w:rFonts w:hint="eastAsia" w:ascii="Times New Roman" w:cs="宋体"/>
                      <w:color w:val="auto"/>
                      <w:kern w:val="0"/>
                      <w:sz w:val="21"/>
                      <w:szCs w:val="18"/>
                      <w:lang w:eastAsia="zh-CN"/>
                    </w:rPr>
                    <w:t>）</w:t>
                  </w:r>
                  <w:r>
                    <w:rPr>
                      <w:rFonts w:hint="eastAsia" w:ascii="Times New Roman" w:hAnsi="Times New Roman" w:cs="宋体"/>
                      <w:color w:val="auto"/>
                      <w:kern w:val="0"/>
                      <w:sz w:val="21"/>
                      <w:szCs w:val="18"/>
                    </w:rPr>
                    <w:t>B等级标准</w:t>
                  </w:r>
                </w:p>
              </w:tc>
              <w:tc>
                <w:tcPr>
                  <w:tcW w:w="2655" w:type="dxa"/>
                  <w:vAlign w:val="center"/>
                </w:tcPr>
                <w:p w14:paraId="130ACEC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NH</w:t>
                  </w:r>
                  <w:r>
                    <w:rPr>
                      <w:rFonts w:hint="eastAsia" w:ascii="Times New Roman" w:cs="宋体"/>
                      <w:b w:val="0"/>
                      <w:bCs w:val="0"/>
                      <w:color w:val="auto"/>
                      <w:sz w:val="21"/>
                      <w:szCs w:val="21"/>
                      <w:vertAlign w:val="subscript"/>
                      <w:lang w:val="en-US" w:eastAsia="zh-CN"/>
                    </w:rPr>
                    <w:t>3</w:t>
                  </w:r>
                  <w:r>
                    <w:rPr>
                      <w:rFonts w:hint="eastAsia" w:ascii="Times New Roman" w:cs="宋体"/>
                      <w:b w:val="0"/>
                      <w:bCs w:val="0"/>
                      <w:color w:val="auto"/>
                      <w:sz w:val="21"/>
                      <w:szCs w:val="21"/>
                      <w:vertAlign w:val="baseline"/>
                      <w:lang w:val="en-US" w:eastAsia="zh-CN"/>
                    </w:rPr>
                    <w:t>-N</w:t>
                  </w:r>
                </w:p>
              </w:tc>
              <w:tc>
                <w:tcPr>
                  <w:tcW w:w="2655" w:type="dxa"/>
                  <w:vAlign w:val="center"/>
                </w:tcPr>
                <w:p w14:paraId="3171B12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45</w:t>
                  </w:r>
                </w:p>
              </w:tc>
            </w:tr>
            <w:tr w14:paraId="1348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411D850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p>
              </w:tc>
              <w:tc>
                <w:tcPr>
                  <w:tcW w:w="2655" w:type="dxa"/>
                  <w:vAlign w:val="center"/>
                </w:tcPr>
                <w:p w14:paraId="1787BF6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总磷</w:t>
                  </w:r>
                </w:p>
              </w:tc>
              <w:tc>
                <w:tcPr>
                  <w:tcW w:w="2655" w:type="dxa"/>
                  <w:vAlign w:val="center"/>
                </w:tcPr>
                <w:p w14:paraId="271456B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8</w:t>
                  </w:r>
                </w:p>
              </w:tc>
            </w:tr>
            <w:tr w14:paraId="4AF0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1300430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p>
              </w:tc>
              <w:tc>
                <w:tcPr>
                  <w:tcW w:w="2655" w:type="dxa"/>
                  <w:vAlign w:val="center"/>
                </w:tcPr>
                <w:p w14:paraId="50E3BE7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总氮</w:t>
                  </w:r>
                </w:p>
              </w:tc>
              <w:tc>
                <w:tcPr>
                  <w:tcW w:w="2655" w:type="dxa"/>
                  <w:vAlign w:val="center"/>
                </w:tcPr>
                <w:p w14:paraId="1ED0E83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70</w:t>
                  </w:r>
                </w:p>
              </w:tc>
            </w:tr>
            <w:tr w14:paraId="48BA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vMerge w:val="continue"/>
                  <w:vAlign w:val="center"/>
                </w:tcPr>
                <w:p w14:paraId="2A68F14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p>
              </w:tc>
              <w:tc>
                <w:tcPr>
                  <w:tcW w:w="2655" w:type="dxa"/>
                  <w:vAlign w:val="center"/>
                </w:tcPr>
                <w:p w14:paraId="5E40F35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溶解性总固体</w:t>
                  </w:r>
                </w:p>
              </w:tc>
              <w:tc>
                <w:tcPr>
                  <w:tcW w:w="2655" w:type="dxa"/>
                  <w:vAlign w:val="center"/>
                </w:tcPr>
                <w:p w14:paraId="2CEC3E0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val="0"/>
                      <w:bCs w:val="0"/>
                      <w:color w:val="auto"/>
                      <w:sz w:val="21"/>
                      <w:szCs w:val="21"/>
                      <w:vertAlign w:val="baseline"/>
                      <w:lang w:val="en-US" w:eastAsia="zh-CN"/>
                    </w:rPr>
                  </w:pPr>
                  <w:r>
                    <w:rPr>
                      <w:rFonts w:hint="eastAsia" w:ascii="Times New Roman" w:cs="宋体"/>
                      <w:b w:val="0"/>
                      <w:bCs w:val="0"/>
                      <w:color w:val="auto"/>
                      <w:sz w:val="21"/>
                      <w:szCs w:val="21"/>
                      <w:vertAlign w:val="baseline"/>
                      <w:lang w:val="en-US" w:eastAsia="zh-CN"/>
                    </w:rPr>
                    <w:t>2000</w:t>
                  </w:r>
                </w:p>
              </w:tc>
            </w:tr>
          </w:tbl>
          <w:p w14:paraId="4A6BADC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cs="宋体"/>
                <w:b/>
                <w:bCs/>
                <w:color w:val="auto"/>
                <w:sz w:val="21"/>
                <w:szCs w:val="21"/>
                <w:lang w:val="en-US" w:eastAsia="zh-CN"/>
              </w:rPr>
            </w:pPr>
          </w:p>
          <w:p w14:paraId="13826E0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eastAsia="zh-CN"/>
              </w:rPr>
            </w:pPr>
            <w:r>
              <w:rPr>
                <w:rFonts w:hint="eastAsia" w:ascii="Times New Roman" w:hAnsi="Times New Roman" w:cs="宋体"/>
                <w:color w:val="auto"/>
                <w:kern w:val="0"/>
                <w:sz w:val="24"/>
                <w:szCs w:val="21"/>
              </w:rPr>
              <w:t>3、</w:t>
            </w:r>
            <w:r>
              <w:rPr>
                <w:rFonts w:hint="eastAsia" w:ascii="Times New Roman" w:hAnsi="Times New Roman" w:cs="宋体"/>
                <w:color w:val="auto"/>
                <w:kern w:val="0"/>
                <w:sz w:val="24"/>
                <w:szCs w:val="21"/>
                <w:lang w:val="en-US" w:eastAsia="zh-CN"/>
              </w:rPr>
              <w:t>项目</w:t>
            </w:r>
            <w:r>
              <w:rPr>
                <w:rFonts w:hint="eastAsia" w:ascii="Times New Roman" w:hAnsi="Times New Roman" w:cs="宋体"/>
                <w:color w:val="auto"/>
                <w:kern w:val="0"/>
                <w:sz w:val="24"/>
                <w:szCs w:val="21"/>
              </w:rPr>
              <w:t>运营期厂界噪声执行《工业企业厂界环境噪声排放标准》（GB12348-2008）规定的</w:t>
            </w:r>
            <w:r>
              <w:rPr>
                <w:rFonts w:hint="eastAsia" w:ascii="Times New Roman" w:hAnsi="Times New Roman" w:cs="宋体"/>
                <w:color w:val="auto"/>
                <w:kern w:val="0"/>
                <w:sz w:val="24"/>
                <w:szCs w:val="21"/>
                <w:lang w:val="en-US" w:eastAsia="zh-CN"/>
              </w:rPr>
              <w:t>2</w:t>
            </w:r>
            <w:r>
              <w:rPr>
                <w:rFonts w:hint="eastAsia" w:ascii="Times New Roman" w:hAnsi="Times New Roman" w:cs="宋体"/>
                <w:color w:val="auto"/>
                <w:kern w:val="0"/>
                <w:sz w:val="24"/>
                <w:szCs w:val="21"/>
              </w:rPr>
              <w:t>类环境功能区排放标准限值</w:t>
            </w:r>
            <w:r>
              <w:rPr>
                <w:rFonts w:hint="eastAsia" w:ascii="Times New Roman" w:cs="宋体"/>
                <w:color w:val="auto"/>
                <w:kern w:val="0"/>
                <w:sz w:val="24"/>
                <w:szCs w:val="21"/>
                <w:lang w:eastAsia="zh-CN"/>
              </w:rPr>
              <w:t>。</w:t>
            </w:r>
          </w:p>
          <w:p w14:paraId="6F6CB660">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表3-</w:t>
            </w:r>
            <w:r>
              <w:rPr>
                <w:rFonts w:hint="eastAsia" w:ascii="Times New Roman" w:cs="宋体"/>
                <w:b/>
                <w:bCs/>
                <w:color w:val="auto"/>
                <w:sz w:val="21"/>
                <w:szCs w:val="21"/>
                <w:lang w:val="en-US" w:eastAsia="zh-CN"/>
              </w:rPr>
              <w:t>5</w:t>
            </w:r>
            <w:r>
              <w:rPr>
                <w:rFonts w:hint="eastAsia" w:ascii="Times New Roman" w:hAnsi="Times New Roman" w:eastAsia="宋体" w:cs="宋体"/>
                <w:b/>
                <w:bCs/>
                <w:color w:val="auto"/>
                <w:sz w:val="21"/>
                <w:szCs w:val="21"/>
                <w:lang w:val="en-US" w:eastAsia="zh-CN"/>
              </w:rPr>
              <w:t xml:space="preserve"> 噪声污染排放标准限值一览表（单位：dB（A））</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2"/>
              <w:gridCol w:w="1766"/>
              <w:gridCol w:w="1171"/>
              <w:gridCol w:w="4102"/>
            </w:tblGrid>
            <w:tr w14:paraId="57932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79" w:type="pct"/>
                  <w:noWrap w:val="0"/>
                  <w:vAlign w:val="center"/>
                </w:tcPr>
                <w:p w14:paraId="10A99477">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color w:val="auto"/>
                      <w:sz w:val="21"/>
                    </w:rPr>
                  </w:pPr>
                  <w:r>
                    <w:rPr>
                      <w:rFonts w:hint="default"/>
                      <w:b/>
                      <w:color w:val="auto"/>
                      <w:sz w:val="21"/>
                    </w:rPr>
                    <w:t>序号</w:t>
                  </w:r>
                </w:p>
              </w:tc>
              <w:tc>
                <w:tcPr>
                  <w:tcW w:w="1109" w:type="pct"/>
                  <w:noWrap w:val="0"/>
                  <w:vAlign w:val="center"/>
                </w:tcPr>
                <w:p w14:paraId="2DF660FF">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color w:val="auto"/>
                      <w:sz w:val="21"/>
                    </w:rPr>
                  </w:pPr>
                  <w:r>
                    <w:rPr>
                      <w:rFonts w:hint="default"/>
                      <w:b/>
                      <w:color w:val="auto"/>
                      <w:sz w:val="21"/>
                    </w:rPr>
                    <w:t>厂（场）界噪声</w:t>
                  </w:r>
                </w:p>
              </w:tc>
              <w:tc>
                <w:tcPr>
                  <w:tcW w:w="735" w:type="pct"/>
                  <w:noWrap w:val="0"/>
                  <w:vAlign w:val="center"/>
                </w:tcPr>
                <w:p w14:paraId="771B1AC0">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color w:val="auto"/>
                      <w:sz w:val="21"/>
                    </w:rPr>
                  </w:pPr>
                  <w:r>
                    <w:rPr>
                      <w:rFonts w:hint="default"/>
                      <w:b/>
                      <w:color w:val="auto"/>
                      <w:sz w:val="21"/>
                    </w:rPr>
                    <w:t>标准限值</w:t>
                  </w:r>
                </w:p>
              </w:tc>
              <w:tc>
                <w:tcPr>
                  <w:tcW w:w="2575" w:type="pct"/>
                  <w:noWrap w:val="0"/>
                  <w:vAlign w:val="center"/>
                </w:tcPr>
                <w:p w14:paraId="099F432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color w:val="auto"/>
                      <w:sz w:val="21"/>
                    </w:rPr>
                  </w:pPr>
                  <w:r>
                    <w:rPr>
                      <w:rFonts w:hint="default"/>
                      <w:b/>
                      <w:color w:val="auto"/>
                      <w:sz w:val="21"/>
                    </w:rPr>
                    <w:t>标准名称及级</w:t>
                  </w:r>
                  <w:r>
                    <w:rPr>
                      <w:rFonts w:hint="eastAsia" w:ascii="Times New Roman" w:eastAsia="宋体"/>
                      <w:b/>
                      <w:color w:val="auto"/>
                      <w:sz w:val="21"/>
                      <w:lang w:eastAsia="zh-CN"/>
                    </w:rPr>
                    <w:t>（</w:t>
                  </w:r>
                  <w:r>
                    <w:rPr>
                      <w:rFonts w:hint="default"/>
                      <w:b/>
                      <w:color w:val="auto"/>
                      <w:sz w:val="21"/>
                    </w:rPr>
                    <w:t>类</w:t>
                  </w:r>
                  <w:r>
                    <w:rPr>
                      <w:rFonts w:hint="eastAsia" w:ascii="Times New Roman" w:eastAsia="宋体"/>
                      <w:b/>
                      <w:color w:val="auto"/>
                      <w:sz w:val="21"/>
                      <w:lang w:eastAsia="zh-CN"/>
                    </w:rPr>
                    <w:t>）</w:t>
                  </w:r>
                  <w:r>
                    <w:rPr>
                      <w:rFonts w:hint="default"/>
                      <w:b/>
                      <w:color w:val="auto"/>
                      <w:sz w:val="21"/>
                    </w:rPr>
                    <w:t>别</w:t>
                  </w:r>
                </w:p>
              </w:tc>
            </w:tr>
            <w:tr w14:paraId="1955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79" w:type="pct"/>
                  <w:noWrap w:val="0"/>
                  <w:vAlign w:val="center"/>
                </w:tcPr>
                <w:p w14:paraId="47E68EA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eastAsia="宋体"/>
                      <w:color w:val="auto"/>
                      <w:sz w:val="21"/>
                      <w:lang w:val="en-US" w:eastAsia="zh-CN"/>
                    </w:rPr>
                  </w:pPr>
                  <w:r>
                    <w:rPr>
                      <w:rFonts w:hint="eastAsia" w:ascii="Times New Roman"/>
                      <w:color w:val="auto"/>
                      <w:w w:val="99"/>
                      <w:sz w:val="21"/>
                      <w:lang w:val="en-US" w:eastAsia="zh-CN"/>
                    </w:rPr>
                    <w:t>1</w:t>
                  </w:r>
                </w:p>
              </w:tc>
              <w:tc>
                <w:tcPr>
                  <w:tcW w:w="1109" w:type="pct"/>
                  <w:noWrap w:val="0"/>
                  <w:vAlign w:val="center"/>
                </w:tcPr>
                <w:p w14:paraId="7AAEEE5C">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rPr>
                  </w:pPr>
                  <w:r>
                    <w:rPr>
                      <w:rFonts w:hint="default"/>
                      <w:color w:val="auto"/>
                      <w:sz w:val="21"/>
                    </w:rPr>
                    <w:t>昼间</w:t>
                  </w:r>
                </w:p>
              </w:tc>
              <w:tc>
                <w:tcPr>
                  <w:tcW w:w="735" w:type="pct"/>
                  <w:noWrap w:val="0"/>
                  <w:vAlign w:val="center"/>
                </w:tcPr>
                <w:p w14:paraId="04D8B55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lang w:val="en-US" w:eastAsia="zh-CN"/>
                    </w:rPr>
                  </w:pPr>
                  <w:r>
                    <w:rPr>
                      <w:rFonts w:hint="default" w:ascii="Times New Roman" w:hAnsi="Times New Roman"/>
                      <w:color w:val="auto"/>
                      <w:sz w:val="21"/>
                    </w:rPr>
                    <w:t>≤</w:t>
                  </w:r>
                  <w:r>
                    <w:rPr>
                      <w:rFonts w:hint="eastAsia" w:ascii="Times New Roman" w:hAnsi="Times New Roman"/>
                      <w:color w:val="auto"/>
                      <w:sz w:val="21"/>
                      <w:lang w:val="en-US" w:eastAsia="zh-CN"/>
                    </w:rPr>
                    <w:t>60</w:t>
                  </w:r>
                </w:p>
              </w:tc>
              <w:tc>
                <w:tcPr>
                  <w:tcW w:w="2575" w:type="pct"/>
                  <w:vMerge w:val="restart"/>
                  <w:noWrap w:val="0"/>
                  <w:vAlign w:val="center"/>
                </w:tcPr>
                <w:p w14:paraId="35768661">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rPr>
                  </w:pPr>
                  <w:r>
                    <w:rPr>
                      <w:rFonts w:hint="default"/>
                      <w:color w:val="auto"/>
                      <w:sz w:val="21"/>
                    </w:rPr>
                    <w:t>《工业企业厂界环境噪声排放标准》（</w:t>
                  </w:r>
                  <w:r>
                    <w:rPr>
                      <w:rFonts w:hint="default" w:ascii="Times New Roman" w:eastAsia="Times New Roman"/>
                      <w:color w:val="auto"/>
                      <w:sz w:val="21"/>
                    </w:rPr>
                    <w:t>GB12348-2008</w:t>
                  </w:r>
                  <w:r>
                    <w:rPr>
                      <w:rFonts w:hint="default"/>
                      <w:color w:val="auto"/>
                      <w:sz w:val="21"/>
                    </w:rPr>
                    <w:t>）</w:t>
                  </w:r>
                  <w:r>
                    <w:rPr>
                      <w:rFonts w:hint="eastAsia" w:ascii="Times New Roman" w:eastAsia="宋体"/>
                      <w:color w:val="auto"/>
                      <w:sz w:val="21"/>
                      <w:lang w:val="en-US" w:eastAsia="zh-CN"/>
                    </w:rPr>
                    <w:t>2</w:t>
                  </w:r>
                  <w:r>
                    <w:rPr>
                      <w:rFonts w:hint="default"/>
                      <w:color w:val="auto"/>
                      <w:sz w:val="21"/>
                    </w:rPr>
                    <w:t>类</w:t>
                  </w:r>
                </w:p>
              </w:tc>
            </w:tr>
            <w:tr w14:paraId="2A8F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79" w:type="pct"/>
                  <w:noWrap w:val="0"/>
                  <w:vAlign w:val="center"/>
                </w:tcPr>
                <w:p w14:paraId="2E3341D3">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eastAsia="宋体"/>
                      <w:color w:val="auto"/>
                      <w:sz w:val="21"/>
                      <w:lang w:eastAsia="zh-CN"/>
                    </w:rPr>
                  </w:pPr>
                  <w:r>
                    <w:rPr>
                      <w:rFonts w:hint="eastAsia" w:ascii="Times New Roman"/>
                      <w:color w:val="auto"/>
                      <w:w w:val="99"/>
                      <w:sz w:val="21"/>
                      <w:lang w:val="en-US" w:eastAsia="zh-CN"/>
                    </w:rPr>
                    <w:t>2</w:t>
                  </w:r>
                </w:p>
              </w:tc>
              <w:tc>
                <w:tcPr>
                  <w:tcW w:w="1109" w:type="pct"/>
                  <w:noWrap w:val="0"/>
                  <w:vAlign w:val="center"/>
                </w:tcPr>
                <w:p w14:paraId="6A9C1AFB">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rPr>
                  </w:pPr>
                  <w:r>
                    <w:rPr>
                      <w:rFonts w:hint="default"/>
                      <w:color w:val="auto"/>
                      <w:sz w:val="21"/>
                    </w:rPr>
                    <w:t>夜间</w:t>
                  </w:r>
                </w:p>
              </w:tc>
              <w:tc>
                <w:tcPr>
                  <w:tcW w:w="735" w:type="pct"/>
                  <w:noWrap w:val="0"/>
                  <w:vAlign w:val="center"/>
                </w:tcPr>
                <w:p w14:paraId="1F739634">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olor w:val="auto"/>
                      <w:sz w:val="21"/>
                      <w:lang w:val="en-US" w:eastAsia="zh-CN"/>
                    </w:rPr>
                  </w:pPr>
                  <w:r>
                    <w:rPr>
                      <w:rFonts w:hint="default" w:ascii="Times New Roman" w:hAnsi="Times New Roman"/>
                      <w:color w:val="auto"/>
                      <w:sz w:val="21"/>
                    </w:rPr>
                    <w:t>≤</w:t>
                  </w:r>
                  <w:r>
                    <w:rPr>
                      <w:rFonts w:hint="eastAsia" w:ascii="Times New Roman" w:hAnsi="Times New Roman"/>
                      <w:color w:val="auto"/>
                      <w:sz w:val="21"/>
                      <w:lang w:val="en-US" w:eastAsia="zh-CN"/>
                    </w:rPr>
                    <w:t>50</w:t>
                  </w:r>
                </w:p>
              </w:tc>
              <w:tc>
                <w:tcPr>
                  <w:tcW w:w="2575" w:type="pct"/>
                  <w:vMerge w:val="continue"/>
                  <w:tcBorders>
                    <w:top w:val="nil"/>
                  </w:tcBorders>
                  <w:noWrap w:val="0"/>
                  <w:vAlign w:val="center"/>
                </w:tcPr>
                <w:p w14:paraId="54A78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
                      <w:szCs w:val="2"/>
                    </w:rPr>
                  </w:pPr>
                </w:p>
              </w:tc>
            </w:tr>
          </w:tbl>
          <w:p w14:paraId="6B79F71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cs="宋体"/>
                <w:color w:val="auto"/>
                <w:kern w:val="0"/>
                <w:szCs w:val="21"/>
              </w:rPr>
            </w:pPr>
            <w:r>
              <w:rPr>
                <w:rFonts w:hint="eastAsia" w:ascii="Times New Roman" w:hAnsi="Times New Roman" w:cs="宋体"/>
                <w:color w:val="auto"/>
                <w:kern w:val="0"/>
                <w:sz w:val="24"/>
                <w:szCs w:val="21"/>
                <w:highlight w:val="none"/>
              </w:rPr>
              <w:t>4、一般固废参照《一般工业固体废物贮存和填埋污染控制标准》（GB18599-2020）的相关规定；危险废物执行《危险废物贮存污染控制标准》（GB18597-2023）及修改单相关规定。</w:t>
            </w:r>
          </w:p>
        </w:tc>
      </w:tr>
      <w:tr w14:paraId="6F9EC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14:paraId="030ECD1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总量</w:t>
            </w:r>
          </w:p>
          <w:p w14:paraId="3C7AD9E0">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控制</w:t>
            </w:r>
          </w:p>
          <w:p w14:paraId="26B8A025">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color w:val="auto"/>
                <w:kern w:val="0"/>
                <w:szCs w:val="21"/>
              </w:rPr>
              <w:t>指标</w:t>
            </w:r>
          </w:p>
        </w:tc>
        <w:tc>
          <w:tcPr>
            <w:tcW w:w="8190" w:type="dxa"/>
            <w:noWrap w:val="0"/>
            <w:vAlign w:val="center"/>
          </w:tcPr>
          <w:p w14:paraId="3536C3E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cs="宋体"/>
                <w:color w:val="auto"/>
                <w:kern w:val="0"/>
                <w:szCs w:val="21"/>
              </w:rPr>
            </w:pPr>
            <w:r>
              <w:rPr>
                <w:rFonts w:hint="eastAsia" w:ascii="Times New Roman" w:hAnsi="Times New Roman" w:cs="宋体"/>
                <w:color w:val="auto"/>
                <w:kern w:val="0"/>
                <w:sz w:val="24"/>
                <w:szCs w:val="21"/>
                <w:highlight w:val="none"/>
              </w:rPr>
              <w:t>根据《“十四五”污染减排综合工作方案编制技术指南》，结合本项目污染物排放特征，锅炉排水以及软化水设备排水经厂区</w:t>
            </w:r>
            <w:r>
              <w:rPr>
                <w:rFonts w:hint="eastAsia" w:ascii="Times New Roman" w:cs="宋体"/>
                <w:color w:val="auto"/>
                <w:kern w:val="0"/>
                <w:sz w:val="24"/>
                <w:szCs w:val="21"/>
                <w:highlight w:val="none"/>
                <w:lang w:val="en-US" w:eastAsia="zh-CN"/>
              </w:rPr>
              <w:t>化粪池</w:t>
            </w:r>
            <w:r>
              <w:rPr>
                <w:rFonts w:hint="eastAsia" w:ascii="Times New Roman" w:hAnsi="Times New Roman" w:cs="宋体"/>
                <w:color w:val="auto"/>
                <w:kern w:val="0"/>
                <w:sz w:val="24"/>
                <w:szCs w:val="21"/>
                <w:highlight w:val="none"/>
              </w:rPr>
              <w:t>处理后排入</w:t>
            </w:r>
            <w:r>
              <w:rPr>
                <w:rFonts w:hint="eastAsia" w:ascii="Times New Roman" w:cs="宋体"/>
                <w:color w:val="auto"/>
                <w:kern w:val="0"/>
                <w:sz w:val="24"/>
                <w:szCs w:val="21"/>
                <w:highlight w:val="none"/>
                <w:lang w:val="en-US" w:eastAsia="zh-CN"/>
              </w:rPr>
              <w:t>陇县第一污水处理厂</w:t>
            </w:r>
            <w:r>
              <w:rPr>
                <w:rFonts w:hint="eastAsia" w:ascii="Times New Roman" w:hAnsi="Times New Roman" w:cs="宋体"/>
                <w:color w:val="auto"/>
                <w:kern w:val="0"/>
                <w:sz w:val="24"/>
                <w:szCs w:val="21"/>
                <w:highlight w:val="none"/>
              </w:rPr>
              <w:t>，废水已全部纳入</w:t>
            </w:r>
            <w:r>
              <w:rPr>
                <w:rFonts w:hint="eastAsia" w:ascii="Times New Roman" w:cs="宋体"/>
                <w:color w:val="auto"/>
                <w:kern w:val="0"/>
                <w:sz w:val="24"/>
                <w:szCs w:val="21"/>
                <w:highlight w:val="none"/>
                <w:lang w:val="en-US" w:eastAsia="zh-CN"/>
              </w:rPr>
              <w:t>陇县第一污水处理厂</w:t>
            </w:r>
            <w:r>
              <w:rPr>
                <w:rFonts w:hint="eastAsia" w:ascii="Times New Roman" w:hAnsi="Times New Roman" w:cs="宋体"/>
                <w:color w:val="auto"/>
                <w:kern w:val="0"/>
                <w:sz w:val="24"/>
                <w:szCs w:val="21"/>
                <w:highlight w:val="none"/>
              </w:rPr>
              <w:t>总量控制指标，不单独申请</w:t>
            </w:r>
            <w:r>
              <w:rPr>
                <w:rFonts w:hint="eastAsia" w:ascii="Times New Roman" w:cs="宋体"/>
                <w:color w:val="auto"/>
                <w:kern w:val="0"/>
                <w:sz w:val="24"/>
                <w:szCs w:val="21"/>
                <w:highlight w:val="none"/>
                <w:lang w:eastAsia="zh-CN"/>
              </w:rPr>
              <w:t>；</w:t>
            </w:r>
            <w:r>
              <w:rPr>
                <w:rFonts w:hint="eastAsia" w:ascii="Times New Roman" w:hAnsi="Times New Roman" w:cs="宋体"/>
                <w:color w:val="auto"/>
                <w:kern w:val="0"/>
                <w:sz w:val="24"/>
                <w:szCs w:val="21"/>
                <w:highlight w:val="none"/>
              </w:rPr>
              <w:t>本次项目建议申请总量颗粒物</w:t>
            </w:r>
            <w:r>
              <w:rPr>
                <w:rFonts w:hint="eastAsia" w:ascii="Times New Roman" w:hAnsi="Times New Roman" w:cs="宋体"/>
                <w:color w:val="auto"/>
                <w:kern w:val="0"/>
                <w:sz w:val="24"/>
                <w:szCs w:val="21"/>
                <w:highlight w:val="none"/>
                <w:lang w:val="en-US" w:eastAsia="zh-CN"/>
              </w:rPr>
              <w:t>0.</w:t>
            </w:r>
            <w:r>
              <w:rPr>
                <w:rFonts w:hint="eastAsia" w:ascii="Times New Roman" w:cs="宋体"/>
                <w:color w:val="auto"/>
                <w:kern w:val="0"/>
                <w:sz w:val="24"/>
                <w:szCs w:val="21"/>
                <w:highlight w:val="none"/>
                <w:lang w:val="en-US" w:eastAsia="zh-CN"/>
              </w:rPr>
              <w:t>117</w:t>
            </w:r>
            <w:r>
              <w:rPr>
                <w:rFonts w:hint="eastAsia" w:ascii="Times New Roman" w:hAnsi="Times New Roman" w:cs="宋体"/>
                <w:color w:val="auto"/>
                <w:kern w:val="0"/>
                <w:sz w:val="24"/>
                <w:szCs w:val="21"/>
                <w:highlight w:val="none"/>
              </w:rPr>
              <w:t>t/a；SO</w:t>
            </w:r>
            <w:r>
              <w:rPr>
                <w:rFonts w:hint="eastAsia" w:ascii="Times New Roman" w:hAnsi="Times New Roman" w:cs="宋体"/>
                <w:color w:val="auto"/>
                <w:kern w:val="0"/>
                <w:sz w:val="24"/>
                <w:szCs w:val="21"/>
                <w:highlight w:val="none"/>
                <w:vertAlign w:val="subscript"/>
              </w:rPr>
              <w:t>2</w:t>
            </w:r>
            <w:r>
              <w:rPr>
                <w:rFonts w:hint="eastAsia" w:ascii="Times New Roman" w:cs="宋体"/>
                <w:color w:val="auto"/>
                <w:kern w:val="0"/>
                <w:sz w:val="24"/>
                <w:szCs w:val="21"/>
                <w:highlight w:val="none"/>
                <w:lang w:val="en-US" w:eastAsia="zh-CN"/>
              </w:rPr>
              <w:t>0.058</w:t>
            </w:r>
            <w:r>
              <w:rPr>
                <w:rFonts w:hint="eastAsia" w:ascii="Times New Roman" w:hAnsi="Times New Roman" w:cs="宋体"/>
                <w:color w:val="auto"/>
                <w:kern w:val="0"/>
                <w:sz w:val="24"/>
                <w:szCs w:val="21"/>
                <w:highlight w:val="none"/>
              </w:rPr>
              <w:t>t/a、NOx</w:t>
            </w:r>
            <w:r>
              <w:rPr>
                <w:rFonts w:hint="eastAsia" w:ascii="Times New Roman" w:cs="宋体"/>
                <w:color w:val="auto"/>
                <w:kern w:val="0"/>
                <w:sz w:val="24"/>
                <w:szCs w:val="21"/>
                <w:highlight w:val="none"/>
                <w:lang w:val="en-US" w:eastAsia="zh-CN"/>
              </w:rPr>
              <w:t>0.443</w:t>
            </w:r>
            <w:r>
              <w:rPr>
                <w:rFonts w:hint="eastAsia" w:ascii="Times New Roman" w:hAnsi="Times New Roman" w:cs="宋体"/>
                <w:color w:val="auto"/>
                <w:kern w:val="0"/>
                <w:sz w:val="24"/>
                <w:szCs w:val="21"/>
                <w:highlight w:val="none"/>
              </w:rPr>
              <w:t>t/a。</w:t>
            </w:r>
          </w:p>
        </w:tc>
      </w:tr>
    </w:tbl>
    <w:p w14:paraId="7AD1F22B">
      <w:pPr>
        <w:pStyle w:val="16"/>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4"/>
        <w:gridCol w:w="9481"/>
      </w:tblGrid>
      <w:tr w14:paraId="105B1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tcMar>
              <w:left w:w="28" w:type="dxa"/>
              <w:right w:w="28" w:type="dxa"/>
            </w:tcMar>
            <w:vAlign w:val="center"/>
          </w:tcPr>
          <w:p w14:paraId="0AF7C0EF">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cs="宋体"/>
                <w:color w:val="auto"/>
                <w:kern w:val="2"/>
                <w:sz w:val="21"/>
                <w:szCs w:val="21"/>
              </w:rPr>
              <w:t>施工</w:t>
            </w:r>
          </w:p>
          <w:p w14:paraId="34B129D4">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cs="宋体"/>
                <w:color w:val="auto"/>
                <w:kern w:val="2"/>
                <w:sz w:val="21"/>
                <w:szCs w:val="21"/>
              </w:rPr>
              <w:t>期环</w:t>
            </w:r>
          </w:p>
          <w:p w14:paraId="30448C78">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cs="宋体"/>
                <w:color w:val="auto"/>
                <w:kern w:val="2"/>
                <w:sz w:val="21"/>
                <w:szCs w:val="21"/>
              </w:rPr>
              <w:t>境保</w:t>
            </w:r>
          </w:p>
          <w:p w14:paraId="790B347A">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cs="宋体"/>
                <w:color w:val="auto"/>
                <w:kern w:val="2"/>
                <w:sz w:val="21"/>
                <w:szCs w:val="21"/>
              </w:rPr>
              <w:t>护措</w:t>
            </w:r>
          </w:p>
          <w:p w14:paraId="4A0F49EF">
            <w:pPr>
              <w:pStyle w:val="16"/>
              <w:keepNext w:val="0"/>
              <w:keepLines w:val="0"/>
              <w:suppressLineNumbers w:val="0"/>
              <w:adjustRightInd w:val="0"/>
              <w:snapToGrid w:val="0"/>
              <w:spacing w:before="0" w:beforeAutospacing="0" w:after="0" w:afterAutospacing="0"/>
              <w:ind w:left="0" w:right="0"/>
              <w:jc w:val="center"/>
              <w:rPr>
                <w:rFonts w:hint="eastAsia" w:cs="宋体"/>
                <w:bCs/>
                <w:color w:val="auto"/>
                <w:kern w:val="2"/>
                <w:sz w:val="21"/>
                <w:szCs w:val="21"/>
              </w:rPr>
            </w:pPr>
            <w:r>
              <w:rPr>
                <w:rFonts w:hint="eastAsia" w:cs="宋体"/>
                <w:color w:val="auto"/>
                <w:kern w:val="2"/>
                <w:sz w:val="21"/>
                <w:szCs w:val="21"/>
              </w:rPr>
              <w:t>施</w:t>
            </w:r>
          </w:p>
        </w:tc>
        <w:tc>
          <w:tcPr>
            <w:tcW w:w="8162" w:type="dxa"/>
            <w:noWrap w:val="0"/>
            <w:vAlign w:val="center"/>
          </w:tcPr>
          <w:p w14:paraId="41056676">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eastAsia="宋体"/>
                <w:b/>
                <w:bCs/>
                <w:lang w:val="en-US" w:eastAsia="zh-CN"/>
              </w:rPr>
            </w:pPr>
            <w:r>
              <w:rPr>
                <w:rFonts w:hint="default"/>
              </w:rPr>
              <w:t>严格</w:t>
            </w:r>
            <w:r>
              <w:rPr>
                <w:rFonts w:hint="eastAsia"/>
                <w:lang w:val="en-US" w:eastAsia="zh-CN"/>
              </w:rPr>
              <w:t>本项目供热站利用污水处理厂原有厂房建设，施工集中于厂房内部，以设备安装、管线铺设、结构局部改造为主，土建工程量小，外部环境扰动较新建厂房低，但需重点控制车间内扬尘、噪声及物料堆放影响；并新建供热管网，涉及地下管道敷设（含开挖、焊接、回填等），线性施工可能穿越道路、绿地，需重点防控扬尘、水土流失及施工对周边交通/居民的干扰，主要要求如下：</w:t>
            </w:r>
          </w:p>
          <w:p w14:paraId="5DE4BC39">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2" w:firstLineChars="200"/>
              <w:rPr>
                <w:rFonts w:hint="default"/>
                <w:b/>
                <w:bCs/>
              </w:rPr>
            </w:pPr>
            <w:r>
              <w:rPr>
                <w:rFonts w:hint="default"/>
                <w:b/>
                <w:bCs/>
              </w:rPr>
              <w:t>1、扬尘防治</w:t>
            </w:r>
          </w:p>
          <w:p w14:paraId="4F5FDCB7">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（1）施工现场100%封闭围挡</w:t>
            </w:r>
            <w:r>
              <w:rPr>
                <w:rFonts w:hint="default"/>
              </w:rPr>
              <w:t>：施工区域四周设置连续硬质围挡，有效阻隔扬尘扩散。</w:t>
            </w:r>
          </w:p>
          <w:p w14:paraId="28E4FAA3">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（2）</w:t>
            </w:r>
            <w:r>
              <w:rPr>
                <w:rFonts w:hint="default"/>
              </w:rPr>
              <w:t>物料堆放100%覆盖：裸露土方、砂石等易产生扬尘的物料需采用防尘网或防尘布严密覆盖。</w:t>
            </w:r>
          </w:p>
          <w:p w14:paraId="3C4DB07D">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（3）</w:t>
            </w:r>
            <w:r>
              <w:rPr>
                <w:rFonts w:hint="default"/>
              </w:rPr>
              <w:t>土方开挖及拆迁作业100%湿法作业：采取喷淋、洒水等降尘措施，控制施工扬尘。</w:t>
            </w:r>
          </w:p>
          <w:p w14:paraId="3566449A">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（4）</w:t>
            </w:r>
            <w:r>
              <w:rPr>
                <w:rFonts w:hint="default"/>
              </w:rPr>
              <w:t>施工现场主要道路100%硬化：对场内主要通行道路实施硬化处理，减少车辆行驶扬尘。</w:t>
            </w:r>
          </w:p>
          <w:p w14:paraId="1B16F935">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eastAsia"/>
              </w:rPr>
            </w:pPr>
            <w:r>
              <w:rPr>
                <w:rFonts w:hint="eastAsia"/>
              </w:rPr>
              <w:t>（5）</w:t>
            </w:r>
            <w:r>
              <w:rPr>
                <w:rFonts w:hint="default"/>
              </w:rPr>
              <w:t>出入车辆100%冲洗：设置车辆冲洗设施，确保车辆离场前清理轮胎及车身泥土。</w:t>
            </w:r>
          </w:p>
          <w:p w14:paraId="10BAB3C1">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（6）</w:t>
            </w:r>
            <w:r>
              <w:rPr>
                <w:rFonts w:hint="default"/>
              </w:rPr>
              <w:t>渣土车辆100%密闭运输：运输渣土、建筑垃圾的车辆需密闭或苫盖，防止遗撒。</w:t>
            </w:r>
          </w:p>
          <w:p w14:paraId="57D50AE7">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项目根据</w:t>
            </w:r>
            <w:r>
              <w:rPr>
                <w:rFonts w:hint="default"/>
              </w:rPr>
              <w:t>《陕西省建筑施工扬尘治理行动方案》采取以上扬尘防治措施后，可有效的减轻扬尘污染，改善施工现场的作业环境。施工期扬尘影响是局部的、短期的</w:t>
            </w:r>
            <w:r>
              <w:rPr>
                <w:rFonts w:hint="eastAsia"/>
              </w:rPr>
              <w:t>，可以达到《施工厂界扬尘排放限值》（DB61/1078-2017）中标准限值</w:t>
            </w:r>
            <w:r>
              <w:rPr>
                <w:rFonts w:hint="default"/>
              </w:rPr>
              <w:t>。</w:t>
            </w:r>
          </w:p>
          <w:p w14:paraId="51EEF2C3">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2" w:firstLineChars="200"/>
              <w:rPr>
                <w:rFonts w:hint="default"/>
                <w:b/>
                <w:bCs/>
              </w:rPr>
            </w:pPr>
            <w:r>
              <w:rPr>
                <w:rFonts w:hint="default"/>
                <w:b/>
                <w:bCs/>
              </w:rPr>
              <w:t>2、施工期噪声防治</w:t>
            </w:r>
          </w:p>
          <w:p w14:paraId="736D81D8">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（1）</w:t>
            </w:r>
            <w:r>
              <w:rPr>
                <w:rFonts w:hint="default"/>
              </w:rPr>
              <w:t>施工单位必须选用符合国家有关标准的施工机械和运输车辆，尽量选用低噪声的施工机械，振动较大的固定机械设备应加装减振机座，高噪声设备应考虑加装隔音罩。同时应加强各类施工设备的维护和保养，保持其良好的运转，以便从根本上降低噪声源强。</w:t>
            </w:r>
          </w:p>
          <w:p w14:paraId="23FA241B">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（2）</w:t>
            </w:r>
            <w:r>
              <w:rPr>
                <w:rFonts w:hint="default"/>
              </w:rPr>
              <w:t>为保护施工人员的健康，施工单位要合理安排工作人员轮流操作强噪声施工机械，减少接触高噪声的时间。对距辐射高强噪声源较近的施工人员，应配戴保护耳塞或头盔等降噪设备。</w:t>
            </w:r>
          </w:p>
          <w:p w14:paraId="0E960A8A">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（3）</w:t>
            </w:r>
            <w:r>
              <w:rPr>
                <w:rFonts w:hint="default"/>
              </w:rPr>
              <w:t>合理安排工期，高噪声设备尽量避开夜间和中午施工时段，若因工程需要，须在夜间连续施工作业的，施工单位应提前向当地环保部门申请。</w:t>
            </w:r>
          </w:p>
          <w:p w14:paraId="1781E22E">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（4）</w:t>
            </w:r>
            <w:r>
              <w:rPr>
                <w:rFonts w:hint="default"/>
              </w:rPr>
              <w:t>要求业主单位在施工现场标明投诉电话，一旦接到投诉，业主单位应及时与当地环保部门取得联系，以便及时处理环境纠纷。</w:t>
            </w:r>
          </w:p>
          <w:p w14:paraId="524A9FE1">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default"/>
              </w:rPr>
              <w:t>噪声排放需满足《建筑施工场界环境噪声排放标准》（GB 12523-2011）的相关要求。</w:t>
            </w:r>
          </w:p>
          <w:p w14:paraId="29425406">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2" w:firstLineChars="200"/>
              <w:rPr>
                <w:rFonts w:hint="default"/>
                <w:b/>
                <w:bCs/>
              </w:rPr>
            </w:pPr>
            <w:r>
              <w:rPr>
                <w:rFonts w:hint="default"/>
                <w:b/>
                <w:bCs/>
              </w:rPr>
              <w:t>3、施工期固体废弃物防治</w:t>
            </w:r>
          </w:p>
          <w:p w14:paraId="74C16E84">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（1）</w:t>
            </w:r>
            <w:r>
              <w:rPr>
                <w:rFonts w:hint="default"/>
              </w:rPr>
              <w:t>工程土石方防治措施</w:t>
            </w:r>
          </w:p>
          <w:p w14:paraId="3DF452D4">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default"/>
              </w:rPr>
              <w:t>剥离表土及时用于填方，对于弃土，及时清运至相关部门指定的地点，车辆在运输途中需要加盖苫布，同时对运输车辆产生的洒落物及时清扫。表土临时堆场四周设置截排水沟，避免场外雨水进入表土临时堆放场形成冲刷淋溶水污染周边环境。</w:t>
            </w:r>
          </w:p>
          <w:p w14:paraId="36F577D4">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（2）</w:t>
            </w:r>
            <w:r>
              <w:rPr>
                <w:rFonts w:hint="default"/>
              </w:rPr>
              <w:t>建筑垃圾防治措施</w:t>
            </w:r>
          </w:p>
          <w:p w14:paraId="34D061AC">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default"/>
              </w:rPr>
              <w:t>产生的建筑垃圾，部分有一定的回收利用价值，如废金属、废木料等下角料可分类回收，交废物收购站处理；部分无回收价值的建筑垃圾由施工单位集中收集统一运往垃圾暂存间，定期由市政环卫部门统一清运。</w:t>
            </w:r>
          </w:p>
          <w:p w14:paraId="2B508AD9">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（3）</w:t>
            </w:r>
            <w:r>
              <w:rPr>
                <w:rFonts w:hint="default"/>
              </w:rPr>
              <w:t>施工人员生活垃圾防治措施</w:t>
            </w:r>
          </w:p>
          <w:p w14:paraId="0FE8E3F8">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default"/>
              </w:rPr>
              <w:t>本项目施工人员产生的生活垃圾经垃圾桶（池）收集后由环卫部门定期外运处理，对周围环境影响较小。</w:t>
            </w:r>
          </w:p>
          <w:p w14:paraId="2539F7B4">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2" w:firstLineChars="200"/>
              <w:rPr>
                <w:rFonts w:hint="default"/>
                <w:b/>
                <w:bCs/>
              </w:rPr>
            </w:pPr>
            <w:r>
              <w:rPr>
                <w:rFonts w:hint="default"/>
                <w:b/>
                <w:bCs/>
              </w:rPr>
              <w:t>4、施工污水的防治</w:t>
            </w:r>
          </w:p>
          <w:p w14:paraId="6073F8B1">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（1）</w:t>
            </w:r>
            <w:r>
              <w:rPr>
                <w:rFonts w:hint="default"/>
              </w:rPr>
              <w:t xml:space="preserve">施工废水收集后，经沉淀等简单处理后回用或用于场地洒水抑尘。本次评价要求施工废水沉淀池采取防渗，避免污染地下水。通过防渗措施后，施工期生产废水不会对区域地下水环境产生明显影响，沉淀的泥沙作为固体废物运至专门的废渣堆场处置。 </w:t>
            </w:r>
          </w:p>
          <w:p w14:paraId="7F0309F9">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（2）</w:t>
            </w:r>
            <w:r>
              <w:rPr>
                <w:rFonts w:hint="default"/>
              </w:rPr>
              <w:t>施工材料如油料、化学品等有害物质堆放场地应设围挡措施，并加蓬布覆盖以减少雨水冲刷造成污染。</w:t>
            </w:r>
          </w:p>
          <w:p w14:paraId="135AC409">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（3）</w:t>
            </w:r>
            <w:r>
              <w:rPr>
                <w:rFonts w:hint="default"/>
              </w:rPr>
              <w:t>本项目涉及的运输车辆有可能根据工程的需要进入城镇道路，因此在厂区的出口安装清洗装置，以减少量运输车辆携带的对城区道路造成影响，在此环节中产生的清洗废水收集沉淀后回用。</w:t>
            </w:r>
          </w:p>
          <w:p w14:paraId="6883A0F2">
            <w:pPr>
              <w:pStyle w:val="9"/>
              <w:keepNext w:val="0"/>
              <w:keepLines w:val="0"/>
              <w:suppressLineNumbers w:val="0"/>
              <w:tabs>
                <w:tab w:val="left" w:pos="2940"/>
                <w:tab w:val="left" w:pos="3360"/>
                <w:tab w:val="left" w:pos="3870"/>
                <w:tab w:val="left" w:pos="5040"/>
                <w:tab w:val="left" w:pos="5460"/>
                <w:tab w:val="left" w:pos="5955"/>
                <w:tab w:val="left" w:pos="6300"/>
                <w:tab w:val="left" w:pos="6720"/>
                <w:tab w:val="left" w:pos="7140"/>
                <w:tab w:val="left" w:pos="7635"/>
              </w:tabs>
              <w:adjustRightInd w:val="0"/>
              <w:snapToGrid w:val="0"/>
              <w:spacing w:before="0" w:beforeAutospacing="0" w:after="0" w:afterAutospacing="0" w:line="360" w:lineRule="auto"/>
              <w:ind w:left="0" w:leftChars="0" w:right="0" w:firstLine="480" w:firstLineChars="200"/>
              <w:rPr>
                <w:rFonts w:hint="default"/>
              </w:rPr>
            </w:pPr>
            <w:r>
              <w:rPr>
                <w:rFonts w:hint="eastAsia"/>
              </w:rPr>
              <w:t>（4）</w:t>
            </w:r>
            <w:r>
              <w:rPr>
                <w:rFonts w:hint="default"/>
              </w:rPr>
              <w:t>施工期的生活废水水质相对简单，产生的生活污水，统一收集</w:t>
            </w:r>
            <w:r>
              <w:rPr>
                <w:rFonts w:hint="eastAsia"/>
              </w:rPr>
              <w:t>经化粪池处理后排入市政管网</w:t>
            </w:r>
            <w:r>
              <w:rPr>
                <w:rFonts w:hint="default"/>
              </w:rPr>
              <w:t>。</w:t>
            </w:r>
          </w:p>
          <w:p w14:paraId="11A041D3">
            <w:pPr>
              <w:keepNext w:val="0"/>
              <w:keepLines w:val="0"/>
              <w:suppressLineNumbers w:val="0"/>
              <w:spacing w:before="0" w:beforeAutospacing="0" w:after="0" w:afterAutospacing="0" w:line="360" w:lineRule="auto"/>
              <w:ind w:left="420" w:leftChars="200" w:right="0"/>
              <w:rPr>
                <w:rFonts w:hint="eastAsia"/>
                <w:b/>
                <w:bCs/>
                <w:color w:val="000000"/>
                <w:spacing w:val="6"/>
                <w:kern w:val="28"/>
                <w:sz w:val="24"/>
              </w:rPr>
            </w:pPr>
            <w:r>
              <w:rPr>
                <w:rFonts w:hint="eastAsia"/>
                <w:b/>
                <w:bCs/>
                <w:color w:val="000000"/>
                <w:spacing w:val="6"/>
                <w:kern w:val="28"/>
                <w:sz w:val="24"/>
              </w:rPr>
              <w:t>5、生态</w:t>
            </w:r>
          </w:p>
          <w:p w14:paraId="6F8B10EF">
            <w:pPr>
              <w:keepNext w:val="0"/>
              <w:keepLines w:val="0"/>
              <w:widowControl/>
              <w:suppressLineNumbers w:val="0"/>
              <w:spacing w:before="0" w:beforeAutospacing="0" w:after="0" w:afterAutospacing="0" w:line="360" w:lineRule="auto"/>
              <w:ind w:left="0" w:right="0" w:firstLine="480" w:firstLineChars="200"/>
              <w:rPr>
                <w:rFonts w:hint="eastAsia"/>
                <w:color w:val="000000"/>
                <w:kern w:val="0"/>
                <w:sz w:val="24"/>
                <w:lang w:bidi="ar"/>
              </w:rPr>
            </w:pPr>
            <w:r>
              <w:rPr>
                <w:rFonts w:hint="eastAsia"/>
                <w:color w:val="000000"/>
                <w:kern w:val="0"/>
                <w:sz w:val="24"/>
                <w:lang w:bidi="ar"/>
              </w:rPr>
              <w:t>（1）在划定施工区内建设，禁止随意扩大占地范围；</w:t>
            </w:r>
          </w:p>
          <w:p w14:paraId="592422D1">
            <w:pPr>
              <w:keepNext w:val="0"/>
              <w:keepLines w:val="0"/>
              <w:widowControl/>
              <w:suppressLineNumbers w:val="0"/>
              <w:spacing w:before="0" w:beforeAutospacing="0" w:after="0" w:afterAutospacing="0" w:line="360" w:lineRule="auto"/>
              <w:ind w:left="0" w:right="0" w:firstLine="480" w:firstLineChars="200"/>
              <w:rPr>
                <w:rFonts w:hint="eastAsia"/>
                <w:color w:val="000000"/>
                <w:kern w:val="0"/>
                <w:sz w:val="24"/>
                <w:lang w:bidi="ar"/>
              </w:rPr>
            </w:pPr>
            <w:r>
              <w:rPr>
                <w:rFonts w:hint="eastAsia"/>
                <w:color w:val="000000"/>
                <w:kern w:val="0"/>
                <w:sz w:val="24"/>
                <w:lang w:bidi="ar"/>
              </w:rPr>
              <w:t>（2）开挖的土石方应及时回填，如不能立即回填而堆存的土石方应予以覆盖，并设置围挡，防止雨水冲积造成水土流失；</w:t>
            </w:r>
          </w:p>
          <w:p w14:paraId="3601C3B7">
            <w:pPr>
              <w:keepNext w:val="0"/>
              <w:keepLines w:val="0"/>
              <w:widowControl/>
              <w:suppressLineNumbers w:val="0"/>
              <w:spacing w:before="0" w:beforeAutospacing="0" w:after="0" w:afterAutospacing="0" w:line="360" w:lineRule="auto"/>
              <w:ind w:left="0" w:right="0" w:firstLine="480" w:firstLineChars="200"/>
              <w:rPr>
                <w:rFonts w:hint="eastAsia"/>
                <w:color w:val="000000"/>
                <w:kern w:val="0"/>
                <w:sz w:val="24"/>
                <w:lang w:bidi="ar"/>
              </w:rPr>
            </w:pPr>
            <w:r>
              <w:rPr>
                <w:rFonts w:hint="eastAsia"/>
                <w:color w:val="000000"/>
                <w:kern w:val="0"/>
                <w:sz w:val="24"/>
                <w:lang w:bidi="ar"/>
              </w:rPr>
              <w:t>（3）对厂区裸露地面及时进行防护，堆放物料采用篷布等进行苫盖，对边坡等进行绿化。本项目施工期间施工活动及施工结束后不会加剧评价区内土地沙化，对沙地生态环境影响较小。主体工程完成后，需尽快完成清场、绿化等配套工程，改善厂区生态环境，种植树木、草皮等，防止水土流失。</w:t>
            </w:r>
          </w:p>
          <w:p w14:paraId="00DE5FCF">
            <w:pPr>
              <w:keepNext w:val="0"/>
              <w:keepLines w:val="0"/>
              <w:widowControl/>
              <w:suppressLineNumbers w:val="0"/>
              <w:spacing w:before="0" w:beforeAutospacing="0" w:after="0" w:afterAutospacing="0" w:line="360" w:lineRule="auto"/>
              <w:ind w:left="0" w:right="0" w:firstLine="480" w:firstLineChars="200"/>
              <w:rPr>
                <w:rFonts w:hint="eastAsia"/>
                <w:color w:val="000000"/>
                <w:kern w:val="0"/>
                <w:sz w:val="24"/>
                <w:lang w:bidi="ar"/>
              </w:rPr>
            </w:pPr>
            <w:r>
              <w:rPr>
                <w:rFonts w:hint="eastAsia"/>
                <w:color w:val="000000"/>
                <w:kern w:val="0"/>
                <w:sz w:val="24"/>
                <w:lang w:bidi="ar"/>
              </w:rPr>
              <w:t>经采取以上措施后，施工期的环境影响可降至最低限度，随着施工期的结束，这些影响也将消失。</w:t>
            </w:r>
          </w:p>
          <w:p w14:paraId="2C234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宋体"/>
                <w:color w:val="auto"/>
                <w:kern w:val="0"/>
                <w:sz w:val="24"/>
                <w:szCs w:val="24"/>
                <w:lang w:val="en-US" w:eastAsia="zh-CN"/>
              </w:rPr>
            </w:pPr>
            <w:r>
              <w:rPr>
                <w:rFonts w:hint="eastAsia" w:ascii="Times New Roman" w:hAnsi="Times New Roman" w:cs="宋体"/>
                <w:color w:val="auto"/>
                <w:kern w:val="0"/>
                <w:sz w:val="24"/>
                <w:szCs w:val="24"/>
                <w:lang w:val="en-US" w:eastAsia="zh-CN"/>
              </w:rPr>
              <w:t>施工期环境影响回顾性分析</w:t>
            </w:r>
          </w:p>
          <w:p w14:paraId="75E5EF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cs="宋体"/>
                <w:color w:val="auto"/>
                <w:kern w:val="0"/>
                <w:szCs w:val="21"/>
              </w:rPr>
            </w:pPr>
            <w:r>
              <w:rPr>
                <w:rFonts w:hint="eastAsia" w:ascii="Times New Roman" w:hAnsi="Times New Roman" w:cs="宋体"/>
                <w:color w:val="auto"/>
                <w:kern w:val="0"/>
                <w:sz w:val="24"/>
                <w:szCs w:val="24"/>
                <w:lang w:val="en-US" w:eastAsia="zh-CN"/>
              </w:rPr>
              <w:t>根据现场勘查，</w:t>
            </w:r>
            <w:r>
              <w:rPr>
                <w:rFonts w:hint="eastAsia" w:ascii="Times New Roman" w:hAnsi="Times New Roman" w:cs="宋体"/>
                <w:color w:val="auto"/>
                <w:kern w:val="0"/>
                <w:sz w:val="24"/>
                <w:szCs w:val="24"/>
              </w:rPr>
              <w:t>项目</w:t>
            </w:r>
            <w:r>
              <w:rPr>
                <w:rFonts w:hint="eastAsia" w:ascii="Times New Roman" w:hAnsi="Times New Roman" w:cs="宋体"/>
                <w:color w:val="auto"/>
                <w:kern w:val="0"/>
                <w:sz w:val="24"/>
                <w:szCs w:val="24"/>
                <w:lang w:val="en-US" w:eastAsia="zh-CN"/>
              </w:rPr>
              <w:t>于2021年</w:t>
            </w:r>
            <w:r>
              <w:rPr>
                <w:rFonts w:hint="eastAsia" w:cs="宋体"/>
                <w:color w:val="auto"/>
                <w:kern w:val="0"/>
                <w:sz w:val="24"/>
                <w:szCs w:val="24"/>
                <w:lang w:val="en-US" w:eastAsia="zh-CN"/>
              </w:rPr>
              <w:t>10</w:t>
            </w:r>
            <w:r>
              <w:rPr>
                <w:rFonts w:hint="eastAsia" w:ascii="Times New Roman" w:hAnsi="Times New Roman" w:cs="宋体"/>
                <w:color w:val="auto"/>
                <w:kern w:val="0"/>
                <w:sz w:val="24"/>
                <w:szCs w:val="24"/>
                <w:lang w:val="en-US" w:eastAsia="zh-CN"/>
              </w:rPr>
              <w:t>月</w:t>
            </w:r>
            <w:r>
              <w:rPr>
                <w:rFonts w:hint="eastAsia" w:ascii="Times New Roman" w:hAnsi="Times New Roman" w:cs="宋体"/>
                <w:color w:val="auto"/>
                <w:kern w:val="0"/>
                <w:sz w:val="24"/>
                <w:szCs w:val="24"/>
              </w:rPr>
              <w:t>已经建成</w:t>
            </w:r>
            <w:r>
              <w:rPr>
                <w:rFonts w:hint="eastAsia" w:ascii="Times New Roman" w:hAnsi="Times New Roman" w:cs="宋体"/>
                <w:color w:val="auto"/>
                <w:kern w:val="0"/>
                <w:sz w:val="24"/>
                <w:szCs w:val="24"/>
                <w:lang w:val="en-US" w:eastAsia="zh-CN"/>
              </w:rPr>
              <w:t>运营</w:t>
            </w:r>
            <w:r>
              <w:rPr>
                <w:rFonts w:hint="eastAsia" w:ascii="Times New Roman" w:hAnsi="Times New Roman" w:cs="宋体"/>
                <w:color w:val="auto"/>
                <w:kern w:val="0"/>
                <w:sz w:val="24"/>
                <w:szCs w:val="24"/>
              </w:rPr>
              <w:t>，</w:t>
            </w:r>
            <w:r>
              <w:rPr>
                <w:rFonts w:hint="eastAsia" w:ascii="Times New Roman" w:hAnsi="Times New Roman" w:cs="宋体"/>
                <w:color w:val="auto"/>
                <w:kern w:val="0"/>
                <w:sz w:val="24"/>
                <w:szCs w:val="24"/>
                <w:lang w:val="en-US" w:eastAsia="zh-CN"/>
              </w:rPr>
              <w:t>项目施工已结束，无施工遗留社会环境问题，目前运营状况良好，近年来</w:t>
            </w:r>
            <w:r>
              <w:rPr>
                <w:rFonts w:hint="eastAsia" w:ascii="Times New Roman" w:hAnsi="Times New Roman" w:cs="宋体"/>
                <w:color w:val="auto"/>
                <w:kern w:val="0"/>
                <w:sz w:val="24"/>
                <w:szCs w:val="24"/>
              </w:rPr>
              <w:t>未出现环保投诉，</w:t>
            </w:r>
            <w:r>
              <w:rPr>
                <w:rFonts w:hint="eastAsia" w:ascii="Times New Roman" w:hAnsi="Times New Roman" w:cs="宋体"/>
                <w:color w:val="auto"/>
                <w:kern w:val="0"/>
                <w:sz w:val="24"/>
                <w:szCs w:val="24"/>
                <w:lang w:val="en-US" w:eastAsia="zh-CN"/>
              </w:rPr>
              <w:t>施工期至今废气、废水、噪声、固废均已不存在，</w:t>
            </w:r>
            <w:r>
              <w:rPr>
                <w:rFonts w:hint="eastAsia" w:ascii="Times New Roman" w:hAnsi="Times New Roman" w:cs="宋体"/>
                <w:color w:val="auto"/>
                <w:kern w:val="0"/>
                <w:sz w:val="24"/>
                <w:szCs w:val="24"/>
              </w:rPr>
              <w:t>未对环境造成较大影响。</w:t>
            </w:r>
          </w:p>
        </w:tc>
      </w:tr>
      <w:tr w14:paraId="70EDE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tcMar>
              <w:left w:w="28" w:type="dxa"/>
              <w:right w:w="28" w:type="dxa"/>
            </w:tcMar>
            <w:vAlign w:val="center"/>
          </w:tcPr>
          <w:p w14:paraId="66B38BB2">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运营</w:t>
            </w:r>
          </w:p>
          <w:p w14:paraId="214E9110">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期环</w:t>
            </w:r>
          </w:p>
          <w:p w14:paraId="3B70AF0B">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境影</w:t>
            </w:r>
          </w:p>
          <w:p w14:paraId="760784C4">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响和</w:t>
            </w:r>
          </w:p>
          <w:p w14:paraId="07E79583">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Cs w:val="21"/>
              </w:rPr>
            </w:pPr>
            <w:r>
              <w:rPr>
                <w:rFonts w:hint="eastAsia" w:ascii="宋体" w:hAnsi="宋体" w:cs="宋体"/>
                <w:bCs/>
                <w:color w:val="auto"/>
                <w:szCs w:val="21"/>
              </w:rPr>
              <w:t>保护</w:t>
            </w:r>
          </w:p>
          <w:p w14:paraId="04CA6CBF">
            <w:pPr>
              <w:pStyle w:val="16"/>
              <w:keepNext w:val="0"/>
              <w:keepLines w:val="0"/>
              <w:suppressLineNumbers w:val="0"/>
              <w:adjustRightInd w:val="0"/>
              <w:snapToGrid w:val="0"/>
              <w:spacing w:before="0" w:beforeAutospacing="0" w:after="0" w:afterAutospacing="0"/>
              <w:ind w:left="0" w:right="0"/>
              <w:jc w:val="center"/>
              <w:rPr>
                <w:rFonts w:hint="eastAsia" w:cs="宋体"/>
                <w:color w:val="auto"/>
                <w:kern w:val="2"/>
                <w:sz w:val="21"/>
                <w:szCs w:val="21"/>
              </w:rPr>
            </w:pPr>
            <w:r>
              <w:rPr>
                <w:rFonts w:hint="eastAsia" w:ascii="宋体" w:hAnsi="宋体" w:cs="宋体"/>
                <w:bCs/>
                <w:color w:val="auto"/>
                <w:szCs w:val="21"/>
              </w:rPr>
              <w:t>措施</w:t>
            </w:r>
          </w:p>
        </w:tc>
        <w:tc>
          <w:tcPr>
            <w:tcW w:w="8162" w:type="dxa"/>
            <w:noWrap w:val="0"/>
            <w:vAlign w:val="center"/>
          </w:tcPr>
          <w:p w14:paraId="7D42BFE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mallCaps w:val="0"/>
                <w:color w:val="auto"/>
                <w:sz w:val="24"/>
                <w:szCs w:val="24"/>
                <w:highlight w:val="none"/>
              </w:rPr>
            </w:pPr>
            <w:r>
              <w:rPr>
                <w:rFonts w:hint="default" w:ascii="Times New Roman" w:hAnsi="Times New Roman" w:eastAsia="宋体" w:cs="Times New Roman"/>
                <w:smallCaps w:val="0"/>
                <w:color w:val="auto"/>
                <w:sz w:val="24"/>
                <w:szCs w:val="24"/>
                <w:highlight w:val="none"/>
              </w:rPr>
              <w:t>运营期大气环境影响和保护措施</w:t>
            </w:r>
          </w:p>
          <w:p w14:paraId="0FBC41E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smallCaps w:val="0"/>
                <w:color w:val="auto"/>
                <w:sz w:val="24"/>
                <w:szCs w:val="24"/>
                <w:highlight w:val="none"/>
                <w:lang w:val="en-US" w:eastAsia="zh-CN"/>
              </w:rPr>
            </w:pPr>
            <w:r>
              <w:rPr>
                <w:rFonts w:hint="eastAsia" w:ascii="Times New Roman" w:hAnsi="Times New Roman" w:eastAsia="宋体" w:cs="Times New Roman"/>
                <w:smallCaps w:val="0"/>
                <w:color w:val="auto"/>
                <w:sz w:val="24"/>
                <w:szCs w:val="24"/>
                <w:highlight w:val="none"/>
              </w:rPr>
              <w:t>本项目运营期大气污染物主要</w:t>
            </w:r>
            <w:r>
              <w:rPr>
                <w:rFonts w:hint="eastAsia" w:ascii="Times New Roman" w:hAnsi="Times New Roman" w:eastAsia="宋体" w:cs="Times New Roman"/>
                <w:smallCaps w:val="0"/>
                <w:color w:val="auto"/>
                <w:sz w:val="24"/>
                <w:szCs w:val="24"/>
                <w:highlight w:val="none"/>
                <w:lang w:eastAsia="zh-CN"/>
              </w:rPr>
              <w:t>为</w:t>
            </w:r>
            <w:r>
              <w:rPr>
                <w:rFonts w:hint="eastAsia" w:cs="Times New Roman"/>
                <w:smallCaps w:val="0"/>
                <w:color w:val="auto"/>
                <w:sz w:val="24"/>
                <w:szCs w:val="24"/>
                <w:highlight w:val="none"/>
                <w:lang w:val="en-US" w:eastAsia="zh-CN"/>
              </w:rPr>
              <w:t>天然气</w:t>
            </w:r>
            <w:r>
              <w:rPr>
                <w:rFonts w:hint="eastAsia" w:ascii="Times New Roman" w:hAnsi="Times New Roman" w:eastAsia="宋体" w:cs="Times New Roman"/>
                <w:smallCaps w:val="0"/>
                <w:color w:val="auto"/>
                <w:sz w:val="24"/>
                <w:szCs w:val="24"/>
                <w:highlight w:val="none"/>
                <w:lang w:val="en-US" w:eastAsia="zh-CN"/>
              </w:rPr>
              <w:t>锅炉产生的</w:t>
            </w:r>
            <w:r>
              <w:rPr>
                <w:rFonts w:hint="eastAsia" w:cs="Times New Roman"/>
                <w:smallCaps w:val="0"/>
                <w:color w:val="auto"/>
                <w:sz w:val="24"/>
                <w:szCs w:val="24"/>
                <w:highlight w:val="none"/>
                <w:lang w:val="en-US" w:eastAsia="zh-CN"/>
              </w:rPr>
              <w:t>SO</w:t>
            </w:r>
            <w:r>
              <w:rPr>
                <w:rFonts w:hint="eastAsia" w:cs="Times New Roman"/>
                <w:smallCaps w:val="0"/>
                <w:color w:val="auto"/>
                <w:sz w:val="24"/>
                <w:szCs w:val="24"/>
                <w:highlight w:val="none"/>
                <w:vertAlign w:val="subscript"/>
                <w:lang w:val="en-US" w:eastAsia="zh-CN"/>
              </w:rPr>
              <w:t>2</w:t>
            </w:r>
            <w:r>
              <w:rPr>
                <w:rFonts w:hint="eastAsia" w:ascii="Times New Roman" w:hAnsi="Times New Roman" w:eastAsia="宋体" w:cs="Times New Roman"/>
                <w:smallCaps w:val="0"/>
                <w:color w:val="auto"/>
                <w:sz w:val="24"/>
                <w:szCs w:val="24"/>
                <w:highlight w:val="none"/>
                <w:lang w:val="en-US" w:eastAsia="zh-CN"/>
              </w:rPr>
              <w:t>、</w:t>
            </w:r>
            <w:r>
              <w:rPr>
                <w:rFonts w:hint="eastAsia" w:cs="Times New Roman"/>
                <w:smallCaps w:val="0"/>
                <w:color w:val="auto"/>
                <w:sz w:val="24"/>
                <w:szCs w:val="24"/>
                <w:highlight w:val="none"/>
                <w:lang w:val="en-US" w:eastAsia="zh-CN"/>
              </w:rPr>
              <w:t>NOx</w:t>
            </w:r>
            <w:r>
              <w:rPr>
                <w:rFonts w:hint="eastAsia" w:ascii="Times New Roman" w:hAnsi="Times New Roman" w:eastAsia="宋体" w:cs="Times New Roman"/>
                <w:smallCaps w:val="0"/>
                <w:color w:val="auto"/>
                <w:sz w:val="24"/>
                <w:szCs w:val="24"/>
                <w:highlight w:val="none"/>
                <w:lang w:val="en-US" w:eastAsia="zh-CN"/>
              </w:rPr>
              <w:t>、颗粒物</w:t>
            </w:r>
            <w:r>
              <w:rPr>
                <w:rFonts w:hint="eastAsia" w:cs="Times New Roman"/>
                <w:smallCaps w:val="0"/>
                <w:color w:val="auto"/>
                <w:sz w:val="24"/>
                <w:szCs w:val="24"/>
                <w:highlight w:val="none"/>
                <w:lang w:val="en-US" w:eastAsia="zh-CN"/>
              </w:rPr>
              <w:t>，锅炉烟气采用低氮燃烧，通过25m高排气筒排放。</w:t>
            </w:r>
          </w:p>
          <w:p w14:paraId="1753D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sz w:val="24"/>
                <w:szCs w:val="24"/>
                <w:highlight w:val="none"/>
                <w:lang w:val="en-US" w:eastAsia="zh-CN"/>
              </w:rPr>
            </w:pPr>
            <w:r>
              <w:rPr>
                <w:rFonts w:hint="default" w:ascii="Times New Roman" w:hAnsi="Times New Roman" w:eastAsia="宋体" w:cs="Times New Roman"/>
                <w:b w:val="0"/>
                <w:bCs/>
                <w:smallCaps w:val="0"/>
                <w:color w:val="auto"/>
                <w:sz w:val="24"/>
                <w:szCs w:val="24"/>
                <w:highlight w:val="none"/>
                <w:lang w:eastAsia="zh-CN"/>
              </w:rPr>
              <w:t>1</w:t>
            </w:r>
            <w:r>
              <w:rPr>
                <w:rFonts w:hint="eastAsia" w:ascii="Times New Roman" w:hAnsi="Times New Roman" w:eastAsia="宋体" w:cs="Times New Roman"/>
                <w:b w:val="0"/>
                <w:bCs/>
                <w:smallCaps w:val="0"/>
                <w:color w:val="auto"/>
                <w:sz w:val="24"/>
                <w:szCs w:val="24"/>
                <w:highlight w:val="none"/>
                <w:lang w:val="en-US" w:eastAsia="zh-CN"/>
              </w:rPr>
              <w:t>.1</w:t>
            </w:r>
            <w:r>
              <w:rPr>
                <w:rFonts w:hint="default" w:ascii="Times New Roman" w:hAnsi="Times New Roman" w:eastAsia="宋体" w:cs="Times New Roman"/>
                <w:b w:val="0"/>
                <w:bCs/>
                <w:smallCaps w:val="0"/>
                <w:color w:val="auto"/>
                <w:sz w:val="24"/>
                <w:szCs w:val="24"/>
                <w:highlight w:val="none"/>
                <w:lang w:eastAsia="zh-CN"/>
              </w:rPr>
              <w:t>废气</w:t>
            </w:r>
            <w:r>
              <w:rPr>
                <w:rFonts w:hint="eastAsia" w:ascii="Times New Roman" w:hAnsi="Times New Roman" w:eastAsia="宋体" w:cs="Times New Roman"/>
                <w:b w:val="0"/>
                <w:bCs/>
                <w:smallCaps w:val="0"/>
                <w:color w:val="auto"/>
                <w:sz w:val="24"/>
                <w:szCs w:val="24"/>
                <w:highlight w:val="none"/>
                <w:lang w:val="en-US" w:eastAsia="zh-CN"/>
              </w:rPr>
              <w:t>污染物排放情况</w:t>
            </w:r>
          </w:p>
          <w:p w14:paraId="7BD9D0D1">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表4-1 大气污染物产生及排放情况一览表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799"/>
              <w:gridCol w:w="2243"/>
              <w:gridCol w:w="2191"/>
              <w:gridCol w:w="2282"/>
            </w:tblGrid>
            <w:tr w14:paraId="569E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629B5610">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产排污环节</w:t>
                  </w:r>
                </w:p>
              </w:tc>
              <w:tc>
                <w:tcPr>
                  <w:tcW w:w="3629" w:type="pct"/>
                  <w:gridSpan w:val="3"/>
                  <w:tcBorders>
                    <w:top w:val="single" w:color="auto" w:sz="4" w:space="0"/>
                    <w:left w:val="single" w:color="auto" w:sz="4" w:space="0"/>
                    <w:bottom w:val="single" w:color="auto" w:sz="4" w:space="0"/>
                    <w:right w:val="single" w:color="auto" w:sz="4" w:space="0"/>
                  </w:tcBorders>
                  <w:noWrap w:val="0"/>
                  <w:vAlign w:val="center"/>
                </w:tcPr>
                <w:p w14:paraId="09CA3AC2">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燃气</w:t>
                  </w:r>
                  <w:r>
                    <w:rPr>
                      <w:rFonts w:hint="eastAsia" w:ascii="Times New Roman" w:hAnsi="Times New Roman" w:eastAsia="宋体"/>
                      <w:b w:val="0"/>
                      <w:bCs/>
                      <w:smallCaps w:val="0"/>
                      <w:color w:val="auto"/>
                      <w:sz w:val="21"/>
                      <w:szCs w:val="21"/>
                      <w:highlight w:val="none"/>
                      <w:lang w:val="en-US" w:eastAsia="zh-CN"/>
                    </w:rPr>
                    <w:t>锅炉</w:t>
                  </w:r>
                </w:p>
              </w:tc>
            </w:tr>
            <w:tr w14:paraId="56A1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27CF08C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污染物种类</w:t>
                  </w:r>
                </w:p>
              </w:tc>
              <w:tc>
                <w:tcPr>
                  <w:tcW w:w="3629" w:type="pct"/>
                  <w:gridSpan w:val="3"/>
                  <w:tcBorders>
                    <w:top w:val="single" w:color="auto" w:sz="4" w:space="0"/>
                    <w:left w:val="single" w:color="auto" w:sz="4" w:space="0"/>
                    <w:bottom w:val="single" w:color="auto" w:sz="4" w:space="0"/>
                    <w:right w:val="single" w:color="auto" w:sz="4" w:space="0"/>
                  </w:tcBorders>
                  <w:noWrap w:val="0"/>
                  <w:vAlign w:val="center"/>
                </w:tcPr>
                <w:p w14:paraId="6A1DF47E">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rPr>
                      <w:rFonts w:hint="eastAsia" w:ascii="Times New Roman" w:hAnsi="Times New Roman" w:eastAsia="宋体"/>
                      <w:b w:val="0"/>
                      <w:bCs/>
                      <w:smallCaps w:val="0"/>
                      <w:color w:val="auto"/>
                      <w:sz w:val="21"/>
                      <w:szCs w:val="21"/>
                      <w:lang w:val="en-US" w:eastAsia="zh-CN"/>
                    </w:rPr>
                  </w:pPr>
                  <w:r>
                    <w:rPr>
                      <w:rFonts w:hint="eastAsia" w:ascii="Times New Roman" w:hAnsi="Times New Roman" w:eastAsia="宋体"/>
                      <w:b w:val="0"/>
                      <w:bCs/>
                      <w:smallCaps w:val="0"/>
                      <w:color w:val="auto"/>
                      <w:sz w:val="21"/>
                      <w:szCs w:val="21"/>
                      <w:highlight w:val="none"/>
                      <w:lang w:val="en-US" w:eastAsia="zh-CN"/>
                    </w:rPr>
                    <w:t>SO</w:t>
                  </w:r>
                  <w:r>
                    <w:rPr>
                      <w:rFonts w:hint="eastAsia" w:ascii="Times New Roman" w:hAnsi="Times New Roman" w:eastAsia="宋体"/>
                      <w:b w:val="0"/>
                      <w:bCs/>
                      <w:smallCaps w:val="0"/>
                      <w:color w:val="auto"/>
                      <w:sz w:val="21"/>
                      <w:szCs w:val="21"/>
                      <w:highlight w:val="none"/>
                      <w:vertAlign w:val="subscript"/>
                      <w:lang w:val="en-US" w:eastAsia="zh-CN"/>
                    </w:rPr>
                    <w:t>2</w:t>
                  </w:r>
                  <w:r>
                    <w:rPr>
                      <w:rFonts w:hint="eastAsia" w:ascii="Times New Roman" w:hAnsi="Times New Roman" w:eastAsia="宋体"/>
                      <w:b w:val="0"/>
                      <w:bCs/>
                      <w:smallCaps w:val="0"/>
                      <w:color w:val="auto"/>
                      <w:sz w:val="21"/>
                      <w:szCs w:val="21"/>
                      <w:lang w:val="en-US" w:eastAsia="zh-CN"/>
                    </w:rPr>
                    <w:t>、</w:t>
                  </w:r>
                  <w:r>
                    <w:rPr>
                      <w:rFonts w:hint="eastAsia" w:ascii="Times New Roman" w:hAnsi="Times New Roman" w:eastAsia="宋体" w:cs="宋体"/>
                      <w:b w:val="0"/>
                      <w:bCs/>
                      <w:smallCaps w:val="0"/>
                      <w:color w:val="auto"/>
                      <w:kern w:val="2"/>
                      <w:sz w:val="21"/>
                      <w:szCs w:val="21"/>
                      <w:highlight w:val="none"/>
                      <w:lang w:val="en-US" w:eastAsia="zh-CN" w:bidi="ar-SA"/>
                    </w:rPr>
                    <w:t>NOx</w:t>
                  </w:r>
                  <w:r>
                    <w:rPr>
                      <w:rFonts w:hint="eastAsia" w:ascii="Times New Roman" w:hAnsi="Times New Roman" w:eastAsia="宋体"/>
                      <w:b w:val="0"/>
                      <w:bCs/>
                      <w:smallCaps w:val="0"/>
                      <w:color w:val="auto"/>
                      <w:sz w:val="21"/>
                      <w:szCs w:val="21"/>
                      <w:lang w:val="en-US" w:eastAsia="zh-CN"/>
                    </w:rPr>
                    <w:t>、颗粒物</w:t>
                  </w:r>
                </w:p>
              </w:tc>
            </w:tr>
            <w:tr w14:paraId="0F3D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741F4D8B">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污染物</w:t>
                  </w:r>
                </w:p>
              </w:tc>
              <w:tc>
                <w:tcPr>
                  <w:tcW w:w="1212" w:type="pct"/>
                  <w:tcBorders>
                    <w:top w:val="single" w:color="auto" w:sz="4" w:space="0"/>
                    <w:left w:val="single" w:color="auto" w:sz="4" w:space="0"/>
                    <w:bottom w:val="single" w:color="auto" w:sz="4" w:space="0"/>
                    <w:right w:val="single" w:color="auto" w:sz="4" w:space="0"/>
                  </w:tcBorders>
                  <w:noWrap w:val="0"/>
                  <w:vAlign w:val="center"/>
                </w:tcPr>
                <w:p w14:paraId="3D6161BE">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SO</w:t>
                  </w:r>
                  <w:r>
                    <w:rPr>
                      <w:rFonts w:hint="eastAsia" w:ascii="Times New Roman" w:hAnsi="Times New Roman" w:eastAsia="宋体"/>
                      <w:b w:val="0"/>
                      <w:bCs/>
                      <w:smallCaps w:val="0"/>
                      <w:color w:val="auto"/>
                      <w:sz w:val="21"/>
                      <w:szCs w:val="21"/>
                      <w:highlight w:val="none"/>
                      <w:vertAlign w:val="subscript"/>
                      <w:lang w:val="en-US" w:eastAsia="zh-CN"/>
                    </w:rPr>
                    <w:t>2</w:t>
                  </w:r>
                </w:p>
              </w:tc>
              <w:tc>
                <w:tcPr>
                  <w:tcW w:w="1184" w:type="pct"/>
                  <w:tcBorders>
                    <w:top w:val="single" w:color="auto" w:sz="4" w:space="0"/>
                    <w:left w:val="single" w:color="auto" w:sz="4" w:space="0"/>
                    <w:bottom w:val="single" w:color="auto" w:sz="4" w:space="0"/>
                    <w:right w:val="single" w:color="auto" w:sz="4" w:space="0"/>
                  </w:tcBorders>
                  <w:noWrap w:val="0"/>
                  <w:vAlign w:val="center"/>
                </w:tcPr>
                <w:p w14:paraId="6CB2495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rPr>
                      <w:rFonts w:hint="default" w:ascii="Times New Roman" w:hAnsi="Times New Roman" w:eastAsia="宋体" w:cs="宋体"/>
                      <w:b w:val="0"/>
                      <w:bCs/>
                      <w:smallCaps w:val="0"/>
                      <w:color w:val="auto"/>
                      <w:kern w:val="2"/>
                      <w:sz w:val="21"/>
                      <w:szCs w:val="21"/>
                      <w:highlight w:val="none"/>
                      <w:lang w:val="en-US" w:eastAsia="zh-CN" w:bidi="ar-SA"/>
                    </w:rPr>
                  </w:pPr>
                  <w:r>
                    <w:rPr>
                      <w:rFonts w:hint="eastAsia" w:ascii="Times New Roman" w:hAnsi="Times New Roman" w:eastAsia="宋体" w:cs="宋体"/>
                      <w:b w:val="0"/>
                      <w:bCs/>
                      <w:smallCaps w:val="0"/>
                      <w:color w:val="auto"/>
                      <w:kern w:val="2"/>
                      <w:sz w:val="21"/>
                      <w:szCs w:val="21"/>
                      <w:highlight w:val="none"/>
                      <w:lang w:val="en-US" w:eastAsia="zh-CN" w:bidi="ar-SA"/>
                    </w:rPr>
                    <w:t>NOx</w:t>
                  </w:r>
                </w:p>
              </w:tc>
              <w:tc>
                <w:tcPr>
                  <w:tcW w:w="1232" w:type="pct"/>
                  <w:tcBorders>
                    <w:top w:val="single" w:color="auto" w:sz="4" w:space="0"/>
                    <w:left w:val="single" w:color="auto" w:sz="4" w:space="0"/>
                    <w:bottom w:val="single" w:color="auto" w:sz="4" w:space="0"/>
                    <w:right w:val="single" w:color="auto" w:sz="4" w:space="0"/>
                  </w:tcBorders>
                  <w:noWrap w:val="0"/>
                  <w:vAlign w:val="center"/>
                </w:tcPr>
                <w:p w14:paraId="2078FA2E">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rPr>
                      <w:rFonts w:hint="eastAsia"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颗粒物</w:t>
                  </w:r>
                </w:p>
              </w:tc>
            </w:tr>
            <w:tr w14:paraId="25BF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17219697">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lang w:val="en-US" w:eastAsia="zh-CN"/>
                    </w:rPr>
                  </w:pPr>
                  <w:r>
                    <w:rPr>
                      <w:rFonts w:hint="eastAsia" w:ascii="Times New Roman" w:hAnsi="Times New Roman" w:eastAsia="宋体"/>
                      <w:b/>
                      <w:bCs w:val="0"/>
                      <w:smallCaps w:val="0"/>
                      <w:color w:val="auto"/>
                      <w:sz w:val="21"/>
                      <w:szCs w:val="21"/>
                      <w:highlight w:val="none"/>
                      <w:lang w:val="en-US" w:eastAsia="zh-CN"/>
                    </w:rPr>
                    <w:t>核算方法</w:t>
                  </w:r>
                </w:p>
              </w:tc>
              <w:tc>
                <w:tcPr>
                  <w:tcW w:w="1212" w:type="pct"/>
                  <w:tcBorders>
                    <w:top w:val="single" w:color="auto" w:sz="4" w:space="0"/>
                    <w:left w:val="single" w:color="auto" w:sz="4" w:space="0"/>
                    <w:bottom w:val="single" w:color="auto" w:sz="4" w:space="0"/>
                    <w:right w:val="single" w:color="auto" w:sz="4" w:space="0"/>
                  </w:tcBorders>
                  <w:noWrap w:val="0"/>
                  <w:vAlign w:val="center"/>
                </w:tcPr>
                <w:p w14:paraId="2D11E8FF">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产物系数法</w:t>
                  </w:r>
                </w:p>
              </w:tc>
              <w:tc>
                <w:tcPr>
                  <w:tcW w:w="1184" w:type="pct"/>
                  <w:tcBorders>
                    <w:top w:val="single" w:color="auto" w:sz="4" w:space="0"/>
                    <w:left w:val="single" w:color="auto" w:sz="4" w:space="0"/>
                    <w:bottom w:val="single" w:color="auto" w:sz="4" w:space="0"/>
                    <w:right w:val="single" w:color="auto" w:sz="4" w:space="0"/>
                  </w:tcBorders>
                  <w:noWrap w:val="0"/>
                  <w:vAlign w:val="center"/>
                </w:tcPr>
                <w:p w14:paraId="6118F85B">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rPr>
                      <w:rFonts w:hint="eastAsia" w:ascii="Times New Roman" w:hAnsi="Times New Roman" w:eastAsia="宋体" w:cs="宋体"/>
                      <w:b w:val="0"/>
                      <w:bCs/>
                      <w:smallCaps w:val="0"/>
                      <w:color w:val="auto"/>
                      <w:kern w:val="2"/>
                      <w:sz w:val="21"/>
                      <w:szCs w:val="21"/>
                      <w:highlight w:val="none"/>
                      <w:lang w:val="en-US" w:eastAsia="zh-CN" w:bidi="ar-SA"/>
                    </w:rPr>
                  </w:pPr>
                  <w:r>
                    <w:rPr>
                      <w:rFonts w:hint="eastAsia"/>
                      <w:b w:val="0"/>
                      <w:bCs/>
                      <w:smallCaps w:val="0"/>
                      <w:color w:val="auto"/>
                      <w:sz w:val="21"/>
                      <w:szCs w:val="21"/>
                      <w:highlight w:val="none"/>
                      <w:lang w:val="en-US" w:eastAsia="zh-CN"/>
                    </w:rPr>
                    <w:t>产物系数法</w:t>
                  </w:r>
                </w:p>
              </w:tc>
              <w:tc>
                <w:tcPr>
                  <w:tcW w:w="1232" w:type="pct"/>
                  <w:tcBorders>
                    <w:top w:val="single" w:color="auto" w:sz="4" w:space="0"/>
                    <w:left w:val="single" w:color="auto" w:sz="4" w:space="0"/>
                    <w:bottom w:val="single" w:color="auto" w:sz="4" w:space="0"/>
                    <w:right w:val="single" w:color="auto" w:sz="4" w:space="0"/>
                  </w:tcBorders>
                  <w:noWrap w:val="0"/>
                  <w:vAlign w:val="center"/>
                </w:tcPr>
                <w:p w14:paraId="3038D7CF">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rPr>
                      <w:rFonts w:hint="eastAsia"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产物系数法</w:t>
                  </w:r>
                </w:p>
              </w:tc>
            </w:tr>
            <w:tr w14:paraId="39EB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370" w:type="pct"/>
                  <w:gridSpan w:val="2"/>
                  <w:tcBorders>
                    <w:top w:val="single" w:color="auto" w:sz="4" w:space="0"/>
                    <w:left w:val="single" w:color="auto" w:sz="4" w:space="0"/>
                    <w:bottom w:val="single" w:color="auto" w:sz="4" w:space="0"/>
                    <w:right w:val="single" w:color="auto" w:sz="4" w:space="0"/>
                  </w:tcBorders>
                  <w:noWrap w:val="0"/>
                  <w:vAlign w:val="center"/>
                </w:tcPr>
                <w:p w14:paraId="51F4B94C">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排放形式</w:t>
                  </w:r>
                </w:p>
              </w:tc>
              <w:tc>
                <w:tcPr>
                  <w:tcW w:w="3629" w:type="pct"/>
                  <w:gridSpan w:val="3"/>
                  <w:tcBorders>
                    <w:left w:val="single" w:color="auto" w:sz="4" w:space="0"/>
                    <w:right w:val="single" w:color="auto" w:sz="4" w:space="0"/>
                  </w:tcBorders>
                  <w:noWrap w:val="0"/>
                  <w:vAlign w:val="center"/>
                </w:tcPr>
                <w:p w14:paraId="7F13B2E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rPr>
                  </w:pPr>
                  <w:r>
                    <w:rPr>
                      <w:rFonts w:hint="eastAsia" w:ascii="Times New Roman" w:hAnsi="Times New Roman" w:eastAsia="宋体"/>
                      <w:b w:val="0"/>
                      <w:bCs/>
                      <w:smallCaps w:val="0"/>
                      <w:color w:val="auto"/>
                      <w:sz w:val="21"/>
                      <w:szCs w:val="21"/>
                      <w:highlight w:val="none"/>
                      <w:lang w:val="en-US" w:eastAsia="zh-CN"/>
                    </w:rPr>
                    <w:t>有组织</w:t>
                  </w:r>
                </w:p>
              </w:tc>
            </w:tr>
            <w:tr w14:paraId="5E35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pct"/>
                  <w:gridSpan w:val="2"/>
                  <w:tcBorders>
                    <w:top w:val="single" w:color="auto" w:sz="4" w:space="0"/>
                    <w:left w:val="single" w:color="auto" w:sz="4" w:space="0"/>
                    <w:right w:val="single" w:color="auto" w:sz="4" w:space="0"/>
                  </w:tcBorders>
                  <w:noWrap w:val="0"/>
                  <w:vAlign w:val="center"/>
                </w:tcPr>
                <w:p w14:paraId="75640C8A">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治理设施</w:t>
                  </w:r>
                </w:p>
              </w:tc>
              <w:tc>
                <w:tcPr>
                  <w:tcW w:w="3629" w:type="pct"/>
                  <w:gridSpan w:val="3"/>
                  <w:tcBorders>
                    <w:left w:val="single" w:color="auto" w:sz="4" w:space="0"/>
                    <w:right w:val="single" w:color="auto" w:sz="4" w:space="0"/>
                  </w:tcBorders>
                  <w:noWrap w:val="0"/>
                  <w:vAlign w:val="center"/>
                </w:tcPr>
                <w:p w14:paraId="7166F2A6">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lang w:val="en-US" w:eastAsia="zh-CN"/>
                    </w:rPr>
                  </w:pPr>
                  <w:r>
                    <w:rPr>
                      <w:rFonts w:hint="eastAsia"/>
                      <w:b w:val="0"/>
                      <w:bCs/>
                      <w:smallCaps w:val="0"/>
                      <w:color w:val="auto"/>
                      <w:sz w:val="21"/>
                      <w:szCs w:val="21"/>
                      <w:lang w:val="en-US" w:eastAsia="zh-CN"/>
                    </w:rPr>
                    <w:t>低氮燃烧+25m高排气筒</w:t>
                  </w:r>
                </w:p>
              </w:tc>
            </w:tr>
            <w:tr w14:paraId="3580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70" w:type="pct"/>
                  <w:gridSpan w:val="2"/>
                  <w:tcBorders>
                    <w:left w:val="single" w:color="auto" w:sz="4" w:space="0"/>
                    <w:right w:val="single" w:color="auto" w:sz="4" w:space="0"/>
                  </w:tcBorders>
                  <w:noWrap w:val="0"/>
                  <w:vAlign w:val="center"/>
                </w:tcPr>
                <w:p w14:paraId="14BE829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eastAsia" w:ascii="Times New Roman" w:hAnsi="Times New Roman" w:eastAsia="宋体"/>
                      <w:b/>
                      <w:bCs w:val="0"/>
                      <w:smallCaps w:val="0"/>
                      <w:color w:val="auto"/>
                      <w:sz w:val="21"/>
                      <w:szCs w:val="21"/>
                      <w:highlight w:val="none"/>
                      <w:lang w:val="en-US" w:eastAsia="zh-CN"/>
                    </w:rPr>
                  </w:pPr>
                  <w:r>
                    <w:rPr>
                      <w:rFonts w:hint="default" w:ascii="Times New Roman" w:hAnsi="Times New Roman" w:eastAsia="宋体"/>
                      <w:b/>
                      <w:bCs w:val="0"/>
                      <w:smallCaps w:val="0"/>
                      <w:color w:val="auto"/>
                      <w:sz w:val="21"/>
                      <w:szCs w:val="21"/>
                      <w:highlight w:val="none"/>
                    </w:rPr>
                    <w:t>污染物排放浓度</w:t>
                  </w:r>
                  <w:r>
                    <w:rPr>
                      <w:rFonts w:hint="eastAsia" w:ascii="Times New Roman" w:hAnsi="Times New Roman" w:eastAsia="宋体"/>
                      <w:b/>
                      <w:bCs w:val="0"/>
                      <w:smallCaps w:val="0"/>
                      <w:color w:val="auto"/>
                      <w:sz w:val="21"/>
                      <w:szCs w:val="21"/>
                      <w:highlight w:val="none"/>
                      <w:lang w:eastAsia="zh-CN"/>
                    </w:rPr>
                    <w:t>（</w:t>
                  </w:r>
                  <w:r>
                    <w:rPr>
                      <w:rFonts w:hint="default" w:ascii="Times New Roman" w:hAnsi="Times New Roman" w:eastAsia="宋体"/>
                      <w:b/>
                      <w:bCs w:val="0"/>
                      <w:smallCaps w:val="0"/>
                      <w:color w:val="auto"/>
                      <w:sz w:val="21"/>
                      <w:szCs w:val="21"/>
                      <w:highlight w:val="none"/>
                    </w:rPr>
                    <w:t>mg/m</w:t>
                  </w:r>
                  <w:r>
                    <w:rPr>
                      <w:rFonts w:hint="default" w:ascii="Times New Roman" w:hAnsi="Times New Roman" w:eastAsia="宋体"/>
                      <w:b/>
                      <w:bCs w:val="0"/>
                      <w:smallCaps w:val="0"/>
                      <w:color w:val="auto"/>
                      <w:sz w:val="21"/>
                      <w:szCs w:val="21"/>
                      <w:highlight w:val="none"/>
                      <w:vertAlign w:val="superscript"/>
                    </w:rPr>
                    <w:t>3</w:t>
                  </w:r>
                  <w:r>
                    <w:rPr>
                      <w:rFonts w:hint="eastAsia" w:ascii="Times New Roman" w:hAnsi="Times New Roman" w:eastAsia="宋体"/>
                      <w:b/>
                      <w:bCs w:val="0"/>
                      <w:smallCaps w:val="0"/>
                      <w:color w:val="auto"/>
                      <w:sz w:val="21"/>
                      <w:szCs w:val="21"/>
                      <w:highlight w:val="none"/>
                      <w:lang w:eastAsia="zh-CN"/>
                    </w:rPr>
                    <w:t>）</w:t>
                  </w:r>
                </w:p>
              </w:tc>
              <w:tc>
                <w:tcPr>
                  <w:tcW w:w="1212" w:type="pct"/>
                  <w:tcBorders>
                    <w:left w:val="single" w:color="auto" w:sz="4" w:space="0"/>
                    <w:right w:val="single" w:color="auto" w:sz="4" w:space="0"/>
                  </w:tcBorders>
                  <w:noWrap w:val="0"/>
                  <w:vAlign w:val="center"/>
                </w:tcPr>
                <w:p w14:paraId="2CF577DB">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3.68</w:t>
                  </w:r>
                </w:p>
              </w:tc>
              <w:tc>
                <w:tcPr>
                  <w:tcW w:w="1184" w:type="pct"/>
                  <w:tcBorders>
                    <w:left w:val="single" w:color="auto" w:sz="4" w:space="0"/>
                    <w:right w:val="single" w:color="auto" w:sz="4" w:space="0"/>
                  </w:tcBorders>
                  <w:noWrap w:val="0"/>
                  <w:vAlign w:val="center"/>
                </w:tcPr>
                <w:p w14:paraId="50C5C40D">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28.10</w:t>
                  </w:r>
                </w:p>
              </w:tc>
              <w:tc>
                <w:tcPr>
                  <w:tcW w:w="1232" w:type="pct"/>
                  <w:tcBorders>
                    <w:left w:val="single" w:color="auto" w:sz="4" w:space="0"/>
                    <w:right w:val="single" w:color="auto" w:sz="4" w:space="0"/>
                  </w:tcBorders>
                  <w:noWrap w:val="0"/>
                  <w:vAlign w:val="center"/>
                </w:tcPr>
                <w:p w14:paraId="5E2D3613">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7.42</w:t>
                  </w:r>
                </w:p>
              </w:tc>
            </w:tr>
            <w:tr w14:paraId="7692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70" w:type="pct"/>
                  <w:gridSpan w:val="2"/>
                  <w:tcBorders>
                    <w:left w:val="single" w:color="auto" w:sz="4" w:space="0"/>
                    <w:right w:val="single" w:color="auto" w:sz="4" w:space="0"/>
                  </w:tcBorders>
                  <w:noWrap w:val="0"/>
                  <w:vAlign w:val="center"/>
                </w:tcPr>
                <w:p w14:paraId="635B098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eastAsia" w:ascii="Times New Roman" w:hAnsi="Times New Roman" w:eastAsia="宋体"/>
                      <w:b/>
                      <w:bCs w:val="0"/>
                      <w:smallCaps w:val="0"/>
                      <w:color w:val="auto"/>
                      <w:sz w:val="21"/>
                      <w:szCs w:val="21"/>
                      <w:highlight w:val="none"/>
                      <w:lang w:eastAsia="zh-CN"/>
                    </w:rPr>
                  </w:pPr>
                  <w:r>
                    <w:rPr>
                      <w:rFonts w:hint="default" w:ascii="Times New Roman" w:hAnsi="Times New Roman" w:eastAsia="宋体"/>
                      <w:b/>
                      <w:bCs w:val="0"/>
                      <w:smallCaps w:val="0"/>
                      <w:color w:val="auto"/>
                      <w:sz w:val="21"/>
                      <w:szCs w:val="21"/>
                      <w:highlight w:val="none"/>
                    </w:rPr>
                    <w:t>污染物排放</w:t>
                  </w:r>
                  <w:r>
                    <w:rPr>
                      <w:rFonts w:hint="eastAsia" w:ascii="Times New Roman" w:hAnsi="Times New Roman" w:eastAsia="宋体"/>
                      <w:b/>
                      <w:bCs w:val="0"/>
                      <w:smallCaps w:val="0"/>
                      <w:color w:val="auto"/>
                      <w:sz w:val="21"/>
                      <w:szCs w:val="21"/>
                      <w:highlight w:val="none"/>
                      <w:lang w:val="en-US" w:eastAsia="zh-CN"/>
                    </w:rPr>
                    <w:t>速率（</w:t>
                  </w:r>
                  <w:r>
                    <w:rPr>
                      <w:rFonts w:hint="eastAsia" w:ascii="Times New Roman" w:hAnsi="Times New Roman" w:eastAsia="宋体"/>
                      <w:smallCaps w:val="0"/>
                      <w:color w:val="auto"/>
                      <w:sz w:val="21"/>
                      <w:szCs w:val="21"/>
                      <w:highlight w:val="none"/>
                    </w:rPr>
                    <w:t>kg/h</w:t>
                  </w:r>
                  <w:r>
                    <w:rPr>
                      <w:rFonts w:hint="eastAsia" w:ascii="Times New Roman" w:hAnsi="Times New Roman" w:eastAsia="宋体"/>
                      <w:b/>
                      <w:bCs w:val="0"/>
                      <w:smallCaps w:val="0"/>
                      <w:color w:val="auto"/>
                      <w:sz w:val="21"/>
                      <w:szCs w:val="21"/>
                      <w:highlight w:val="none"/>
                      <w:lang w:val="en-US" w:eastAsia="zh-CN"/>
                    </w:rPr>
                    <w:t>）</w:t>
                  </w:r>
                </w:p>
              </w:tc>
              <w:tc>
                <w:tcPr>
                  <w:tcW w:w="1212" w:type="pct"/>
                  <w:tcBorders>
                    <w:left w:val="single" w:color="auto" w:sz="4" w:space="0"/>
                    <w:right w:val="single" w:color="auto" w:sz="4" w:space="0"/>
                  </w:tcBorders>
                  <w:noWrap w:val="0"/>
                  <w:vAlign w:val="center"/>
                </w:tcPr>
                <w:p w14:paraId="39187143">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0.02</w:t>
                  </w:r>
                </w:p>
              </w:tc>
              <w:tc>
                <w:tcPr>
                  <w:tcW w:w="1184" w:type="pct"/>
                  <w:tcBorders>
                    <w:left w:val="single" w:color="auto" w:sz="4" w:space="0"/>
                    <w:right w:val="single" w:color="auto" w:sz="4" w:space="0"/>
                  </w:tcBorders>
                  <w:noWrap w:val="0"/>
                  <w:vAlign w:val="center"/>
                </w:tcPr>
                <w:p w14:paraId="64454837">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0.15</w:t>
                  </w:r>
                </w:p>
              </w:tc>
              <w:tc>
                <w:tcPr>
                  <w:tcW w:w="1232" w:type="pct"/>
                  <w:tcBorders>
                    <w:left w:val="single" w:color="auto" w:sz="4" w:space="0"/>
                    <w:right w:val="single" w:color="auto" w:sz="4" w:space="0"/>
                  </w:tcBorders>
                  <w:noWrap w:val="0"/>
                  <w:vAlign w:val="center"/>
                </w:tcPr>
                <w:p w14:paraId="77872BB3">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0.04</w:t>
                  </w:r>
                </w:p>
              </w:tc>
            </w:tr>
            <w:tr w14:paraId="2383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pct"/>
                  <w:gridSpan w:val="2"/>
                  <w:tcBorders>
                    <w:left w:val="single" w:color="auto" w:sz="4" w:space="0"/>
                    <w:right w:val="single" w:color="auto" w:sz="4" w:space="0"/>
                  </w:tcBorders>
                  <w:noWrap w:val="0"/>
                  <w:vAlign w:val="center"/>
                </w:tcPr>
                <w:p w14:paraId="5A9F3BE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eastAsia" w:ascii="Times New Roman" w:hAnsi="Times New Roman" w:eastAsia="宋体"/>
                      <w:b/>
                      <w:bCs w:val="0"/>
                      <w:smallCaps w:val="0"/>
                      <w:color w:val="auto"/>
                      <w:sz w:val="21"/>
                      <w:szCs w:val="21"/>
                      <w:highlight w:val="none"/>
                      <w:lang w:eastAsia="zh-CN"/>
                    </w:rPr>
                  </w:pPr>
                  <w:r>
                    <w:rPr>
                      <w:rFonts w:hint="default" w:ascii="Times New Roman" w:hAnsi="Times New Roman" w:eastAsia="宋体"/>
                      <w:b/>
                      <w:bCs w:val="0"/>
                      <w:smallCaps w:val="0"/>
                      <w:color w:val="auto"/>
                      <w:sz w:val="21"/>
                      <w:szCs w:val="21"/>
                      <w:highlight w:val="none"/>
                    </w:rPr>
                    <w:t>污染物排放量</w:t>
                  </w:r>
                  <w:r>
                    <w:rPr>
                      <w:rFonts w:hint="eastAsia" w:ascii="Times New Roman" w:hAnsi="Times New Roman" w:eastAsia="宋体"/>
                      <w:b/>
                      <w:bCs w:val="0"/>
                      <w:smallCaps w:val="0"/>
                      <w:color w:val="auto"/>
                      <w:sz w:val="21"/>
                      <w:szCs w:val="21"/>
                      <w:highlight w:val="none"/>
                      <w:lang w:eastAsia="zh-CN"/>
                    </w:rPr>
                    <w:t>（</w:t>
                  </w:r>
                  <w:r>
                    <w:rPr>
                      <w:rFonts w:hint="eastAsia" w:ascii="Times New Roman" w:hAnsi="Times New Roman" w:eastAsia="宋体"/>
                      <w:b/>
                      <w:bCs w:val="0"/>
                      <w:smallCaps w:val="0"/>
                      <w:color w:val="auto"/>
                      <w:sz w:val="21"/>
                      <w:szCs w:val="21"/>
                      <w:highlight w:val="none"/>
                      <w:lang w:val="en-US" w:eastAsia="zh-CN"/>
                    </w:rPr>
                    <w:t>t/a</w:t>
                  </w:r>
                  <w:r>
                    <w:rPr>
                      <w:rFonts w:hint="eastAsia" w:ascii="Times New Roman" w:hAnsi="Times New Roman" w:eastAsia="宋体"/>
                      <w:b/>
                      <w:bCs w:val="0"/>
                      <w:smallCaps w:val="0"/>
                      <w:color w:val="auto"/>
                      <w:sz w:val="21"/>
                      <w:szCs w:val="21"/>
                      <w:highlight w:val="none"/>
                      <w:lang w:eastAsia="zh-CN"/>
                    </w:rPr>
                    <w:t>）</w:t>
                  </w:r>
                </w:p>
              </w:tc>
              <w:tc>
                <w:tcPr>
                  <w:tcW w:w="1212" w:type="pct"/>
                  <w:tcBorders>
                    <w:left w:val="single" w:color="auto" w:sz="4" w:space="0"/>
                    <w:right w:val="single" w:color="auto" w:sz="4" w:space="0"/>
                  </w:tcBorders>
                  <w:noWrap w:val="0"/>
                  <w:vAlign w:val="center"/>
                </w:tcPr>
                <w:p w14:paraId="70C5A1DA">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0.058</w:t>
                  </w:r>
                </w:p>
              </w:tc>
              <w:tc>
                <w:tcPr>
                  <w:tcW w:w="1184" w:type="pct"/>
                  <w:tcBorders>
                    <w:left w:val="single" w:color="auto" w:sz="4" w:space="0"/>
                    <w:right w:val="single" w:color="auto" w:sz="4" w:space="0"/>
                  </w:tcBorders>
                  <w:noWrap w:val="0"/>
                  <w:vAlign w:val="center"/>
                </w:tcPr>
                <w:p w14:paraId="6897AC23">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0.443</w:t>
                  </w:r>
                </w:p>
              </w:tc>
              <w:tc>
                <w:tcPr>
                  <w:tcW w:w="1232" w:type="pct"/>
                  <w:tcBorders>
                    <w:left w:val="single" w:color="auto" w:sz="4" w:space="0"/>
                    <w:right w:val="single" w:color="auto" w:sz="4" w:space="0"/>
                  </w:tcBorders>
                  <w:noWrap w:val="0"/>
                  <w:vAlign w:val="center"/>
                </w:tcPr>
                <w:p w14:paraId="1924A2A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0.117</w:t>
                  </w:r>
                </w:p>
              </w:tc>
            </w:tr>
            <w:tr w14:paraId="5D8B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Merge w:val="restart"/>
                  <w:tcBorders>
                    <w:left w:val="single" w:color="auto" w:sz="4" w:space="0"/>
                    <w:right w:val="single" w:color="auto" w:sz="4" w:space="0"/>
                  </w:tcBorders>
                  <w:noWrap w:val="0"/>
                  <w:vAlign w:val="center"/>
                </w:tcPr>
                <w:p w14:paraId="2273E217">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排放口基本信息</w:t>
                  </w:r>
                </w:p>
              </w:tc>
              <w:tc>
                <w:tcPr>
                  <w:tcW w:w="971" w:type="pct"/>
                  <w:tcBorders>
                    <w:left w:val="single" w:color="auto" w:sz="4" w:space="0"/>
                    <w:right w:val="single" w:color="auto" w:sz="4" w:space="0"/>
                  </w:tcBorders>
                  <w:noWrap w:val="0"/>
                  <w:vAlign w:val="center"/>
                </w:tcPr>
                <w:p w14:paraId="419C8D3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编码</w:t>
                  </w:r>
                </w:p>
              </w:tc>
              <w:tc>
                <w:tcPr>
                  <w:tcW w:w="3629" w:type="pct"/>
                  <w:gridSpan w:val="3"/>
                  <w:tcBorders>
                    <w:left w:val="single" w:color="auto" w:sz="4" w:space="0"/>
                    <w:right w:val="single" w:color="auto" w:sz="4" w:space="0"/>
                  </w:tcBorders>
                  <w:noWrap w:val="0"/>
                  <w:vAlign w:val="center"/>
                </w:tcPr>
                <w:p w14:paraId="446FA7A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DA001</w:t>
                  </w:r>
                </w:p>
              </w:tc>
            </w:tr>
            <w:tr w14:paraId="4149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398" w:type="pct"/>
                  <w:vMerge w:val="continue"/>
                  <w:tcBorders>
                    <w:left w:val="single" w:color="auto" w:sz="4" w:space="0"/>
                    <w:right w:val="single" w:color="auto" w:sz="4" w:space="0"/>
                  </w:tcBorders>
                  <w:noWrap w:val="0"/>
                  <w:vAlign w:val="center"/>
                </w:tcPr>
                <w:p w14:paraId="5C12270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268CFDA5">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类型</w:t>
                  </w:r>
                </w:p>
              </w:tc>
              <w:tc>
                <w:tcPr>
                  <w:tcW w:w="3629" w:type="pct"/>
                  <w:gridSpan w:val="3"/>
                  <w:tcBorders>
                    <w:left w:val="single" w:color="auto" w:sz="4" w:space="0"/>
                    <w:right w:val="single" w:color="auto" w:sz="4" w:space="0"/>
                  </w:tcBorders>
                  <w:noWrap w:val="0"/>
                  <w:vAlign w:val="center"/>
                </w:tcPr>
                <w:p w14:paraId="32A7B38F">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主要排放口</w:t>
                  </w:r>
                </w:p>
              </w:tc>
            </w:tr>
            <w:tr w14:paraId="7536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98" w:type="pct"/>
                  <w:vMerge w:val="continue"/>
                  <w:tcBorders>
                    <w:left w:val="single" w:color="auto" w:sz="4" w:space="0"/>
                    <w:right w:val="single" w:color="auto" w:sz="4" w:space="0"/>
                  </w:tcBorders>
                  <w:noWrap w:val="0"/>
                  <w:vAlign w:val="center"/>
                </w:tcPr>
                <w:p w14:paraId="3FEC7CF8">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7E74D615">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地理坐标</w:t>
                  </w:r>
                </w:p>
              </w:tc>
              <w:tc>
                <w:tcPr>
                  <w:tcW w:w="3629" w:type="pct"/>
                  <w:gridSpan w:val="3"/>
                  <w:tcBorders>
                    <w:left w:val="single" w:color="auto" w:sz="4" w:space="0"/>
                    <w:right w:val="single" w:color="auto" w:sz="4" w:space="0"/>
                  </w:tcBorders>
                  <w:noWrap w:val="0"/>
                  <w:vAlign w:val="center"/>
                </w:tcPr>
                <w:p w14:paraId="0C0BAA4A">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rPr>
                  </w:pPr>
                  <w:r>
                    <w:rPr>
                      <w:rFonts w:hint="eastAsia" w:ascii="Times New Roman" w:hAnsi="Times New Roman" w:eastAsia="宋体" w:cs="宋体"/>
                      <w:b w:val="0"/>
                      <w:bCs/>
                      <w:smallCaps w:val="0"/>
                      <w:color w:val="auto"/>
                      <w:sz w:val="21"/>
                      <w:szCs w:val="21"/>
                      <w:highlight w:val="none"/>
                      <w:lang w:val="en-US" w:eastAsia="zh-CN"/>
                    </w:rPr>
                    <w:t>110°11'31.48"，39°24'11.91"</w:t>
                  </w:r>
                </w:p>
              </w:tc>
            </w:tr>
            <w:tr w14:paraId="3A4C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398" w:type="pct"/>
                  <w:vMerge w:val="continue"/>
                  <w:tcBorders>
                    <w:left w:val="single" w:color="auto" w:sz="4" w:space="0"/>
                    <w:right w:val="single" w:color="auto" w:sz="4" w:space="0"/>
                  </w:tcBorders>
                  <w:noWrap w:val="0"/>
                  <w:vAlign w:val="center"/>
                </w:tcPr>
                <w:p w14:paraId="2428A587">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202568B6">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高度</w:t>
                  </w:r>
                </w:p>
              </w:tc>
              <w:tc>
                <w:tcPr>
                  <w:tcW w:w="3629" w:type="pct"/>
                  <w:gridSpan w:val="3"/>
                  <w:tcBorders>
                    <w:left w:val="single" w:color="auto" w:sz="4" w:space="0"/>
                    <w:right w:val="single" w:color="auto" w:sz="4" w:space="0"/>
                  </w:tcBorders>
                  <w:noWrap w:val="0"/>
                  <w:vAlign w:val="center"/>
                </w:tcPr>
                <w:p w14:paraId="2862F951">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b w:val="0"/>
                      <w:bCs/>
                      <w:smallCaps w:val="0"/>
                      <w:color w:val="auto"/>
                      <w:sz w:val="21"/>
                      <w:szCs w:val="21"/>
                      <w:highlight w:val="none"/>
                      <w:lang w:val="en-US" w:eastAsia="zh-CN"/>
                    </w:rPr>
                    <w:t>25</w:t>
                  </w:r>
                </w:p>
              </w:tc>
            </w:tr>
            <w:tr w14:paraId="7D9D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8" w:type="pct"/>
                  <w:vMerge w:val="continue"/>
                  <w:tcBorders>
                    <w:left w:val="single" w:color="auto" w:sz="4" w:space="0"/>
                    <w:right w:val="single" w:color="auto" w:sz="4" w:space="0"/>
                  </w:tcBorders>
                  <w:noWrap w:val="0"/>
                  <w:vAlign w:val="center"/>
                </w:tcPr>
                <w:p w14:paraId="73E64505">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092F3CDA">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排气筒内径</w:t>
                  </w:r>
                </w:p>
              </w:tc>
              <w:tc>
                <w:tcPr>
                  <w:tcW w:w="3629" w:type="pct"/>
                  <w:gridSpan w:val="3"/>
                  <w:tcBorders>
                    <w:left w:val="single" w:color="auto" w:sz="4" w:space="0"/>
                    <w:right w:val="single" w:color="auto" w:sz="4" w:space="0"/>
                  </w:tcBorders>
                  <w:noWrap w:val="0"/>
                  <w:vAlign w:val="center"/>
                </w:tcPr>
                <w:p w14:paraId="28686766">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1.4</w:t>
                  </w:r>
                </w:p>
              </w:tc>
            </w:tr>
            <w:tr w14:paraId="0A3E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8" w:type="pct"/>
                  <w:vMerge w:val="continue"/>
                  <w:tcBorders>
                    <w:left w:val="single" w:color="auto" w:sz="4" w:space="0"/>
                    <w:right w:val="single" w:color="auto" w:sz="4" w:space="0"/>
                  </w:tcBorders>
                  <w:noWrap w:val="0"/>
                  <w:vAlign w:val="center"/>
                </w:tcPr>
                <w:p w14:paraId="70660EAF">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p>
              </w:tc>
              <w:tc>
                <w:tcPr>
                  <w:tcW w:w="971" w:type="pct"/>
                  <w:tcBorders>
                    <w:left w:val="single" w:color="auto" w:sz="4" w:space="0"/>
                    <w:right w:val="single" w:color="auto" w:sz="4" w:space="0"/>
                  </w:tcBorders>
                  <w:noWrap w:val="0"/>
                  <w:vAlign w:val="center"/>
                </w:tcPr>
                <w:p w14:paraId="52E7D84E">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bCs w:val="0"/>
                      <w:smallCaps w:val="0"/>
                      <w:color w:val="auto"/>
                      <w:sz w:val="21"/>
                      <w:szCs w:val="21"/>
                      <w:highlight w:val="none"/>
                    </w:rPr>
                  </w:pPr>
                  <w:r>
                    <w:rPr>
                      <w:rFonts w:hint="default" w:ascii="Times New Roman" w:hAnsi="Times New Roman" w:eastAsia="宋体"/>
                      <w:b/>
                      <w:bCs w:val="0"/>
                      <w:smallCaps w:val="0"/>
                      <w:color w:val="auto"/>
                      <w:sz w:val="21"/>
                      <w:szCs w:val="21"/>
                      <w:highlight w:val="none"/>
                    </w:rPr>
                    <w:t>温度</w:t>
                  </w:r>
                </w:p>
              </w:tc>
              <w:tc>
                <w:tcPr>
                  <w:tcW w:w="3629" w:type="pct"/>
                  <w:gridSpan w:val="3"/>
                  <w:tcBorders>
                    <w:left w:val="single" w:color="auto" w:sz="4" w:space="0"/>
                    <w:right w:val="single" w:color="auto" w:sz="4" w:space="0"/>
                  </w:tcBorders>
                  <w:noWrap w:val="0"/>
                  <w:vAlign w:val="center"/>
                </w:tcPr>
                <w:p w14:paraId="5F65AF49">
                  <w:pPr>
                    <w:pStyle w:val="47"/>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default" w:ascii="Times New Roman" w:hAnsi="Times New Roman" w:eastAsia="宋体"/>
                      <w:b w:val="0"/>
                      <w:bCs/>
                      <w:smallCaps w:val="0"/>
                      <w:color w:val="auto"/>
                      <w:sz w:val="21"/>
                      <w:szCs w:val="21"/>
                      <w:highlight w:val="none"/>
                      <w:lang w:val="en-US" w:eastAsia="zh-CN"/>
                    </w:rPr>
                  </w:pPr>
                  <w:r>
                    <w:rPr>
                      <w:rFonts w:hint="eastAsia" w:ascii="Times New Roman" w:hAnsi="Times New Roman" w:eastAsia="宋体"/>
                      <w:b w:val="0"/>
                      <w:bCs/>
                      <w:smallCaps w:val="0"/>
                      <w:color w:val="auto"/>
                      <w:sz w:val="21"/>
                      <w:szCs w:val="21"/>
                      <w:highlight w:val="none"/>
                      <w:lang w:val="en-US" w:eastAsia="zh-CN"/>
                    </w:rPr>
                    <w:t>35</w:t>
                  </w:r>
                  <w:r>
                    <w:rPr>
                      <w:rFonts w:hint="eastAsia" w:ascii="宋体" w:hAnsi="宋体" w:eastAsia="宋体" w:cs="宋体"/>
                      <w:b w:val="0"/>
                      <w:bCs/>
                      <w:smallCaps w:val="0"/>
                      <w:color w:val="auto"/>
                      <w:sz w:val="21"/>
                      <w:szCs w:val="21"/>
                      <w:highlight w:val="none"/>
                      <w:lang w:val="en-US" w:eastAsia="zh-CN"/>
                    </w:rPr>
                    <w:t>℃</w:t>
                  </w:r>
                </w:p>
              </w:tc>
            </w:tr>
          </w:tbl>
          <w:p w14:paraId="5BDA3BF1">
            <w:pPr>
              <w:keepNext w:val="0"/>
              <w:keepLines w:val="0"/>
              <w:suppressLineNumbers w:val="0"/>
              <w:spacing w:before="0" w:beforeAutospacing="0" w:after="0" w:afterAutospacing="0"/>
              <w:ind w:left="0" w:right="0"/>
              <w:rPr>
                <w:rFonts w:hint="default"/>
              </w:rPr>
            </w:pPr>
          </w:p>
          <w:p w14:paraId="56B48E1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1.2燃气锅炉废气源强核算</w:t>
            </w:r>
          </w:p>
          <w:p w14:paraId="6488113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本项目共设置两台3th低氮天然气锅炉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本项目日工作</w:t>
            </w:r>
            <w:r>
              <w:rPr>
                <w:rFonts w:hint="eastAsia" w:ascii="Times New Roman" w:cs="宋体"/>
                <w:color w:val="auto"/>
                <w:kern w:val="0"/>
                <w:sz w:val="24"/>
                <w:szCs w:val="21"/>
                <w:lang w:val="en-US" w:eastAsia="zh-CN"/>
              </w:rPr>
              <w:t>24</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每年工作</w:t>
            </w:r>
            <w:r>
              <w:rPr>
                <w:rFonts w:hint="eastAsia" w:ascii="Times New Roman" w:cs="宋体"/>
                <w:color w:val="auto"/>
                <w:kern w:val="0"/>
                <w:sz w:val="24"/>
                <w:szCs w:val="21"/>
                <w:lang w:val="en-US" w:eastAsia="zh-CN"/>
              </w:rPr>
              <w:t>150</w:t>
            </w:r>
            <w:r>
              <w:rPr>
                <w:rFonts w:hint="eastAsia" w:ascii="Times New Roman" w:hAnsi="Times New Roman" w:eastAsia="宋体" w:cs="宋体"/>
                <w:color w:val="auto"/>
                <w:kern w:val="0"/>
                <w:sz w:val="24"/>
                <w:szCs w:val="21"/>
                <w:lang w:val="en-US" w:eastAsia="zh-CN"/>
              </w:rPr>
              <w:t>天。根据建设单位提供资料，燃气锅炉的耗气量约为</w:t>
            </w:r>
            <w:r>
              <w:rPr>
                <w:rFonts w:hint="eastAsia" w:ascii="Times New Roman" w:cs="宋体"/>
                <w:color w:val="auto"/>
                <w:kern w:val="0"/>
                <w:sz w:val="24"/>
                <w:szCs w:val="21"/>
                <w:lang w:val="en-US" w:eastAsia="zh-CN"/>
              </w:rPr>
              <w:t>每台203.2</w:t>
            </w:r>
            <w:r>
              <w:rPr>
                <w:rFonts w:hint="eastAsia" w:ascii="Times New Roman" w:hAnsi="Times New Roman" w:eastAsia="宋体" w:cs="宋体"/>
                <w:color w:val="auto"/>
                <w:kern w:val="0"/>
                <w:sz w:val="24"/>
                <w:szCs w:val="21"/>
                <w:lang w:val="en-US" w:eastAsia="zh-CN"/>
              </w:rPr>
              <w:t>Nm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共1463040</w:t>
            </w:r>
            <w:r>
              <w:rPr>
                <w:rFonts w:hint="eastAsia" w:ascii="Times New Roman" w:hAnsi="Times New Roman" w:eastAsia="宋体" w:cs="宋体"/>
                <w:color w:val="auto"/>
                <w:kern w:val="0"/>
                <w:sz w:val="24"/>
                <w:szCs w:val="21"/>
                <w:lang w:val="en-US" w:eastAsia="zh-CN"/>
              </w:rPr>
              <w:t>Nm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p>
          <w:p w14:paraId="022A950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（1）</w:t>
            </w:r>
            <w:r>
              <w:rPr>
                <w:rFonts w:hint="eastAsia" w:ascii="Times New Roman" w:hAnsi="Times New Roman" w:eastAsia="宋体" w:cs="宋体"/>
                <w:color w:val="auto"/>
                <w:kern w:val="0"/>
                <w:sz w:val="24"/>
                <w:szCs w:val="21"/>
                <w:lang w:val="en-US" w:eastAsia="zh-CN"/>
              </w:rPr>
              <w:t>烟气量、颗粒物、二氧化硫、氮氧化物污染物源强核算根据《排放源统计调查产排污核算方法和系数手册》中“4430工业锅炉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热力共</w:t>
            </w:r>
            <w:r>
              <w:rPr>
                <w:rFonts w:hint="eastAsia" w:ascii="Times New Roman" w:cs="宋体"/>
                <w:color w:val="auto"/>
                <w:kern w:val="0"/>
                <w:sz w:val="24"/>
                <w:szCs w:val="21"/>
                <w:lang w:val="en-US" w:eastAsia="zh-CN"/>
              </w:rPr>
              <w:t>供应）</w:t>
            </w:r>
            <w:r>
              <w:rPr>
                <w:rFonts w:hint="eastAsia" w:ascii="Times New Roman" w:hAnsi="Times New Roman" w:eastAsia="宋体" w:cs="宋体"/>
                <w:color w:val="auto"/>
                <w:kern w:val="0"/>
                <w:sz w:val="24"/>
                <w:szCs w:val="21"/>
                <w:lang w:val="en-US" w:eastAsia="zh-CN"/>
              </w:rPr>
              <w:t>行业系数手册”中锅炉排污系数手册，室内燃气蒸汽锅炉产物系数进行计算详见下表。</w:t>
            </w:r>
          </w:p>
          <w:p w14:paraId="36C995AF">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w:t>
            </w:r>
            <w:r>
              <w:rPr>
                <w:rFonts w:hint="eastAsia" w:ascii="Times New Roman" w:cs="宋体"/>
                <w:b/>
                <w:bCs/>
                <w:color w:val="auto"/>
                <w:sz w:val="21"/>
                <w:szCs w:val="21"/>
                <w:lang w:val="en-US" w:eastAsia="zh-CN"/>
              </w:rPr>
              <w:t>2</w:t>
            </w:r>
            <w:r>
              <w:rPr>
                <w:rFonts w:hint="eastAsia" w:ascii="Times New Roman" w:hAnsi="Times New Roman" w:eastAsia="宋体" w:cs="宋体"/>
                <w:b/>
                <w:bCs/>
                <w:color w:val="auto"/>
                <w:sz w:val="21"/>
                <w:szCs w:val="21"/>
                <w:lang w:val="en-US" w:eastAsia="zh-CN"/>
              </w:rPr>
              <w:t xml:space="preserve"> </w:t>
            </w:r>
            <w:r>
              <w:rPr>
                <w:rFonts w:hint="eastAsia" w:ascii="Times New Roman" w:cs="宋体"/>
                <w:b/>
                <w:bCs/>
                <w:color w:val="auto"/>
                <w:sz w:val="21"/>
                <w:szCs w:val="21"/>
                <w:lang w:val="en-US" w:eastAsia="zh-CN"/>
              </w:rPr>
              <w:t>天然气锅炉产物系数</w:t>
            </w:r>
            <w:r>
              <w:rPr>
                <w:rFonts w:hint="eastAsia" w:ascii="Times New Roman" w:hAnsi="Times New Roman" w:eastAsia="宋体" w:cs="宋体"/>
                <w:b/>
                <w:bCs/>
                <w:color w:val="auto"/>
                <w:sz w:val="21"/>
                <w:szCs w:val="21"/>
                <w:lang w:val="en-US" w:eastAsia="zh-CN"/>
              </w:rPr>
              <w:t>表</w:t>
            </w:r>
          </w:p>
          <w:p w14:paraId="29B658A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Times New Roman" w:hAnsi="Times New Roman" w:eastAsia="宋体" w:cs="宋体"/>
                <w:color w:val="auto"/>
                <w:kern w:val="0"/>
                <w:sz w:val="24"/>
                <w:szCs w:val="21"/>
                <w:lang w:val="en-US" w:eastAsia="zh-CN"/>
              </w:rPr>
            </w:pPr>
            <w:r>
              <w:rPr>
                <w:rFonts w:hint="default"/>
              </w:rPr>
              <w:drawing>
                <wp:inline distT="0" distB="0" distL="114300" distR="114300">
                  <wp:extent cx="5937885" cy="2486025"/>
                  <wp:effectExtent l="0" t="0" r="5715" b="952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tretch>
                            <a:fillRect/>
                          </a:stretch>
                        </pic:blipFill>
                        <pic:spPr>
                          <a:xfrm>
                            <a:off x="0" y="0"/>
                            <a:ext cx="5937885" cy="2486025"/>
                          </a:xfrm>
                          <a:prstGeom prst="rect">
                            <a:avLst/>
                          </a:prstGeom>
                          <a:noFill/>
                          <a:ln>
                            <a:noFill/>
                          </a:ln>
                        </pic:spPr>
                      </pic:pic>
                    </a:graphicData>
                  </a:graphic>
                </wp:inline>
              </w:drawing>
            </w:r>
          </w:p>
          <w:p w14:paraId="5D4E67C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①烟气量</w:t>
            </w:r>
          </w:p>
          <w:p w14:paraId="2E3B9C9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根据《排放源统计调查产排污核算方法和系数手册》中“4430工业锅炉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热力</w:t>
            </w:r>
            <w:r>
              <w:rPr>
                <w:rFonts w:hint="eastAsia" w:ascii="Times New Roman" w:cs="宋体"/>
                <w:color w:val="auto"/>
                <w:kern w:val="0"/>
                <w:sz w:val="24"/>
                <w:szCs w:val="21"/>
                <w:lang w:val="en-US" w:eastAsia="zh-CN"/>
              </w:rPr>
              <w:t>供应）</w:t>
            </w:r>
            <w:r>
              <w:rPr>
                <w:rFonts w:hint="eastAsia" w:ascii="Times New Roman" w:hAnsi="Times New Roman" w:eastAsia="宋体" w:cs="宋体"/>
                <w:color w:val="auto"/>
                <w:kern w:val="0"/>
                <w:sz w:val="24"/>
                <w:szCs w:val="21"/>
                <w:lang w:val="en-US" w:eastAsia="zh-CN"/>
              </w:rPr>
              <w:t>行业系数手册”中锅炉排污系数手册</w:t>
            </w:r>
            <w:r>
              <w:rPr>
                <w:rFonts w:hint="eastAsia" w:ascii="Times New Roman" w:cs="宋体"/>
                <w:color w:val="auto"/>
                <w:kern w:val="0"/>
                <w:sz w:val="24"/>
                <w:szCs w:val="21"/>
                <w:lang w:val="en-US" w:eastAsia="zh-CN"/>
              </w:rPr>
              <w:t>可知，燃气工业锅炉天然气燃烧工业废气量产污系数为107753标立方米/万立方米-原料，本项目天然气使用量为1463040</w:t>
            </w:r>
            <w:r>
              <w:rPr>
                <w:rFonts w:hint="eastAsia" w:ascii="Times New Roman" w:hAnsi="Times New Roman" w:eastAsia="宋体" w:cs="宋体"/>
                <w:color w:val="auto"/>
                <w:kern w:val="0"/>
                <w:sz w:val="24"/>
                <w:szCs w:val="21"/>
                <w:lang w:val="en-US" w:eastAsia="zh-CN"/>
              </w:rPr>
              <w:t>Nm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cs="宋体"/>
                <w:color w:val="auto"/>
                <w:kern w:val="0"/>
                <w:sz w:val="24"/>
                <w:szCs w:val="21"/>
                <w:lang w:val="en-US" w:eastAsia="zh-CN"/>
              </w:rPr>
              <w:t>，则项目锅炉烟气产生量为15764694</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cs="宋体"/>
                <w:color w:val="auto"/>
                <w:kern w:val="0"/>
                <w:sz w:val="24"/>
                <w:szCs w:val="21"/>
                <w:lang w:val="en-US" w:eastAsia="zh-CN"/>
              </w:rPr>
              <w:t>。</w:t>
            </w:r>
          </w:p>
          <w:p w14:paraId="092238D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②SO</w:t>
            </w:r>
            <w:r>
              <w:rPr>
                <w:rFonts w:hint="eastAsia" w:ascii="Times New Roman" w:cs="宋体"/>
                <w:color w:val="auto"/>
                <w:kern w:val="0"/>
                <w:sz w:val="24"/>
                <w:szCs w:val="21"/>
                <w:vertAlign w:val="subscript"/>
                <w:lang w:val="en-US" w:eastAsia="zh-CN"/>
              </w:rPr>
              <w:t>2</w:t>
            </w:r>
          </w:p>
          <w:p w14:paraId="122C26F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参照《排放源统计调查产排污核算方法和系数手册》中“4430工业锅炉(热力供应)行业系数手册”可知，</w:t>
            </w:r>
            <w:r>
              <w:rPr>
                <w:rFonts w:hint="eastAsia" w:ascii="Times New Roman" w:cs="宋体"/>
                <w:color w:val="auto"/>
                <w:kern w:val="0"/>
                <w:sz w:val="24"/>
                <w:szCs w:val="21"/>
                <w:lang w:val="en-US" w:eastAsia="zh-CN"/>
              </w:rPr>
              <w:t>SO</w:t>
            </w:r>
            <w:r>
              <w:rPr>
                <w:rFonts w:hint="eastAsia" w:ascii="Times New Roman" w:cs="宋体"/>
                <w:color w:val="auto"/>
                <w:kern w:val="0"/>
                <w:sz w:val="24"/>
                <w:szCs w:val="21"/>
                <w:vertAlign w:val="subscript"/>
                <w:lang w:val="en-US" w:eastAsia="zh-CN"/>
              </w:rPr>
              <w:t>2</w:t>
            </w:r>
            <w:r>
              <w:rPr>
                <w:rFonts w:hint="eastAsia" w:ascii="Times New Roman" w:hAnsi="Times New Roman" w:eastAsia="宋体" w:cs="宋体"/>
                <w:color w:val="auto"/>
                <w:kern w:val="0"/>
                <w:sz w:val="24"/>
                <w:szCs w:val="21"/>
                <w:lang w:val="en-US" w:eastAsia="zh-CN"/>
              </w:rPr>
              <w:t>产污系数</w:t>
            </w:r>
            <w:r>
              <w:rPr>
                <w:rFonts w:hint="eastAsia" w:ascii="Times New Roman" w:cs="宋体"/>
                <w:color w:val="auto"/>
                <w:kern w:val="0"/>
                <w:sz w:val="24"/>
                <w:szCs w:val="21"/>
                <w:lang w:val="en-US" w:eastAsia="zh-CN"/>
              </w:rPr>
              <w:t>为</w:t>
            </w:r>
            <w:r>
              <w:rPr>
                <w:rFonts w:hint="eastAsia" w:ascii="Times New Roman" w:hAnsi="Times New Roman" w:eastAsia="宋体" w:cs="宋体"/>
                <w:color w:val="auto"/>
                <w:kern w:val="0"/>
                <w:sz w:val="24"/>
                <w:szCs w:val="21"/>
                <w:lang w:val="en-US" w:eastAsia="zh-CN"/>
              </w:rPr>
              <w:t>0.02Skg万m</w:t>
            </w:r>
            <w:r>
              <w:rPr>
                <w:rFonts w:hint="eastAsia" w:ascii="Times New Roman" w:cs="宋体"/>
                <w:color w:val="auto"/>
                <w:kern w:val="0"/>
                <w:sz w:val="24"/>
                <w:szCs w:val="21"/>
                <w:vertAlign w:val="superscript"/>
                <w:lang w:val="en-US" w:eastAsia="zh-CN"/>
              </w:rPr>
              <w:t>3</w:t>
            </w:r>
            <w:r>
              <w:rPr>
                <w:rFonts w:hint="eastAsia" w:ascii="Times New Roman" w:hAnsi="Times New Roman" w:eastAsia="宋体" w:cs="宋体"/>
                <w:color w:val="auto"/>
                <w:kern w:val="0"/>
                <w:sz w:val="24"/>
                <w:szCs w:val="21"/>
                <w:lang w:val="en-US" w:eastAsia="zh-CN"/>
              </w:rPr>
              <w:t>原料</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S=20毫克</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立方米</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，则项目</w:t>
            </w:r>
            <w:r>
              <w:rPr>
                <w:rFonts w:hint="eastAsia" w:ascii="Times New Roman" w:cs="宋体"/>
                <w:color w:val="auto"/>
                <w:kern w:val="0"/>
                <w:sz w:val="24"/>
                <w:szCs w:val="21"/>
                <w:lang w:val="en-US" w:eastAsia="zh-CN"/>
              </w:rPr>
              <w:t>SO</w:t>
            </w:r>
            <w:r>
              <w:rPr>
                <w:rFonts w:hint="eastAsia" w:ascii="Times New Roman" w:cs="宋体"/>
                <w:color w:val="auto"/>
                <w:kern w:val="0"/>
                <w:sz w:val="24"/>
                <w:szCs w:val="21"/>
                <w:vertAlign w:val="subscript"/>
                <w:lang w:val="en-US" w:eastAsia="zh-CN"/>
              </w:rPr>
              <w:t>2</w:t>
            </w:r>
            <w:r>
              <w:rPr>
                <w:rFonts w:hint="eastAsia" w:ascii="Times New Roman" w:hAnsi="Times New Roman" w:eastAsia="宋体" w:cs="宋体"/>
                <w:color w:val="auto"/>
                <w:kern w:val="0"/>
                <w:sz w:val="24"/>
                <w:szCs w:val="21"/>
                <w:lang w:val="en-US" w:eastAsia="zh-CN"/>
              </w:rPr>
              <w:t>排放量为 0.0</w:t>
            </w:r>
            <w:r>
              <w:rPr>
                <w:rFonts w:hint="eastAsia" w:ascii="Times New Roman" w:cs="宋体"/>
                <w:color w:val="auto"/>
                <w:kern w:val="0"/>
                <w:sz w:val="24"/>
                <w:szCs w:val="21"/>
                <w:lang w:val="en-US" w:eastAsia="zh-CN"/>
              </w:rPr>
              <w:t>58</w:t>
            </w:r>
            <w:r>
              <w:rPr>
                <w:rFonts w:hint="eastAsia" w:ascii="Times New Roman" w:hAnsi="Times New Roman" w:eastAsia="宋体" w:cs="宋体"/>
                <w:color w:val="auto"/>
                <w:kern w:val="0"/>
                <w:sz w:val="24"/>
                <w:szCs w:val="21"/>
                <w:lang w:val="en-US" w:eastAsia="zh-CN"/>
              </w:rPr>
              <w:t>t</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a，排放速率为0.0</w:t>
            </w:r>
            <w:r>
              <w:rPr>
                <w:rFonts w:hint="eastAsia" w:ascii="Times New Roman" w:cs="宋体"/>
                <w:color w:val="auto"/>
                <w:kern w:val="0"/>
                <w:sz w:val="24"/>
                <w:szCs w:val="21"/>
                <w:lang w:val="en-US" w:eastAsia="zh-CN"/>
              </w:rPr>
              <w:t>2</w:t>
            </w:r>
            <w:r>
              <w:rPr>
                <w:rFonts w:hint="eastAsia" w:ascii="Times New Roman" w:hAnsi="Times New Roman" w:eastAsia="宋体" w:cs="宋体"/>
                <w:color w:val="auto"/>
                <w:kern w:val="0"/>
                <w:sz w:val="24"/>
                <w:szCs w:val="21"/>
                <w:lang w:val="en-US" w:eastAsia="zh-CN"/>
              </w:rPr>
              <w:t>kg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，排</w:t>
            </w:r>
            <w:r>
              <w:rPr>
                <w:rFonts w:hint="eastAsia" w:ascii="Times New Roman" w:hAnsi="Times New Roman" w:eastAsia="宋体" w:cs="宋体"/>
                <w:color w:val="auto"/>
                <w:kern w:val="0"/>
                <w:sz w:val="24"/>
                <w:szCs w:val="21"/>
                <w:lang w:val="en-US" w:eastAsia="zh-CN"/>
              </w:rPr>
              <w:t>放浓度为</w:t>
            </w:r>
            <w:r>
              <w:rPr>
                <w:rFonts w:hint="eastAsia" w:ascii="Times New Roman" w:cs="宋体"/>
                <w:color w:val="auto"/>
                <w:kern w:val="0"/>
                <w:sz w:val="24"/>
                <w:szCs w:val="21"/>
                <w:lang w:val="en-US" w:eastAsia="zh-CN"/>
              </w:rPr>
              <w:t>3.68</w:t>
            </w:r>
            <w:r>
              <w:rPr>
                <w:rFonts w:hint="eastAsia" w:ascii="Times New Roman" w:hAnsi="Times New Roman" w:eastAsia="宋体" w:cs="宋体"/>
                <w:color w:val="auto"/>
                <w:kern w:val="0"/>
                <w:sz w:val="24"/>
                <w:szCs w:val="21"/>
                <w:lang w:val="en-US" w:eastAsia="zh-CN"/>
              </w:rPr>
              <w:t>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p>
          <w:p w14:paraId="50CDE34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③NOx</w:t>
            </w:r>
          </w:p>
          <w:p w14:paraId="2D44A3F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本项目安装的锅炉配置低氮燃烧器-国际领先设备，参照《排放源统计调查产排污核算方法和系数手册》中可知，NOx产污系数3.03kg/万m</w:t>
            </w:r>
            <w:r>
              <w:rPr>
                <w:rFonts w:hint="eastAsia" w:ascii="Times New Roman" w:cs="宋体"/>
                <w:color w:val="auto"/>
                <w:kern w:val="0"/>
                <w:sz w:val="24"/>
                <w:szCs w:val="21"/>
                <w:vertAlign w:val="superscript"/>
                <w:lang w:val="en-US" w:eastAsia="zh-CN"/>
              </w:rPr>
              <w:t>3</w:t>
            </w:r>
            <w:r>
              <w:rPr>
                <w:rFonts w:hint="eastAsia" w:ascii="Times New Roman" w:hAnsi="Times New Roman" w:eastAsia="宋体" w:cs="宋体"/>
                <w:color w:val="auto"/>
                <w:kern w:val="0"/>
                <w:sz w:val="24"/>
                <w:szCs w:val="21"/>
                <w:lang w:val="en-US" w:eastAsia="zh-CN"/>
              </w:rPr>
              <w:t>原料，则项目NOx排放量为 0.</w:t>
            </w:r>
            <w:r>
              <w:rPr>
                <w:rFonts w:hint="eastAsia" w:ascii="Times New Roman" w:cs="宋体"/>
                <w:color w:val="auto"/>
                <w:kern w:val="0"/>
                <w:sz w:val="24"/>
                <w:szCs w:val="21"/>
                <w:lang w:val="en-US" w:eastAsia="zh-CN"/>
              </w:rPr>
              <w:t>443</w:t>
            </w:r>
            <w:r>
              <w:rPr>
                <w:rFonts w:hint="eastAsia" w:ascii="Times New Roman" w:hAnsi="Times New Roman" w:eastAsia="宋体" w:cs="宋体"/>
                <w:color w:val="auto"/>
                <w:kern w:val="0"/>
                <w:sz w:val="24"/>
                <w:szCs w:val="21"/>
                <w:lang w:val="en-US" w:eastAsia="zh-CN"/>
              </w:rPr>
              <w:t>t</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排放速率为0.</w:t>
            </w:r>
            <w:r>
              <w:rPr>
                <w:rFonts w:hint="eastAsia" w:ascii="Times New Roman" w:cs="宋体"/>
                <w:color w:val="auto"/>
                <w:kern w:val="0"/>
                <w:sz w:val="24"/>
                <w:szCs w:val="21"/>
                <w:lang w:val="en-US" w:eastAsia="zh-CN"/>
              </w:rPr>
              <w:t>15</w:t>
            </w:r>
            <w:r>
              <w:rPr>
                <w:rFonts w:hint="eastAsia" w:ascii="Times New Roman" w:hAnsi="Times New Roman" w:eastAsia="宋体" w:cs="宋体"/>
                <w:color w:val="auto"/>
                <w:kern w:val="0"/>
                <w:sz w:val="24"/>
                <w:szCs w:val="21"/>
                <w:lang w:val="en-US" w:eastAsia="zh-CN"/>
              </w:rPr>
              <w:t>kg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，排</w:t>
            </w:r>
            <w:r>
              <w:rPr>
                <w:rFonts w:hint="eastAsia" w:ascii="Times New Roman" w:hAnsi="Times New Roman" w:eastAsia="宋体" w:cs="宋体"/>
                <w:color w:val="auto"/>
                <w:kern w:val="0"/>
                <w:sz w:val="24"/>
                <w:szCs w:val="21"/>
                <w:lang w:val="en-US" w:eastAsia="zh-CN"/>
              </w:rPr>
              <w:t>放浓度为</w:t>
            </w:r>
            <w:r>
              <w:rPr>
                <w:rFonts w:hint="eastAsia" w:ascii="Times New Roman" w:cs="宋体"/>
                <w:color w:val="auto"/>
                <w:kern w:val="0"/>
                <w:sz w:val="24"/>
                <w:szCs w:val="21"/>
                <w:lang w:val="en-US" w:eastAsia="zh-CN"/>
              </w:rPr>
              <w:t>28.10</w:t>
            </w:r>
            <w:r>
              <w:rPr>
                <w:rFonts w:hint="eastAsia" w:ascii="Times New Roman" w:hAnsi="Times New Roman" w:eastAsia="宋体" w:cs="宋体"/>
                <w:color w:val="auto"/>
                <w:kern w:val="0"/>
                <w:sz w:val="24"/>
                <w:szCs w:val="21"/>
                <w:lang w:val="en-US" w:eastAsia="zh-CN"/>
              </w:rPr>
              <w:t>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p>
          <w:p w14:paraId="1684010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④颗粒物</w:t>
            </w:r>
          </w:p>
          <w:p w14:paraId="4AF78D7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本项目颗粒物产生量参照《环境保护实用数据手册》超低氮燃烧燃气锅炉颗粒物产污系数0.8kg/万</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燃料。则项目颗粒物</w:t>
            </w:r>
            <w:r>
              <w:rPr>
                <w:rFonts w:hint="eastAsia" w:ascii="Times New Roman" w:hAnsi="Times New Roman" w:eastAsia="宋体" w:cs="宋体"/>
                <w:color w:val="auto"/>
                <w:kern w:val="0"/>
                <w:sz w:val="24"/>
                <w:szCs w:val="21"/>
                <w:lang w:val="en-US" w:eastAsia="zh-CN"/>
              </w:rPr>
              <w:t>排放量为0.</w:t>
            </w:r>
            <w:r>
              <w:rPr>
                <w:rFonts w:hint="eastAsia" w:ascii="Times New Roman" w:cs="宋体"/>
                <w:color w:val="auto"/>
                <w:kern w:val="0"/>
                <w:sz w:val="24"/>
                <w:szCs w:val="21"/>
                <w:lang w:val="en-US" w:eastAsia="zh-CN"/>
              </w:rPr>
              <w:t>117</w:t>
            </w:r>
            <w:r>
              <w:rPr>
                <w:rFonts w:hint="eastAsia" w:ascii="Times New Roman" w:hAnsi="Times New Roman" w:eastAsia="宋体" w:cs="宋体"/>
                <w:color w:val="auto"/>
                <w:kern w:val="0"/>
                <w:sz w:val="24"/>
                <w:szCs w:val="21"/>
                <w:lang w:val="en-US" w:eastAsia="zh-CN"/>
              </w:rPr>
              <w:t>t</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排放速率为0.</w:t>
            </w:r>
            <w:r>
              <w:rPr>
                <w:rFonts w:hint="eastAsia" w:ascii="Times New Roman" w:cs="宋体"/>
                <w:color w:val="auto"/>
                <w:kern w:val="0"/>
                <w:sz w:val="24"/>
                <w:szCs w:val="21"/>
                <w:lang w:val="en-US" w:eastAsia="zh-CN"/>
              </w:rPr>
              <w:t>04</w:t>
            </w:r>
            <w:r>
              <w:rPr>
                <w:rFonts w:hint="eastAsia" w:ascii="Times New Roman" w:hAnsi="Times New Roman" w:eastAsia="宋体" w:cs="宋体"/>
                <w:color w:val="auto"/>
                <w:kern w:val="0"/>
                <w:sz w:val="24"/>
                <w:szCs w:val="21"/>
                <w:lang w:val="en-US" w:eastAsia="zh-CN"/>
              </w:rPr>
              <w:t>kg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w:t>
            </w:r>
            <w:r>
              <w:rPr>
                <w:rFonts w:hint="eastAsia" w:ascii="Times New Roman" w:cs="宋体"/>
                <w:color w:val="auto"/>
                <w:kern w:val="0"/>
                <w:sz w:val="24"/>
                <w:szCs w:val="21"/>
                <w:lang w:val="en-US" w:eastAsia="zh-CN"/>
              </w:rPr>
              <w:t>，排</w:t>
            </w:r>
            <w:r>
              <w:rPr>
                <w:rFonts w:hint="eastAsia" w:ascii="Times New Roman" w:hAnsi="Times New Roman" w:eastAsia="宋体" w:cs="宋体"/>
                <w:color w:val="auto"/>
                <w:kern w:val="0"/>
                <w:sz w:val="24"/>
                <w:szCs w:val="21"/>
                <w:lang w:val="en-US" w:eastAsia="zh-CN"/>
              </w:rPr>
              <w:t>放浓度为</w:t>
            </w:r>
            <w:r>
              <w:rPr>
                <w:rFonts w:hint="eastAsia" w:ascii="Times New Roman" w:cs="宋体"/>
                <w:color w:val="auto"/>
                <w:kern w:val="0"/>
                <w:sz w:val="24"/>
                <w:szCs w:val="21"/>
                <w:lang w:val="en-US" w:eastAsia="zh-CN"/>
              </w:rPr>
              <w:t>7.42</w:t>
            </w:r>
            <w:r>
              <w:rPr>
                <w:rFonts w:hint="eastAsia" w:ascii="Times New Roman" w:hAnsi="Times New Roman" w:eastAsia="宋体" w:cs="宋体"/>
                <w:color w:val="auto"/>
                <w:kern w:val="0"/>
                <w:sz w:val="24"/>
                <w:szCs w:val="21"/>
                <w:lang w:val="en-US" w:eastAsia="zh-CN"/>
              </w:rPr>
              <w:t>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p>
          <w:p w14:paraId="56F2676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（2）</w:t>
            </w:r>
            <w:r>
              <w:rPr>
                <w:rFonts w:hint="eastAsia" w:ascii="Times New Roman" w:hAnsi="Times New Roman" w:eastAsia="宋体" w:cs="宋体"/>
                <w:color w:val="auto"/>
                <w:kern w:val="0"/>
                <w:sz w:val="24"/>
                <w:szCs w:val="21"/>
                <w:lang w:val="en-US" w:eastAsia="zh-CN"/>
              </w:rPr>
              <w:t>污染物达标排放情况</w:t>
            </w:r>
          </w:p>
          <w:p w14:paraId="5E231F1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项目燃气锅炉为低氮燃烧锅炉，产生的废气经</w:t>
            </w:r>
            <w:r>
              <w:rPr>
                <w:rFonts w:hint="eastAsia" w:ascii="Times New Roman" w:cs="宋体"/>
                <w:color w:val="auto"/>
                <w:kern w:val="0"/>
                <w:sz w:val="24"/>
                <w:szCs w:val="21"/>
                <w:lang w:val="en-US" w:eastAsia="zh-CN"/>
              </w:rPr>
              <w:t>25</w:t>
            </w:r>
            <w:r>
              <w:rPr>
                <w:rFonts w:hint="eastAsia" w:ascii="Times New Roman" w:hAnsi="Times New Roman" w:eastAsia="宋体" w:cs="宋体"/>
                <w:color w:val="auto"/>
                <w:kern w:val="0"/>
                <w:sz w:val="24"/>
                <w:szCs w:val="21"/>
                <w:lang w:val="en-US" w:eastAsia="zh-CN"/>
              </w:rPr>
              <w:t>米排气筒排放，经表4-</w:t>
            </w:r>
            <w:r>
              <w:rPr>
                <w:rFonts w:hint="eastAsia" w:ascii="Times New Roman" w:cs="宋体"/>
                <w:color w:val="auto"/>
                <w:kern w:val="0"/>
                <w:sz w:val="24"/>
                <w:szCs w:val="21"/>
                <w:lang w:val="en-US" w:eastAsia="zh-CN"/>
              </w:rPr>
              <w:t>1锅炉</w:t>
            </w:r>
            <w:r>
              <w:rPr>
                <w:rFonts w:hint="eastAsia" w:ascii="Times New Roman" w:hAnsi="Times New Roman" w:eastAsia="宋体" w:cs="宋体"/>
                <w:color w:val="auto"/>
                <w:kern w:val="0"/>
                <w:sz w:val="24"/>
                <w:szCs w:val="21"/>
                <w:lang w:val="en-US" w:eastAsia="zh-CN"/>
              </w:rPr>
              <w:t>废气产排表中，污染物二氧化硫排放浓度≤20mg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氮氧化物排放浓度≤50mg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颗粒物排放浓度≤10mg</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hAnsi="Times New Roman" w:eastAsia="宋体" w:cs="宋体"/>
                <w:color w:val="auto"/>
                <w:kern w:val="0"/>
                <w:sz w:val="24"/>
                <w:szCs w:val="21"/>
                <w:lang w:val="en-US" w:eastAsia="zh-CN"/>
              </w:rPr>
              <w:t>。锅炉废气污染物排放浓度满足《锅炉大气污染物排放标准》</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DB61/1226-2018</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表3中燃气锅炉标准限值。</w:t>
            </w:r>
          </w:p>
          <w:p w14:paraId="2F2D555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val="en-US" w:eastAsia="zh-CN"/>
              </w:rPr>
              <w:t>（3）</w:t>
            </w:r>
            <w:r>
              <w:rPr>
                <w:rFonts w:hint="eastAsia" w:ascii="Times New Roman" w:hAnsi="Times New Roman" w:eastAsia="宋体" w:cs="宋体"/>
                <w:color w:val="auto"/>
                <w:kern w:val="0"/>
                <w:sz w:val="24"/>
                <w:szCs w:val="21"/>
                <w:lang w:val="en-US" w:eastAsia="zh-CN"/>
              </w:rPr>
              <w:t>废气治理措施可行性分析</w:t>
            </w:r>
          </w:p>
          <w:p w14:paraId="1EB00DD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依据《排污许可证申请与核发技术规范锅炉》</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HJ953-2018</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中表F.3燃气工业锅炉废气产排系数表中“</w:t>
            </w:r>
            <w:r>
              <w:rPr>
                <w:rFonts w:hint="eastAsia" w:ascii="Times New Roman" w:cs="宋体"/>
                <w:color w:val="auto"/>
                <w:kern w:val="0"/>
                <w:sz w:val="24"/>
                <w:szCs w:val="21"/>
                <w:lang w:val="en-US" w:eastAsia="zh-CN"/>
              </w:rPr>
              <w:t>末</w:t>
            </w:r>
            <w:r>
              <w:rPr>
                <w:rFonts w:hint="eastAsia" w:ascii="Times New Roman" w:hAnsi="Times New Roman" w:eastAsia="宋体" w:cs="宋体"/>
                <w:color w:val="auto"/>
                <w:kern w:val="0"/>
                <w:sz w:val="24"/>
                <w:szCs w:val="21"/>
                <w:lang w:val="en-US" w:eastAsia="zh-CN"/>
              </w:rPr>
              <w:t>端治理技术名称</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污染物二氧化硫-直排、颗粒物-直排、氮氧化物-低氮燃烧”。本项目采用低氮燃烧锅炉，因此锅炉废</w:t>
            </w:r>
            <w:r>
              <w:rPr>
                <w:rFonts w:hint="eastAsia" w:ascii="Times New Roman" w:cs="宋体"/>
                <w:color w:val="auto"/>
                <w:kern w:val="0"/>
                <w:sz w:val="24"/>
                <w:szCs w:val="21"/>
                <w:lang w:val="en-US" w:eastAsia="zh-CN"/>
              </w:rPr>
              <w:t>气治理措施可行。</w:t>
            </w:r>
          </w:p>
          <w:p w14:paraId="39CB7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smallCaps w:val="0"/>
                <w:color w:val="auto"/>
                <w:sz w:val="24"/>
                <w:szCs w:val="24"/>
              </w:rPr>
            </w:pPr>
            <w:r>
              <w:rPr>
                <w:rFonts w:hint="eastAsia" w:cs="Times New Roman"/>
                <w:b w:val="0"/>
                <w:bCs/>
                <w:smallCaps w:val="0"/>
                <w:color w:val="auto"/>
                <w:sz w:val="24"/>
                <w:szCs w:val="24"/>
                <w:lang w:val="en-US" w:eastAsia="zh-CN"/>
              </w:rPr>
              <w:t>（4）</w:t>
            </w:r>
            <w:r>
              <w:rPr>
                <w:rFonts w:hint="eastAsia" w:ascii="Times New Roman" w:hAnsi="Times New Roman" w:eastAsia="宋体" w:cs="Times New Roman"/>
                <w:b w:val="0"/>
                <w:bCs/>
                <w:smallCaps w:val="0"/>
                <w:color w:val="auto"/>
                <w:sz w:val="24"/>
                <w:szCs w:val="24"/>
              </w:rPr>
              <w:t>废气监测计划</w:t>
            </w:r>
          </w:p>
          <w:p w14:paraId="2AB29E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b/>
                <w:bCs/>
                <w:color w:val="auto"/>
                <w:kern w:val="0"/>
                <w:sz w:val="21"/>
                <w:szCs w:val="21"/>
              </w:rPr>
            </w:pPr>
            <w:r>
              <w:rPr>
                <w:rFonts w:hint="eastAsia" w:ascii="Times New Roman" w:hAnsi="Times New Roman" w:eastAsia="宋体" w:cs="Times New Roman"/>
                <w:smallCaps w:val="0"/>
                <w:color w:val="auto"/>
                <w:sz w:val="24"/>
                <w:szCs w:val="24"/>
              </w:rPr>
              <w:t>根据《排污单位自行监测技术指南 火力发电及锅炉》</w:t>
            </w:r>
            <w:r>
              <w:rPr>
                <w:rFonts w:hint="eastAsia" w:cs="Times New Roman"/>
                <w:smallCaps w:val="0"/>
                <w:color w:val="auto"/>
                <w:sz w:val="24"/>
                <w:szCs w:val="24"/>
                <w:lang w:eastAsia="zh-CN"/>
              </w:rPr>
              <w:t>（</w:t>
            </w:r>
            <w:r>
              <w:rPr>
                <w:rFonts w:hint="eastAsia" w:ascii="Times New Roman" w:hAnsi="Times New Roman" w:eastAsia="宋体" w:cs="Times New Roman"/>
                <w:smallCaps w:val="0"/>
                <w:color w:val="auto"/>
                <w:sz w:val="24"/>
                <w:szCs w:val="24"/>
              </w:rPr>
              <w:t>HJ820-2017</w:t>
            </w:r>
            <w:r>
              <w:rPr>
                <w:rFonts w:hint="eastAsia" w:cs="Times New Roman"/>
                <w:smallCaps w:val="0"/>
                <w:color w:val="auto"/>
                <w:sz w:val="24"/>
                <w:szCs w:val="24"/>
                <w:lang w:eastAsia="zh-CN"/>
              </w:rPr>
              <w:t>）</w:t>
            </w:r>
            <w:r>
              <w:rPr>
                <w:rFonts w:hint="eastAsia" w:ascii="Times New Roman" w:hAnsi="Times New Roman" w:eastAsia="宋体" w:cs="Times New Roman"/>
                <w:smallCaps w:val="0"/>
                <w:color w:val="auto"/>
                <w:sz w:val="24"/>
                <w:szCs w:val="24"/>
              </w:rPr>
              <w:t>、《排污许可证申请与核发技术规范 锅炉》</w:t>
            </w:r>
            <w:r>
              <w:rPr>
                <w:rFonts w:hint="eastAsia" w:cs="Times New Roman"/>
                <w:smallCaps w:val="0"/>
                <w:color w:val="auto"/>
                <w:sz w:val="24"/>
                <w:szCs w:val="24"/>
                <w:lang w:eastAsia="zh-CN"/>
              </w:rPr>
              <w:t>（</w:t>
            </w:r>
            <w:r>
              <w:rPr>
                <w:rFonts w:hint="eastAsia" w:ascii="Times New Roman" w:hAnsi="Times New Roman" w:eastAsia="宋体" w:cs="Times New Roman"/>
                <w:smallCaps w:val="0"/>
                <w:color w:val="auto"/>
                <w:sz w:val="24"/>
                <w:szCs w:val="24"/>
              </w:rPr>
              <w:t>HJ953-2018</w:t>
            </w:r>
            <w:r>
              <w:rPr>
                <w:rFonts w:hint="eastAsia" w:cs="Times New Roman"/>
                <w:smallCaps w:val="0"/>
                <w:color w:val="auto"/>
                <w:sz w:val="24"/>
                <w:szCs w:val="24"/>
                <w:lang w:eastAsia="zh-CN"/>
              </w:rPr>
              <w:t>）</w:t>
            </w:r>
            <w:r>
              <w:rPr>
                <w:rFonts w:hint="eastAsia" w:ascii="Times New Roman" w:hAnsi="Times New Roman" w:eastAsia="宋体" w:cs="Times New Roman"/>
                <w:smallCaps w:val="0"/>
                <w:color w:val="auto"/>
                <w:sz w:val="24"/>
                <w:szCs w:val="24"/>
              </w:rPr>
              <w:t>，本项目废气监测计划如下表。</w:t>
            </w:r>
          </w:p>
          <w:p w14:paraId="2D8F970D">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表4-3 有组织废气污染物监测点位、指标及频次</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519"/>
              <w:gridCol w:w="2437"/>
              <w:gridCol w:w="1484"/>
              <w:gridCol w:w="3012"/>
            </w:tblGrid>
            <w:tr w14:paraId="65EF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noWrap w:val="0"/>
                  <w:vAlign w:val="center"/>
                </w:tcPr>
                <w:p w14:paraId="60C1EA7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cs="宋体"/>
                      <w:b/>
                      <w:bCs/>
                      <w:color w:val="auto"/>
                      <w:kern w:val="0"/>
                      <w:sz w:val="21"/>
                      <w:szCs w:val="21"/>
                      <w:highlight w:val="none"/>
                      <w:vertAlign w:val="baseline"/>
                      <w:lang w:val="en-US" w:eastAsia="zh-CN"/>
                    </w:rPr>
                    <w:t>类别</w:t>
                  </w:r>
                </w:p>
              </w:tc>
              <w:tc>
                <w:tcPr>
                  <w:tcW w:w="821" w:type="pct"/>
                  <w:noWrap w:val="0"/>
                  <w:vAlign w:val="center"/>
                </w:tcPr>
                <w:p w14:paraId="4B74C62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监测点位</w:t>
                  </w:r>
                </w:p>
              </w:tc>
              <w:tc>
                <w:tcPr>
                  <w:tcW w:w="1317" w:type="pct"/>
                  <w:noWrap w:val="0"/>
                  <w:vAlign w:val="center"/>
                </w:tcPr>
                <w:p w14:paraId="53CD29A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监测</w:t>
                  </w:r>
                  <w:r>
                    <w:rPr>
                      <w:rFonts w:hint="eastAsia" w:ascii="Times New Roman" w:cs="宋体"/>
                      <w:b/>
                      <w:bCs/>
                      <w:color w:val="auto"/>
                      <w:kern w:val="0"/>
                      <w:sz w:val="21"/>
                      <w:szCs w:val="21"/>
                      <w:highlight w:val="none"/>
                      <w:vertAlign w:val="baseline"/>
                      <w:lang w:val="en-US" w:eastAsia="zh-CN"/>
                    </w:rPr>
                    <w:t>因子</w:t>
                  </w:r>
                </w:p>
              </w:tc>
              <w:tc>
                <w:tcPr>
                  <w:tcW w:w="802" w:type="pct"/>
                  <w:noWrap w:val="0"/>
                  <w:vAlign w:val="center"/>
                </w:tcPr>
                <w:p w14:paraId="1DC631D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最低监测频次</w:t>
                  </w:r>
                </w:p>
              </w:tc>
              <w:tc>
                <w:tcPr>
                  <w:tcW w:w="1628" w:type="pct"/>
                  <w:noWrap w:val="0"/>
                  <w:vAlign w:val="center"/>
                </w:tcPr>
                <w:p w14:paraId="37FDB59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cs="宋体"/>
                      <w:b/>
                      <w:bCs/>
                      <w:color w:val="auto"/>
                      <w:kern w:val="0"/>
                      <w:sz w:val="21"/>
                      <w:szCs w:val="21"/>
                      <w:highlight w:val="none"/>
                      <w:vertAlign w:val="baseline"/>
                      <w:lang w:val="en-US" w:eastAsia="zh-CN"/>
                    </w:rPr>
                    <w:t>排放标准</w:t>
                  </w:r>
                </w:p>
              </w:tc>
            </w:tr>
            <w:tr w14:paraId="700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vMerge w:val="restart"/>
                  <w:noWrap w:val="0"/>
                  <w:vAlign w:val="center"/>
                </w:tcPr>
                <w:p w14:paraId="63668BF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highlight w:val="none"/>
                      <w:vertAlign w:val="baseline"/>
                      <w:lang w:val="en-US" w:eastAsia="zh-CN"/>
                    </w:rPr>
                  </w:pPr>
                  <w:r>
                    <w:rPr>
                      <w:rFonts w:hint="eastAsia" w:ascii="Times New Roman" w:cs="宋体"/>
                      <w:color w:val="auto"/>
                      <w:kern w:val="0"/>
                      <w:sz w:val="21"/>
                      <w:szCs w:val="21"/>
                      <w:highlight w:val="none"/>
                      <w:vertAlign w:val="baseline"/>
                      <w:lang w:val="en-US" w:eastAsia="zh-CN"/>
                    </w:rPr>
                    <w:t>废气</w:t>
                  </w:r>
                </w:p>
              </w:tc>
              <w:tc>
                <w:tcPr>
                  <w:tcW w:w="821" w:type="pct"/>
                  <w:vMerge w:val="restart"/>
                  <w:noWrap w:val="0"/>
                  <w:vAlign w:val="center"/>
                </w:tcPr>
                <w:p w14:paraId="5D2A2BF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highlight w:val="none"/>
                      <w:vertAlign w:val="baseline"/>
                      <w:lang w:val="en-US" w:eastAsia="zh-CN"/>
                    </w:rPr>
                  </w:pPr>
                  <w:r>
                    <w:rPr>
                      <w:rFonts w:hint="eastAsia" w:ascii="Times New Roman" w:cs="宋体"/>
                      <w:color w:val="auto"/>
                      <w:kern w:val="0"/>
                      <w:sz w:val="21"/>
                      <w:szCs w:val="21"/>
                      <w:highlight w:val="none"/>
                      <w:vertAlign w:val="baseline"/>
                      <w:lang w:val="en-US" w:eastAsia="zh-CN"/>
                    </w:rPr>
                    <w:t>DA001</w:t>
                  </w:r>
                  <w:r>
                    <w:rPr>
                      <w:rFonts w:hint="eastAsia" w:ascii="Times New Roman" w:hAnsi="Times New Roman" w:eastAsia="宋体" w:cs="宋体"/>
                      <w:color w:val="auto"/>
                      <w:kern w:val="0"/>
                      <w:sz w:val="21"/>
                      <w:szCs w:val="21"/>
                      <w:highlight w:val="none"/>
                      <w:vertAlign w:val="baseline"/>
                      <w:lang w:val="en-US" w:eastAsia="zh-CN"/>
                    </w:rPr>
                    <w:t>排气筒</w:t>
                  </w:r>
                </w:p>
              </w:tc>
              <w:tc>
                <w:tcPr>
                  <w:tcW w:w="1317" w:type="pct"/>
                  <w:noWrap w:val="0"/>
                  <w:vAlign w:val="center"/>
                </w:tcPr>
                <w:p w14:paraId="19D473F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rPr>
                  </w:pPr>
                  <w:r>
                    <w:rPr>
                      <w:rFonts w:hint="eastAsia" w:ascii="Times New Roman" w:hAnsi="Times New Roman" w:eastAsia="宋体" w:cs="宋体"/>
                      <w:color w:val="auto"/>
                      <w:kern w:val="0"/>
                      <w:sz w:val="21"/>
                      <w:szCs w:val="21"/>
                      <w:highlight w:val="none"/>
                      <w:vertAlign w:val="baseline"/>
                    </w:rPr>
                    <w:t>颗粒物、SO</w:t>
                  </w:r>
                  <w:r>
                    <w:rPr>
                      <w:rFonts w:hint="eastAsia" w:ascii="Times New Roman" w:hAnsi="Times New Roman" w:eastAsia="宋体" w:cs="宋体"/>
                      <w:color w:val="auto"/>
                      <w:kern w:val="0"/>
                      <w:sz w:val="21"/>
                      <w:szCs w:val="21"/>
                      <w:highlight w:val="none"/>
                      <w:vertAlign w:val="subscript"/>
                    </w:rPr>
                    <w:t>2</w:t>
                  </w:r>
                  <w:r>
                    <w:rPr>
                      <w:rFonts w:hint="eastAsia" w:ascii="Times New Roman" w:hAnsi="Times New Roman" w:eastAsia="宋体" w:cs="宋体"/>
                      <w:color w:val="auto"/>
                      <w:kern w:val="0"/>
                      <w:sz w:val="21"/>
                      <w:szCs w:val="21"/>
                      <w:highlight w:val="none"/>
                      <w:vertAlign w:val="baseline"/>
                    </w:rPr>
                    <w:t>、林格曼黑度</w:t>
                  </w:r>
                </w:p>
              </w:tc>
              <w:tc>
                <w:tcPr>
                  <w:tcW w:w="802" w:type="pct"/>
                  <w:noWrap w:val="0"/>
                  <w:vAlign w:val="center"/>
                </w:tcPr>
                <w:p w14:paraId="12E3E71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highlight w:val="none"/>
                      <w:vertAlign w:val="baseline"/>
                      <w:lang w:val="en-US" w:eastAsia="zh-CN"/>
                    </w:rPr>
                  </w:pPr>
                  <w:r>
                    <w:rPr>
                      <w:rFonts w:hint="eastAsia" w:ascii="Times New Roman" w:cs="宋体"/>
                      <w:color w:val="auto"/>
                      <w:kern w:val="0"/>
                      <w:sz w:val="21"/>
                      <w:szCs w:val="21"/>
                      <w:highlight w:val="none"/>
                      <w:vertAlign w:val="baseline"/>
                      <w:lang w:val="en-US" w:eastAsia="zh-CN"/>
                    </w:rPr>
                    <w:t>1次/年</w:t>
                  </w:r>
                </w:p>
              </w:tc>
              <w:tc>
                <w:tcPr>
                  <w:tcW w:w="1628" w:type="pct"/>
                  <w:vMerge w:val="restart"/>
                  <w:noWrap w:val="0"/>
                  <w:vAlign w:val="center"/>
                </w:tcPr>
                <w:p w14:paraId="5266A4C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lang w:val="en-US" w:eastAsia="zh-CN"/>
                    </w:rPr>
                  </w:pPr>
                  <w:r>
                    <w:rPr>
                      <w:rFonts w:hint="eastAsia" w:ascii="Times New Roman" w:hAnsi="Times New Roman" w:eastAsia="宋体" w:cs="宋体"/>
                      <w:color w:val="auto"/>
                      <w:kern w:val="0"/>
                      <w:sz w:val="21"/>
                      <w:szCs w:val="18"/>
                      <w:lang w:val="en-US" w:eastAsia="zh-CN"/>
                    </w:rPr>
                    <w:t>《锅炉大气污染物排放标准》</w:t>
                  </w:r>
                  <w:r>
                    <w:rPr>
                      <w:rFonts w:hint="eastAsia" w:ascii="Times New Roman" w:cs="宋体"/>
                      <w:color w:val="auto"/>
                      <w:kern w:val="0"/>
                      <w:sz w:val="21"/>
                      <w:szCs w:val="18"/>
                      <w:lang w:val="en-US" w:eastAsia="zh-CN"/>
                    </w:rPr>
                    <w:t>（</w:t>
                  </w:r>
                  <w:r>
                    <w:rPr>
                      <w:rFonts w:hint="eastAsia" w:ascii="Times New Roman" w:hAnsi="Times New Roman" w:eastAsia="宋体" w:cs="宋体"/>
                      <w:color w:val="auto"/>
                      <w:kern w:val="0"/>
                      <w:sz w:val="21"/>
                      <w:szCs w:val="18"/>
                      <w:lang w:val="en-US" w:eastAsia="zh-CN"/>
                    </w:rPr>
                    <w:t>DB61/1226-2018</w:t>
                  </w:r>
                  <w:r>
                    <w:rPr>
                      <w:rFonts w:hint="eastAsia" w:ascii="Times New Roman" w:cs="宋体"/>
                      <w:color w:val="auto"/>
                      <w:kern w:val="0"/>
                      <w:sz w:val="21"/>
                      <w:szCs w:val="18"/>
                      <w:lang w:val="en-US" w:eastAsia="zh-CN"/>
                    </w:rPr>
                    <w:t>）</w:t>
                  </w:r>
                  <w:r>
                    <w:rPr>
                      <w:rFonts w:hint="eastAsia" w:ascii="Times New Roman" w:hAnsi="Times New Roman" w:eastAsia="宋体" w:cs="宋体"/>
                      <w:color w:val="auto"/>
                      <w:kern w:val="0"/>
                      <w:sz w:val="21"/>
                      <w:szCs w:val="18"/>
                      <w:lang w:val="en-US" w:eastAsia="zh-CN"/>
                    </w:rPr>
                    <w:t>表3中燃气锅炉标准限值</w:t>
                  </w:r>
                </w:p>
              </w:tc>
            </w:tr>
            <w:tr w14:paraId="65D7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vMerge w:val="continue"/>
                  <w:noWrap w:val="0"/>
                  <w:vAlign w:val="center"/>
                </w:tcPr>
                <w:p w14:paraId="1ED0ECA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rPr>
                  </w:pPr>
                </w:p>
              </w:tc>
              <w:tc>
                <w:tcPr>
                  <w:tcW w:w="821" w:type="pct"/>
                  <w:vMerge w:val="continue"/>
                  <w:noWrap w:val="0"/>
                  <w:vAlign w:val="center"/>
                </w:tcPr>
                <w:p w14:paraId="4FB1D5A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rPr>
                  </w:pPr>
                </w:p>
              </w:tc>
              <w:tc>
                <w:tcPr>
                  <w:tcW w:w="1317" w:type="pct"/>
                  <w:noWrap w:val="0"/>
                  <w:vAlign w:val="center"/>
                </w:tcPr>
                <w:p w14:paraId="1F0FC3C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rPr>
                  </w:pPr>
                  <w:r>
                    <w:rPr>
                      <w:rFonts w:hint="eastAsia" w:ascii="Times New Roman" w:hAnsi="Times New Roman" w:eastAsia="宋体" w:cs="宋体"/>
                      <w:color w:val="auto"/>
                      <w:kern w:val="0"/>
                      <w:sz w:val="21"/>
                      <w:szCs w:val="21"/>
                      <w:highlight w:val="none"/>
                      <w:vertAlign w:val="baseline"/>
                    </w:rPr>
                    <w:t>NOx</w:t>
                  </w:r>
                </w:p>
              </w:tc>
              <w:tc>
                <w:tcPr>
                  <w:tcW w:w="802" w:type="pct"/>
                  <w:noWrap w:val="0"/>
                  <w:vAlign w:val="center"/>
                </w:tcPr>
                <w:p w14:paraId="1CB6230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highlight w:val="none"/>
                      <w:vertAlign w:val="baseline"/>
                      <w:lang w:val="en-US" w:eastAsia="zh-CN"/>
                    </w:rPr>
                  </w:pPr>
                  <w:r>
                    <w:rPr>
                      <w:rFonts w:hint="eastAsia" w:ascii="Times New Roman" w:cs="宋体"/>
                      <w:color w:val="auto"/>
                      <w:kern w:val="0"/>
                      <w:sz w:val="21"/>
                      <w:szCs w:val="21"/>
                      <w:highlight w:val="none"/>
                      <w:vertAlign w:val="baseline"/>
                      <w:lang w:val="en-US" w:eastAsia="zh-CN"/>
                    </w:rPr>
                    <w:t>1次/月</w:t>
                  </w:r>
                </w:p>
              </w:tc>
              <w:tc>
                <w:tcPr>
                  <w:tcW w:w="1628" w:type="pct"/>
                  <w:vMerge w:val="continue"/>
                  <w:noWrap w:val="0"/>
                  <w:vAlign w:val="center"/>
                </w:tcPr>
                <w:p w14:paraId="684B8A3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highlight w:val="none"/>
                      <w:vertAlign w:val="baseline"/>
                      <w:lang w:val="en-US" w:eastAsia="zh-CN"/>
                    </w:rPr>
                  </w:pPr>
                </w:p>
              </w:tc>
            </w:tr>
          </w:tbl>
          <w:p w14:paraId="1B9E1F1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lang w:val="en-US" w:eastAsia="zh-CN"/>
              </w:rPr>
              <w:t>2、</w:t>
            </w:r>
            <w:r>
              <w:rPr>
                <w:rFonts w:hint="eastAsia" w:ascii="Times New Roman" w:hAnsi="Times New Roman" w:eastAsia="宋体" w:cs="宋体"/>
                <w:color w:val="auto"/>
                <w:kern w:val="0"/>
                <w:sz w:val="24"/>
                <w:szCs w:val="21"/>
              </w:rPr>
              <w:t>运营期水环境影响和保护措施</w:t>
            </w:r>
          </w:p>
          <w:p w14:paraId="528A276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cs="宋体"/>
                <w:color w:val="auto"/>
                <w:kern w:val="0"/>
                <w:sz w:val="24"/>
                <w:szCs w:val="21"/>
                <w:lang w:val="en-US" w:eastAsia="zh-CN"/>
              </w:rPr>
            </w:pP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1</w:t>
            </w: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项目废水产排情况</w:t>
            </w:r>
          </w:p>
          <w:p w14:paraId="460C880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rPr>
              <w:t>本项目运营期间的废水主要为生活污水</w:t>
            </w: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锅炉排污水</w:t>
            </w:r>
            <w:r>
              <w:rPr>
                <w:rFonts w:hint="eastAsia" w:ascii="Times New Roman" w:hAnsi="Times New Roman" w:eastAsia="宋体" w:cs="宋体"/>
                <w:color w:val="auto"/>
                <w:kern w:val="0"/>
                <w:sz w:val="24"/>
                <w:szCs w:val="21"/>
              </w:rPr>
              <w:t>和</w:t>
            </w:r>
            <w:r>
              <w:rPr>
                <w:rFonts w:hint="eastAsia" w:ascii="Times New Roman" w:cs="宋体"/>
                <w:color w:val="auto"/>
                <w:kern w:val="0"/>
                <w:sz w:val="24"/>
                <w:szCs w:val="21"/>
                <w:lang w:val="en-US" w:eastAsia="zh-CN"/>
              </w:rPr>
              <w:t>软水制备废水</w:t>
            </w:r>
            <w:r>
              <w:rPr>
                <w:rFonts w:hint="eastAsia" w:ascii="Times New Roman" w:hAnsi="Times New Roman" w:eastAsia="宋体" w:cs="宋体"/>
                <w:color w:val="auto"/>
                <w:kern w:val="0"/>
                <w:sz w:val="24"/>
                <w:szCs w:val="21"/>
              </w:rPr>
              <w:t>。</w:t>
            </w:r>
          </w:p>
          <w:p w14:paraId="7EE15BD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cs="宋体"/>
                <w:color w:val="auto"/>
                <w:kern w:val="0"/>
                <w:sz w:val="24"/>
                <w:szCs w:val="21"/>
                <w:lang w:val="en-US" w:eastAsia="zh-CN"/>
              </w:rPr>
            </w:pPr>
            <w:r>
              <w:rPr>
                <w:rFonts w:hint="eastAsia" w:ascii="Times New Roman" w:cs="宋体"/>
                <w:color w:val="auto"/>
                <w:kern w:val="0"/>
                <w:sz w:val="24"/>
                <w:szCs w:val="21"/>
                <w:lang w:val="en-US" w:eastAsia="zh-CN"/>
              </w:rPr>
              <w:t>①生活污水</w:t>
            </w:r>
          </w:p>
          <w:p w14:paraId="584FF10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rPr>
              <w:t>生活污水主要来源于员工生活，主要污染因子为COD、BOD</w:t>
            </w:r>
            <w:r>
              <w:rPr>
                <w:rFonts w:hint="eastAsia" w:ascii="Times New Roman" w:hAnsi="Times New Roman" w:eastAsia="宋体" w:cs="宋体"/>
                <w:color w:val="auto"/>
                <w:kern w:val="0"/>
                <w:sz w:val="24"/>
                <w:szCs w:val="21"/>
                <w:vertAlign w:val="subscript"/>
                <w:lang w:val="en-US" w:eastAsia="zh-CN"/>
              </w:rPr>
              <w:t>5</w:t>
            </w:r>
            <w:r>
              <w:rPr>
                <w:rFonts w:hint="eastAsia" w:ascii="Times New Roman" w:hAnsi="Times New Roman" w:eastAsia="宋体" w:cs="宋体"/>
                <w:color w:val="auto"/>
                <w:kern w:val="0"/>
                <w:sz w:val="24"/>
                <w:szCs w:val="21"/>
                <w:lang w:val="en-US" w:eastAsia="zh-CN"/>
              </w:rPr>
              <w:t>、SS、氨氨等。废水排放量为</w:t>
            </w:r>
            <w:r>
              <w:rPr>
                <w:rFonts w:hint="eastAsia" w:ascii="Times New Roman" w:cs="宋体"/>
                <w:color w:val="auto"/>
                <w:kern w:val="0"/>
                <w:sz w:val="24"/>
                <w:szCs w:val="21"/>
                <w:lang w:val="en-US" w:eastAsia="zh-CN"/>
              </w:rPr>
              <w:t>8.64</w:t>
            </w:r>
            <w:r>
              <w:rPr>
                <w:rFonts w:hint="eastAsia" w:ascii="Times New Roman" w:hAnsi="Times New Roman" w:eastAsia="宋体" w:cs="宋体"/>
                <w:color w:val="auto"/>
                <w:kern w:val="0"/>
                <w:sz w:val="24"/>
                <w:szCs w:val="21"/>
                <w:lang w:val="en-US" w:eastAsia="zh-CN"/>
              </w:rPr>
              <w:t>m</w:t>
            </w:r>
            <w:r>
              <w:rPr>
                <w:rFonts w:hint="eastAsia" w:ascii="Times New Roman" w:cs="宋体"/>
                <w:color w:val="auto"/>
                <w:kern w:val="0"/>
                <w:sz w:val="24"/>
                <w:szCs w:val="21"/>
                <w:vertAlign w:val="superscript"/>
                <w:lang w:val="en-US" w:eastAsia="zh-CN"/>
              </w:rPr>
              <w:t>3</w:t>
            </w:r>
            <w:r>
              <w:rPr>
                <w:rFonts w:hint="eastAsia" w:ascii="Times New Roman" w:hAnsi="Times New Roman" w:eastAsia="宋体" w:cs="宋体"/>
                <w:color w:val="auto"/>
                <w:kern w:val="0"/>
                <w:sz w:val="24"/>
                <w:szCs w:val="21"/>
                <w:lang w:val="en-US" w:eastAsia="zh-CN"/>
              </w:rPr>
              <w:t>/a。生活污水进入厂区内化粪池处理后排</w:t>
            </w:r>
            <w:r>
              <w:rPr>
                <w:rFonts w:hint="eastAsia" w:ascii="Times New Roman" w:cs="宋体"/>
                <w:color w:val="auto"/>
                <w:kern w:val="0"/>
                <w:sz w:val="24"/>
                <w:szCs w:val="21"/>
                <w:lang w:val="en-US" w:eastAsia="zh-CN"/>
              </w:rPr>
              <w:t>入陇县第一</w:t>
            </w:r>
            <w:r>
              <w:rPr>
                <w:rFonts w:hint="eastAsia" w:ascii="Times New Roman" w:hAnsi="Times New Roman" w:eastAsia="宋体" w:cs="宋体"/>
                <w:color w:val="auto"/>
                <w:kern w:val="0"/>
                <w:sz w:val="24"/>
                <w:szCs w:val="21"/>
                <w:lang w:val="en-US" w:eastAsia="zh-CN"/>
              </w:rPr>
              <w:t>污水处理厂处理</w:t>
            </w:r>
            <w:r>
              <w:rPr>
                <w:rFonts w:hint="eastAsia" w:ascii="Times New Roman" w:cs="宋体"/>
                <w:color w:val="auto"/>
                <w:kern w:val="0"/>
                <w:sz w:val="24"/>
                <w:szCs w:val="21"/>
                <w:lang w:val="en-US" w:eastAsia="zh-CN"/>
              </w:rPr>
              <w:t>。</w:t>
            </w:r>
          </w:p>
          <w:p w14:paraId="2862B65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cs="宋体"/>
                <w:color w:val="auto"/>
                <w:kern w:val="0"/>
                <w:sz w:val="24"/>
                <w:szCs w:val="21"/>
                <w:lang w:val="en-US" w:eastAsia="zh-CN"/>
              </w:rPr>
              <w:t>②锅炉排污水</w:t>
            </w:r>
          </w:p>
          <w:p w14:paraId="08CA62D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rPr>
              <w:t>根据《第二次全国污染源普查产排污核算系数手册(试用版)》(工业源)中“4430工业锅炉(热力生产和供应行业)行业系数手册”，锅炉废水化学需氧量产污系数为1080克/万立方米-原料，本项目天然气用量为</w:t>
            </w:r>
            <w:r>
              <w:rPr>
                <w:rFonts w:hint="eastAsia" w:ascii="Times New Roman" w:cs="宋体"/>
                <w:color w:val="auto"/>
                <w:kern w:val="0"/>
                <w:sz w:val="24"/>
                <w:szCs w:val="21"/>
                <w:lang w:val="en-US" w:eastAsia="zh-CN"/>
              </w:rPr>
              <w:t>1463040</w:t>
            </w:r>
            <w:r>
              <w:rPr>
                <w:rFonts w:hint="eastAsia" w:ascii="Times New Roman" w:hAnsi="Times New Roman" w:eastAsia="宋体" w:cs="宋体"/>
                <w:color w:val="auto"/>
                <w:kern w:val="0"/>
                <w:sz w:val="24"/>
                <w:szCs w:val="21"/>
                <w:lang w:val="en-US" w:eastAsia="zh-CN"/>
              </w:rPr>
              <w:t>Nm</w:t>
            </w:r>
            <w:r>
              <w:rPr>
                <w:rFonts w:hint="eastAsia" w:ascii="Times New Roman" w:cs="宋体"/>
                <w:color w:val="auto"/>
                <w:kern w:val="0"/>
                <w:sz w:val="24"/>
                <w:szCs w:val="21"/>
                <w:vertAlign w:val="superscript"/>
                <w:lang w:val="en-US" w:eastAsia="zh-CN"/>
              </w:rPr>
              <w:t>3</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lang w:val="en-US" w:eastAsia="zh-CN"/>
              </w:rPr>
              <w:t>a</w:t>
            </w:r>
            <w:r>
              <w:rPr>
                <w:rFonts w:hint="eastAsia" w:ascii="Times New Roman" w:hAnsi="Times New Roman" w:eastAsia="宋体" w:cs="宋体"/>
                <w:color w:val="auto"/>
                <w:kern w:val="0"/>
                <w:sz w:val="24"/>
                <w:szCs w:val="21"/>
              </w:rPr>
              <w:t>，则化学需氧量产生量为 0.</w:t>
            </w:r>
            <w:r>
              <w:rPr>
                <w:rFonts w:hint="eastAsia" w:ascii="Times New Roman" w:cs="宋体"/>
                <w:color w:val="auto"/>
                <w:kern w:val="0"/>
                <w:sz w:val="24"/>
                <w:szCs w:val="21"/>
                <w:lang w:val="en-US" w:eastAsia="zh-CN"/>
              </w:rPr>
              <w:t>158</w:t>
            </w:r>
            <w:r>
              <w:rPr>
                <w:rFonts w:hint="eastAsia" w:ascii="Times New Roman" w:hAnsi="Times New Roman" w:eastAsia="宋体" w:cs="宋体"/>
                <w:color w:val="auto"/>
                <w:kern w:val="0"/>
                <w:sz w:val="24"/>
                <w:szCs w:val="21"/>
              </w:rPr>
              <w:t>t</w:t>
            </w:r>
            <w:r>
              <w:rPr>
                <w:rFonts w:hint="eastAsia" w:ascii="Times New Roman" w:cs="宋体"/>
                <w:color w:val="auto"/>
                <w:kern w:val="0"/>
                <w:sz w:val="24"/>
                <w:szCs w:val="21"/>
                <w:lang w:val="en-US" w:eastAsia="zh-CN"/>
              </w:rPr>
              <w:t>/</w:t>
            </w:r>
            <w:r>
              <w:rPr>
                <w:rFonts w:hint="eastAsia" w:ascii="Times New Roman" w:hAnsi="Times New Roman" w:eastAsia="宋体" w:cs="宋体"/>
                <w:color w:val="auto"/>
                <w:kern w:val="0"/>
                <w:sz w:val="24"/>
                <w:szCs w:val="21"/>
              </w:rPr>
              <w:t>a。</w:t>
            </w:r>
          </w:p>
          <w:p w14:paraId="54AA293E">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cs="宋体"/>
                <w:color w:val="auto"/>
                <w:kern w:val="0"/>
                <w:sz w:val="24"/>
                <w:szCs w:val="21"/>
                <w:lang w:val="en-US" w:eastAsia="zh-CN"/>
              </w:rPr>
              <w:t>本项目产生废水为锅炉房废水和生活污水，锅炉系统废水水质简单，主要是锅炉排水及软化水处理废水，废水水进入化粪池处理后，排入陇县第一污水处理厂集中处理。建设项目水污染物产生及排放情况见下表。</w:t>
            </w:r>
          </w:p>
          <w:p w14:paraId="2D69FDDA">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表4-4</w:t>
            </w:r>
            <w:r>
              <w:rPr>
                <w:rFonts w:hint="eastAsia" w:ascii="Times New Roman" w:cs="宋体"/>
                <w:b/>
                <w:bCs/>
                <w:color w:val="auto"/>
                <w:sz w:val="21"/>
                <w:szCs w:val="21"/>
                <w:lang w:val="en-US" w:eastAsia="zh-CN"/>
              </w:rPr>
              <w:t xml:space="preserve"> </w:t>
            </w:r>
            <w:r>
              <w:rPr>
                <w:rFonts w:hint="eastAsia" w:ascii="Times New Roman" w:hAnsi="Times New Roman" w:eastAsia="宋体" w:cs="宋体"/>
                <w:b/>
                <w:bCs/>
                <w:color w:val="auto"/>
                <w:sz w:val="21"/>
                <w:szCs w:val="21"/>
                <w:lang w:val="en-US" w:eastAsia="zh-CN"/>
              </w:rPr>
              <w:t>本项目排放废水及处理措施一览表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916"/>
              <w:gridCol w:w="892"/>
              <w:gridCol w:w="1212"/>
              <w:gridCol w:w="1246"/>
              <w:gridCol w:w="974"/>
              <w:gridCol w:w="1070"/>
              <w:gridCol w:w="1271"/>
              <w:gridCol w:w="1014"/>
            </w:tblGrid>
            <w:tr w14:paraId="591C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restart"/>
                  <w:vAlign w:val="center"/>
                </w:tcPr>
                <w:p w14:paraId="4BBA8B7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名称</w:t>
                  </w:r>
                </w:p>
              </w:tc>
              <w:tc>
                <w:tcPr>
                  <w:tcW w:w="495" w:type="pct"/>
                  <w:vMerge w:val="restart"/>
                  <w:vAlign w:val="center"/>
                </w:tcPr>
                <w:p w14:paraId="5FAE83A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污染物</w:t>
                  </w:r>
                </w:p>
              </w:tc>
              <w:tc>
                <w:tcPr>
                  <w:tcW w:w="482" w:type="pct"/>
                  <w:vMerge w:val="restart"/>
                  <w:vAlign w:val="center"/>
                </w:tcPr>
                <w:p w14:paraId="09AE131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废水量</w:t>
                  </w:r>
                </w:p>
              </w:tc>
              <w:tc>
                <w:tcPr>
                  <w:tcW w:w="1328" w:type="pct"/>
                  <w:gridSpan w:val="2"/>
                  <w:vAlign w:val="center"/>
                </w:tcPr>
                <w:p w14:paraId="3DFE4E2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r>
                    <w:rPr>
                      <w:rFonts w:hint="default" w:ascii="Times New Roman" w:hAnsi="Times New Roman" w:eastAsia="宋体" w:cs="Times New Roman"/>
                      <w:b/>
                      <w:bCs/>
                      <w:color w:val="auto"/>
                      <w:kern w:val="0"/>
                      <w:sz w:val="21"/>
                      <w:szCs w:val="21"/>
                      <w:vertAlign w:val="baseline"/>
                      <w:lang w:val="en-US" w:eastAsia="zh-CN"/>
                    </w:rPr>
                    <w:t>污染物产生</w:t>
                  </w:r>
                </w:p>
              </w:tc>
              <w:tc>
                <w:tcPr>
                  <w:tcW w:w="526" w:type="pct"/>
                  <w:vMerge w:val="restart"/>
                  <w:vAlign w:val="center"/>
                </w:tcPr>
                <w:p w14:paraId="1BB6412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r>
                    <w:rPr>
                      <w:rFonts w:hint="default" w:ascii="Times New Roman" w:hAnsi="Times New Roman" w:eastAsia="宋体" w:cs="Times New Roman"/>
                      <w:b/>
                      <w:bCs/>
                      <w:color w:val="auto"/>
                      <w:kern w:val="0"/>
                      <w:sz w:val="21"/>
                      <w:szCs w:val="21"/>
                      <w:vertAlign w:val="baseline"/>
                      <w:lang w:val="en-US" w:eastAsia="zh-CN"/>
                    </w:rPr>
                    <w:t>治理措施</w:t>
                  </w:r>
                </w:p>
              </w:tc>
              <w:tc>
                <w:tcPr>
                  <w:tcW w:w="578" w:type="pct"/>
                  <w:vMerge w:val="restart"/>
                  <w:vAlign w:val="center"/>
                </w:tcPr>
                <w:p w14:paraId="072FCA6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eastAsia" w:ascii="Times New Roman" w:hAnsi="Times New Roman" w:cs="Times New Roman"/>
                      <w:b/>
                      <w:bCs/>
                      <w:color w:val="auto"/>
                      <w:kern w:val="0"/>
                      <w:sz w:val="21"/>
                      <w:szCs w:val="21"/>
                      <w:vertAlign w:val="baseline"/>
                      <w:lang w:val="en-US" w:eastAsia="zh-CN"/>
                    </w:rPr>
                    <w:t>排放</w:t>
                  </w:r>
                  <w:r>
                    <w:rPr>
                      <w:rFonts w:hint="eastAsia" w:ascii="Times New Roman" w:hAnsi="Times New Roman" w:eastAsia="宋体" w:cs="Times New Roman"/>
                      <w:b/>
                      <w:bCs/>
                      <w:color w:val="auto"/>
                      <w:kern w:val="0"/>
                      <w:sz w:val="21"/>
                      <w:szCs w:val="21"/>
                      <w:vertAlign w:val="baseline"/>
                      <w:lang w:val="en-US" w:eastAsia="zh-CN"/>
                    </w:rPr>
                    <w:t>量mg/m</w:t>
                  </w:r>
                  <w:r>
                    <w:rPr>
                      <w:rFonts w:hint="eastAsia" w:ascii="Times New Roman" w:hAnsi="Times New Roman" w:eastAsia="宋体" w:cs="Times New Roman"/>
                      <w:b/>
                      <w:bCs/>
                      <w:color w:val="auto"/>
                      <w:kern w:val="0"/>
                      <w:sz w:val="21"/>
                      <w:szCs w:val="21"/>
                      <w:vertAlign w:val="superscript"/>
                      <w:lang w:val="en-US" w:eastAsia="zh-CN"/>
                    </w:rPr>
                    <w:t>3</w:t>
                  </w:r>
                </w:p>
              </w:tc>
              <w:tc>
                <w:tcPr>
                  <w:tcW w:w="1235" w:type="pct"/>
                  <w:gridSpan w:val="2"/>
                  <w:vAlign w:val="center"/>
                </w:tcPr>
                <w:p w14:paraId="70C1E5A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污染物排放</w:t>
                  </w:r>
                </w:p>
              </w:tc>
            </w:tr>
            <w:tr w14:paraId="07C4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6080BF0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p>
              </w:tc>
              <w:tc>
                <w:tcPr>
                  <w:tcW w:w="495" w:type="pct"/>
                  <w:vMerge w:val="continue"/>
                  <w:vAlign w:val="center"/>
                </w:tcPr>
                <w:p w14:paraId="63ADA58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p>
              </w:tc>
              <w:tc>
                <w:tcPr>
                  <w:tcW w:w="482" w:type="pct"/>
                  <w:vMerge w:val="continue"/>
                  <w:vAlign w:val="center"/>
                </w:tcPr>
                <w:p w14:paraId="402CBAA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p>
              </w:tc>
              <w:tc>
                <w:tcPr>
                  <w:tcW w:w="655" w:type="pct"/>
                  <w:vAlign w:val="center"/>
                </w:tcPr>
                <w:p w14:paraId="06AAB5D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产生浓度</w:t>
                  </w:r>
                </w:p>
                <w:p w14:paraId="5514ED4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mg/L</w:t>
                  </w:r>
                </w:p>
              </w:tc>
              <w:tc>
                <w:tcPr>
                  <w:tcW w:w="673" w:type="pct"/>
                  <w:vAlign w:val="center"/>
                </w:tcPr>
                <w:p w14:paraId="732BEED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产生量</w:t>
                  </w:r>
                </w:p>
                <w:p w14:paraId="3AE392F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t/a</w:t>
                  </w:r>
                </w:p>
              </w:tc>
              <w:tc>
                <w:tcPr>
                  <w:tcW w:w="526" w:type="pct"/>
                  <w:vMerge w:val="continue"/>
                  <w:vAlign w:val="center"/>
                </w:tcPr>
                <w:p w14:paraId="4E01882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vertAlign w:val="baseline"/>
                    </w:rPr>
                  </w:pPr>
                </w:p>
              </w:tc>
              <w:tc>
                <w:tcPr>
                  <w:tcW w:w="578" w:type="pct"/>
                  <w:vMerge w:val="continue"/>
                  <w:shd w:val="clear" w:color="auto" w:fill="auto"/>
                  <w:vAlign w:val="center"/>
                </w:tcPr>
                <w:p w14:paraId="33050F9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p>
              </w:tc>
              <w:tc>
                <w:tcPr>
                  <w:tcW w:w="687" w:type="pct"/>
                  <w:shd w:val="clear" w:color="auto" w:fill="auto"/>
                  <w:vAlign w:val="center"/>
                </w:tcPr>
                <w:p w14:paraId="128F98C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eastAsia" w:ascii="Times New Roman" w:hAnsi="Times New Roman" w:cs="Times New Roman"/>
                      <w:b/>
                      <w:bCs/>
                      <w:color w:val="auto"/>
                      <w:kern w:val="0"/>
                      <w:sz w:val="21"/>
                      <w:szCs w:val="21"/>
                      <w:vertAlign w:val="baseline"/>
                      <w:lang w:val="en-US" w:eastAsia="zh-CN"/>
                    </w:rPr>
                    <w:t>排放</w:t>
                  </w:r>
                  <w:r>
                    <w:rPr>
                      <w:rFonts w:hint="eastAsia" w:ascii="Times New Roman" w:hAnsi="Times New Roman" w:eastAsia="宋体" w:cs="Times New Roman"/>
                      <w:b/>
                      <w:bCs/>
                      <w:color w:val="auto"/>
                      <w:kern w:val="0"/>
                      <w:sz w:val="21"/>
                      <w:szCs w:val="21"/>
                      <w:vertAlign w:val="baseline"/>
                      <w:lang w:val="en-US" w:eastAsia="zh-CN"/>
                    </w:rPr>
                    <w:t>浓度mg/L</w:t>
                  </w:r>
                </w:p>
              </w:tc>
              <w:tc>
                <w:tcPr>
                  <w:tcW w:w="548" w:type="pct"/>
                  <w:shd w:val="clear" w:color="auto" w:fill="auto"/>
                  <w:vAlign w:val="center"/>
                </w:tcPr>
                <w:p w14:paraId="66432FF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bCs/>
                      <w:color w:val="auto"/>
                      <w:kern w:val="0"/>
                      <w:sz w:val="21"/>
                      <w:szCs w:val="21"/>
                      <w:vertAlign w:val="baseline"/>
                      <w:lang w:val="en-US" w:eastAsia="zh-CN"/>
                    </w:rPr>
                  </w:pPr>
                  <w:r>
                    <w:rPr>
                      <w:rFonts w:hint="eastAsia" w:ascii="Times New Roman" w:hAnsi="Times New Roman" w:cs="Times New Roman"/>
                      <w:b/>
                      <w:bCs/>
                      <w:color w:val="auto"/>
                      <w:kern w:val="0"/>
                      <w:sz w:val="21"/>
                      <w:szCs w:val="21"/>
                      <w:vertAlign w:val="baseline"/>
                      <w:lang w:val="en-US" w:eastAsia="zh-CN"/>
                    </w:rPr>
                    <w:t>排放</w:t>
                  </w:r>
                  <w:r>
                    <w:rPr>
                      <w:rFonts w:hint="eastAsia" w:ascii="Times New Roman" w:hAnsi="Times New Roman" w:eastAsia="宋体" w:cs="Times New Roman"/>
                      <w:b/>
                      <w:bCs/>
                      <w:color w:val="auto"/>
                      <w:kern w:val="0"/>
                      <w:sz w:val="21"/>
                      <w:szCs w:val="21"/>
                      <w:vertAlign w:val="baseline"/>
                      <w:lang w:val="en-US" w:eastAsia="zh-CN"/>
                    </w:rPr>
                    <w:t>量</w:t>
                  </w:r>
                </w:p>
                <w:p w14:paraId="42AC146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eastAsia" w:ascii="Times New Roman" w:hAnsi="Times New Roman" w:eastAsia="宋体" w:cs="Times New Roman"/>
                      <w:b/>
                      <w:bCs/>
                      <w:color w:val="auto"/>
                      <w:kern w:val="0"/>
                      <w:sz w:val="21"/>
                      <w:szCs w:val="21"/>
                      <w:vertAlign w:val="baseline"/>
                      <w:lang w:val="en-US" w:eastAsia="zh-CN"/>
                    </w:rPr>
                    <w:t>t/a</w:t>
                  </w:r>
                </w:p>
              </w:tc>
            </w:tr>
            <w:tr w14:paraId="0ED1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restart"/>
                  <w:vAlign w:val="center"/>
                </w:tcPr>
                <w:p w14:paraId="493DE23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生活污水</w:t>
                  </w:r>
                </w:p>
              </w:tc>
              <w:tc>
                <w:tcPr>
                  <w:tcW w:w="495" w:type="pct"/>
                  <w:vAlign w:val="center"/>
                </w:tcPr>
                <w:p w14:paraId="6123743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COD</w:t>
                  </w:r>
                </w:p>
              </w:tc>
              <w:tc>
                <w:tcPr>
                  <w:tcW w:w="482" w:type="pct"/>
                  <w:vMerge w:val="restart"/>
                  <w:vAlign w:val="center"/>
                </w:tcPr>
                <w:p w14:paraId="5ADFA09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8.64</w:t>
                  </w:r>
                </w:p>
              </w:tc>
              <w:tc>
                <w:tcPr>
                  <w:tcW w:w="655" w:type="pct"/>
                  <w:vAlign w:val="center"/>
                </w:tcPr>
                <w:p w14:paraId="3FEC73B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300</w:t>
                  </w:r>
                </w:p>
              </w:tc>
              <w:tc>
                <w:tcPr>
                  <w:tcW w:w="673" w:type="pct"/>
                  <w:vAlign w:val="center"/>
                </w:tcPr>
                <w:p w14:paraId="627B4C5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0.0026</w:t>
                  </w:r>
                </w:p>
              </w:tc>
              <w:tc>
                <w:tcPr>
                  <w:tcW w:w="526" w:type="pct"/>
                  <w:vMerge w:val="restart"/>
                  <w:vAlign w:val="center"/>
                </w:tcPr>
                <w:p w14:paraId="5E3A339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化粪池沉淀</w:t>
                  </w:r>
                </w:p>
              </w:tc>
              <w:tc>
                <w:tcPr>
                  <w:tcW w:w="578" w:type="pct"/>
                  <w:vMerge w:val="restart"/>
                  <w:shd w:val="clear" w:color="auto" w:fill="auto"/>
                  <w:vAlign w:val="center"/>
                </w:tcPr>
                <w:p w14:paraId="7006427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kern w:val="0"/>
                      <w:sz w:val="21"/>
                      <w:szCs w:val="21"/>
                      <w:vertAlign w:val="baseline"/>
                      <w:lang w:val="en-US" w:eastAsia="zh-CN"/>
                    </w:rPr>
                    <w:t>8.64</w:t>
                  </w:r>
                </w:p>
              </w:tc>
              <w:tc>
                <w:tcPr>
                  <w:tcW w:w="687" w:type="pct"/>
                  <w:vAlign w:val="center"/>
                </w:tcPr>
                <w:p w14:paraId="185C605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200</w:t>
                  </w:r>
                </w:p>
              </w:tc>
              <w:tc>
                <w:tcPr>
                  <w:tcW w:w="548" w:type="pct"/>
                  <w:vAlign w:val="center"/>
                </w:tcPr>
                <w:p w14:paraId="4C0FDB9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0.0017</w:t>
                  </w:r>
                </w:p>
              </w:tc>
            </w:tr>
            <w:tr w14:paraId="2A69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46448A2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495" w:type="pct"/>
                  <w:vAlign w:val="center"/>
                </w:tcPr>
                <w:p w14:paraId="419B423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subscript"/>
                      <w:lang w:val="en-US" w:eastAsia="zh-CN"/>
                    </w:rPr>
                  </w:pPr>
                  <w:r>
                    <w:rPr>
                      <w:rFonts w:hint="eastAsia" w:ascii="Times New Roman" w:hAnsi="Times New Roman" w:eastAsia="宋体" w:cs="Times New Roman"/>
                      <w:color w:val="auto"/>
                      <w:kern w:val="0"/>
                      <w:sz w:val="21"/>
                      <w:szCs w:val="21"/>
                      <w:vertAlign w:val="baseline"/>
                      <w:lang w:val="en-US" w:eastAsia="zh-CN"/>
                    </w:rPr>
                    <w:t>BOD</w:t>
                  </w:r>
                  <w:r>
                    <w:rPr>
                      <w:rFonts w:hint="eastAsia" w:ascii="Times New Roman" w:hAnsi="Times New Roman" w:eastAsia="宋体" w:cs="Times New Roman"/>
                      <w:color w:val="auto"/>
                      <w:kern w:val="0"/>
                      <w:sz w:val="21"/>
                      <w:szCs w:val="21"/>
                      <w:vertAlign w:val="subscript"/>
                      <w:lang w:val="en-US" w:eastAsia="zh-CN"/>
                    </w:rPr>
                    <w:t>5</w:t>
                  </w:r>
                </w:p>
              </w:tc>
              <w:tc>
                <w:tcPr>
                  <w:tcW w:w="482" w:type="pct"/>
                  <w:vMerge w:val="continue"/>
                  <w:vAlign w:val="center"/>
                </w:tcPr>
                <w:p w14:paraId="4478BC3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p>
              </w:tc>
              <w:tc>
                <w:tcPr>
                  <w:tcW w:w="655" w:type="pct"/>
                  <w:vAlign w:val="center"/>
                </w:tcPr>
                <w:p w14:paraId="7372155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150</w:t>
                  </w:r>
                </w:p>
              </w:tc>
              <w:tc>
                <w:tcPr>
                  <w:tcW w:w="673" w:type="pct"/>
                  <w:vAlign w:val="center"/>
                </w:tcPr>
                <w:p w14:paraId="3444079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0.0013</w:t>
                  </w:r>
                </w:p>
              </w:tc>
              <w:tc>
                <w:tcPr>
                  <w:tcW w:w="526" w:type="pct"/>
                  <w:vMerge w:val="continue"/>
                  <w:vAlign w:val="center"/>
                </w:tcPr>
                <w:p w14:paraId="0CDDBB6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578" w:type="pct"/>
                  <w:vMerge w:val="continue"/>
                  <w:vAlign w:val="center"/>
                </w:tcPr>
                <w:p w14:paraId="138BA85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687" w:type="pct"/>
                  <w:vAlign w:val="center"/>
                </w:tcPr>
                <w:p w14:paraId="617E12D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100</w:t>
                  </w:r>
                </w:p>
              </w:tc>
              <w:tc>
                <w:tcPr>
                  <w:tcW w:w="548" w:type="pct"/>
                  <w:vAlign w:val="center"/>
                </w:tcPr>
                <w:p w14:paraId="01D2DA1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0.0007</w:t>
                  </w:r>
                </w:p>
              </w:tc>
            </w:tr>
            <w:tr w14:paraId="7E66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5843F01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495" w:type="pct"/>
                  <w:vAlign w:val="center"/>
                </w:tcPr>
                <w:p w14:paraId="799FE1A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SS</w:t>
                  </w:r>
                </w:p>
              </w:tc>
              <w:tc>
                <w:tcPr>
                  <w:tcW w:w="482" w:type="pct"/>
                  <w:vMerge w:val="continue"/>
                  <w:vAlign w:val="center"/>
                </w:tcPr>
                <w:p w14:paraId="3C11EF4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p>
              </w:tc>
              <w:tc>
                <w:tcPr>
                  <w:tcW w:w="655" w:type="pct"/>
                  <w:vAlign w:val="center"/>
                </w:tcPr>
                <w:p w14:paraId="2514AF0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200</w:t>
                  </w:r>
                </w:p>
              </w:tc>
              <w:tc>
                <w:tcPr>
                  <w:tcW w:w="673" w:type="pct"/>
                  <w:vAlign w:val="center"/>
                </w:tcPr>
                <w:p w14:paraId="6ED8D2F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0.0017</w:t>
                  </w:r>
                </w:p>
              </w:tc>
              <w:tc>
                <w:tcPr>
                  <w:tcW w:w="526" w:type="pct"/>
                  <w:vMerge w:val="continue"/>
                  <w:vAlign w:val="center"/>
                </w:tcPr>
                <w:p w14:paraId="1CA01A2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578" w:type="pct"/>
                  <w:vMerge w:val="continue"/>
                  <w:vAlign w:val="center"/>
                </w:tcPr>
                <w:p w14:paraId="35D0533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687" w:type="pct"/>
                  <w:vAlign w:val="center"/>
                </w:tcPr>
                <w:p w14:paraId="5F87A16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150</w:t>
                  </w:r>
                </w:p>
              </w:tc>
              <w:tc>
                <w:tcPr>
                  <w:tcW w:w="548" w:type="pct"/>
                  <w:vAlign w:val="center"/>
                </w:tcPr>
                <w:p w14:paraId="7BA6909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0.0013</w:t>
                  </w:r>
                </w:p>
              </w:tc>
            </w:tr>
            <w:tr w14:paraId="3CC2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18F8859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495" w:type="pct"/>
                  <w:vAlign w:val="center"/>
                </w:tcPr>
                <w:p w14:paraId="441BC7F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氨氮</w:t>
                  </w:r>
                </w:p>
              </w:tc>
              <w:tc>
                <w:tcPr>
                  <w:tcW w:w="482" w:type="pct"/>
                  <w:vMerge w:val="continue"/>
                  <w:vAlign w:val="center"/>
                </w:tcPr>
                <w:p w14:paraId="58F076F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p>
              </w:tc>
              <w:tc>
                <w:tcPr>
                  <w:tcW w:w="655" w:type="pct"/>
                  <w:vAlign w:val="center"/>
                </w:tcPr>
                <w:p w14:paraId="538B8F3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30</w:t>
                  </w:r>
                </w:p>
              </w:tc>
              <w:tc>
                <w:tcPr>
                  <w:tcW w:w="673" w:type="pct"/>
                  <w:vAlign w:val="center"/>
                </w:tcPr>
                <w:p w14:paraId="13B87B6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0.0003</w:t>
                  </w:r>
                </w:p>
              </w:tc>
              <w:tc>
                <w:tcPr>
                  <w:tcW w:w="526" w:type="pct"/>
                  <w:vMerge w:val="continue"/>
                  <w:vAlign w:val="center"/>
                </w:tcPr>
                <w:p w14:paraId="1229889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578" w:type="pct"/>
                  <w:vMerge w:val="continue"/>
                  <w:vAlign w:val="center"/>
                </w:tcPr>
                <w:p w14:paraId="5EF961F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687" w:type="pct"/>
                  <w:vAlign w:val="center"/>
                </w:tcPr>
                <w:p w14:paraId="04A7C93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25</w:t>
                  </w:r>
                </w:p>
              </w:tc>
              <w:tc>
                <w:tcPr>
                  <w:tcW w:w="548" w:type="pct"/>
                  <w:vAlign w:val="center"/>
                </w:tcPr>
                <w:p w14:paraId="18E029A1">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0.0002</w:t>
                  </w:r>
                </w:p>
              </w:tc>
            </w:tr>
            <w:tr w14:paraId="0782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464576B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锅炉废水</w:t>
                  </w:r>
                </w:p>
              </w:tc>
              <w:tc>
                <w:tcPr>
                  <w:tcW w:w="495" w:type="pct"/>
                  <w:vAlign w:val="center"/>
                </w:tcPr>
                <w:p w14:paraId="6A26B5E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r>
                    <w:rPr>
                      <w:rFonts w:hint="eastAsia" w:ascii="Times New Roman" w:hAnsi="Times New Roman" w:eastAsia="宋体" w:cs="Times New Roman"/>
                      <w:color w:val="auto"/>
                      <w:kern w:val="0"/>
                      <w:sz w:val="21"/>
                      <w:szCs w:val="21"/>
                      <w:vertAlign w:val="baseline"/>
                      <w:lang w:val="en-US" w:eastAsia="zh-CN"/>
                    </w:rPr>
                    <w:t>COD</w:t>
                  </w:r>
                </w:p>
              </w:tc>
              <w:tc>
                <w:tcPr>
                  <w:tcW w:w="482" w:type="pct"/>
                  <w:vAlign w:val="center"/>
                </w:tcPr>
                <w:p w14:paraId="284B050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cs="Times New Roman"/>
                      <w:color w:val="auto"/>
                      <w:kern w:val="0"/>
                      <w:sz w:val="21"/>
                      <w:szCs w:val="21"/>
                      <w:vertAlign w:val="baseline"/>
                      <w:lang w:val="en-US" w:eastAsia="zh-CN"/>
                    </w:rPr>
                    <w:t>/</w:t>
                  </w:r>
                </w:p>
              </w:tc>
              <w:tc>
                <w:tcPr>
                  <w:tcW w:w="655" w:type="pct"/>
                  <w:vAlign w:val="center"/>
                </w:tcPr>
                <w:p w14:paraId="3B320009">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w:t>
                  </w:r>
                </w:p>
              </w:tc>
              <w:tc>
                <w:tcPr>
                  <w:tcW w:w="673" w:type="pct"/>
                  <w:vAlign w:val="center"/>
                </w:tcPr>
                <w:p w14:paraId="6380EE16">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r>
                    <w:rPr>
                      <w:rFonts w:hint="eastAsia" w:ascii="Times New Roman" w:hAnsi="Times New Roman" w:eastAsia="宋体" w:cs="Times New Roman"/>
                      <w:color w:val="auto"/>
                      <w:kern w:val="0"/>
                      <w:sz w:val="21"/>
                      <w:szCs w:val="21"/>
                      <w:vertAlign w:val="baseline"/>
                      <w:lang w:val="en-US" w:eastAsia="zh-CN"/>
                    </w:rPr>
                    <w:t>0.158</w:t>
                  </w:r>
                </w:p>
              </w:tc>
              <w:tc>
                <w:tcPr>
                  <w:tcW w:w="526" w:type="pct"/>
                  <w:vMerge w:val="continue"/>
                  <w:vAlign w:val="center"/>
                </w:tcPr>
                <w:p w14:paraId="2492D3E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p>
              </w:tc>
              <w:tc>
                <w:tcPr>
                  <w:tcW w:w="578" w:type="pct"/>
                  <w:vAlign w:val="center"/>
                </w:tcPr>
                <w:p w14:paraId="7BBE911F">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w:t>
                  </w:r>
                </w:p>
              </w:tc>
              <w:tc>
                <w:tcPr>
                  <w:tcW w:w="687" w:type="pct"/>
                  <w:vAlign w:val="center"/>
                </w:tcPr>
                <w:p w14:paraId="3143E17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w:t>
                  </w:r>
                </w:p>
              </w:tc>
              <w:tc>
                <w:tcPr>
                  <w:tcW w:w="548" w:type="pct"/>
                  <w:vAlign w:val="center"/>
                </w:tcPr>
                <w:p w14:paraId="3FDD632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rPr>
                  </w:pPr>
                  <w:r>
                    <w:rPr>
                      <w:rFonts w:hint="eastAsia" w:ascii="Times New Roman" w:hAnsi="Times New Roman" w:eastAsia="宋体" w:cs="Times New Roman"/>
                      <w:color w:val="auto"/>
                      <w:kern w:val="0"/>
                      <w:sz w:val="21"/>
                      <w:szCs w:val="21"/>
                      <w:vertAlign w:val="baseline"/>
                      <w:lang w:val="en-US" w:eastAsia="zh-CN"/>
                    </w:rPr>
                    <w:t>0.158</w:t>
                  </w:r>
                </w:p>
              </w:tc>
            </w:tr>
          </w:tbl>
          <w:p w14:paraId="0B6498B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rPr>
            </w:pPr>
          </w:p>
          <w:p w14:paraId="5F5F8494">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480" w:firstLineChars="200"/>
              <w:jc w:val="both"/>
              <w:textAlignment w:val="auto"/>
              <w:rPr>
                <w:rFonts w:hint="eastAsia" w:ascii="Times New Roman" w:hAnsi="Times New Roman" w:cs="宋体"/>
                <w:color w:val="auto"/>
                <w:kern w:val="0"/>
                <w:sz w:val="24"/>
                <w:szCs w:val="21"/>
                <w:lang w:val="en-US" w:eastAsia="zh-CN"/>
              </w:rPr>
            </w:pPr>
            <w:r>
              <w:rPr>
                <w:rFonts w:hint="eastAsia" w:ascii="Times New Roman" w:hAnsi="Times New Roman" w:eastAsia="宋体" w:cs="宋体"/>
                <w:color w:val="auto"/>
                <w:kern w:val="0"/>
                <w:sz w:val="24"/>
                <w:szCs w:val="21"/>
                <w:lang w:val="en-US" w:eastAsia="zh-CN" w:bidi="ar-SA"/>
              </w:rPr>
              <w:t>（2）</w:t>
            </w:r>
            <w:r>
              <w:rPr>
                <w:rFonts w:hint="eastAsia" w:ascii="Times New Roman" w:hAnsi="Times New Roman" w:cs="宋体"/>
                <w:color w:val="auto"/>
                <w:kern w:val="0"/>
                <w:sz w:val="24"/>
                <w:szCs w:val="21"/>
                <w:lang w:val="en-US" w:eastAsia="zh-CN"/>
              </w:rPr>
              <w:t>废水监测计划</w:t>
            </w:r>
          </w:p>
          <w:p w14:paraId="2EDB4CE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lang w:val="en-US" w:eastAsia="zh-CN"/>
              </w:rPr>
            </w:pPr>
            <w:r>
              <w:rPr>
                <w:rFonts w:hint="default" w:ascii="Times New Roman" w:hAnsi="Times New Roman" w:eastAsia="宋体" w:cs="宋体"/>
                <w:color w:val="auto"/>
                <w:kern w:val="0"/>
                <w:sz w:val="24"/>
                <w:szCs w:val="21"/>
                <w:lang w:val="en-US" w:eastAsia="zh-CN"/>
              </w:rPr>
              <w:t>项目营运期间生产废水主要为软水制备废水</w:t>
            </w:r>
            <w:r>
              <w:rPr>
                <w:rFonts w:hint="eastAsia" w:ascii="Times New Roman" w:hAnsi="Times New Roman" w:cs="宋体"/>
                <w:color w:val="auto"/>
                <w:kern w:val="0"/>
                <w:sz w:val="24"/>
                <w:szCs w:val="21"/>
                <w:lang w:val="en-US" w:eastAsia="zh-CN"/>
              </w:rPr>
              <w:t>和</w:t>
            </w:r>
            <w:r>
              <w:rPr>
                <w:rFonts w:hint="default" w:ascii="Times New Roman" w:hAnsi="Times New Roman" w:eastAsia="宋体" w:cs="宋体"/>
                <w:color w:val="auto"/>
                <w:kern w:val="0"/>
                <w:sz w:val="24"/>
                <w:szCs w:val="21"/>
                <w:lang w:val="en-US" w:eastAsia="zh-CN"/>
              </w:rPr>
              <w:t>锅炉污水，统一经排污口进入污水管网，污水监测地点位及监测项目见下表</w:t>
            </w:r>
            <w:r>
              <w:rPr>
                <w:rFonts w:hint="eastAsia" w:ascii="Times New Roman" w:hAnsi="Times New Roman" w:cs="宋体"/>
                <w:color w:val="auto"/>
                <w:kern w:val="0"/>
                <w:sz w:val="24"/>
                <w:szCs w:val="21"/>
                <w:lang w:val="en-US" w:eastAsia="zh-CN"/>
              </w:rPr>
              <w:t>：</w:t>
            </w:r>
          </w:p>
          <w:p w14:paraId="491219B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宋体"/>
                <w:color w:val="auto"/>
                <w:kern w:val="0"/>
                <w:sz w:val="24"/>
                <w:szCs w:val="21"/>
                <w:lang w:val="en-US" w:eastAsia="zh-CN"/>
              </w:rPr>
            </w:pPr>
            <w:r>
              <w:rPr>
                <w:rFonts w:hint="eastAsia" w:ascii="Times New Roman" w:hAnsi="Times New Roman" w:eastAsia="宋体" w:cs="宋体"/>
                <w:b/>
                <w:bCs/>
                <w:color w:val="auto"/>
                <w:sz w:val="21"/>
                <w:szCs w:val="21"/>
                <w:lang w:val="en-US" w:eastAsia="zh-CN"/>
              </w:rPr>
              <w:t>表4-</w:t>
            </w:r>
            <w:r>
              <w:rPr>
                <w:rFonts w:hint="eastAsia" w:ascii="Times New Roman" w:hAnsi="Times New Roman" w:cs="宋体"/>
                <w:b/>
                <w:bCs/>
                <w:color w:val="auto"/>
                <w:sz w:val="21"/>
                <w:szCs w:val="21"/>
                <w:lang w:val="en-US" w:eastAsia="zh-CN"/>
              </w:rPr>
              <w:t>4</w:t>
            </w:r>
            <w:r>
              <w:rPr>
                <w:rFonts w:hint="eastAsia" w:ascii="Times New Roman" w:hAnsi="Times New Roman" w:eastAsia="宋体" w:cs="宋体"/>
                <w:b/>
                <w:bCs/>
                <w:color w:val="auto"/>
                <w:sz w:val="21"/>
                <w:szCs w:val="21"/>
                <w:lang w:val="en-US" w:eastAsia="zh-CN"/>
              </w:rPr>
              <w:t xml:space="preserve"> 项目噪声源强一览表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2290"/>
              <w:gridCol w:w="1530"/>
              <w:gridCol w:w="3481"/>
            </w:tblGrid>
            <w:tr w14:paraId="7A31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14:paraId="7B50D30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监测项目</w:t>
                  </w:r>
                </w:p>
              </w:tc>
              <w:tc>
                <w:tcPr>
                  <w:tcW w:w="2290" w:type="dxa"/>
                  <w:vAlign w:val="center"/>
                </w:tcPr>
                <w:p w14:paraId="13F16F13">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监测点位</w:t>
                  </w:r>
                </w:p>
              </w:tc>
              <w:tc>
                <w:tcPr>
                  <w:tcW w:w="1530" w:type="dxa"/>
                  <w:vAlign w:val="center"/>
                </w:tcPr>
                <w:p w14:paraId="15E46F0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监测频次</w:t>
                  </w:r>
                </w:p>
              </w:tc>
              <w:tc>
                <w:tcPr>
                  <w:tcW w:w="3481" w:type="dxa"/>
                  <w:vAlign w:val="center"/>
                </w:tcPr>
                <w:p w14:paraId="57F8F4F7">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执行标准</w:t>
                  </w:r>
                </w:p>
              </w:tc>
            </w:tr>
            <w:tr w14:paraId="7E8E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954" w:type="dxa"/>
                  <w:vAlign w:val="center"/>
                </w:tcPr>
                <w:p w14:paraId="5AE16CD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0"/>
                      <w:sz w:val="21"/>
                      <w:szCs w:val="21"/>
                      <w:vertAlign w:val="baseline"/>
                      <w:lang w:val="en-US"/>
                    </w:rPr>
                  </w:pPr>
                  <w:r>
                    <w:rPr>
                      <w:rFonts w:hint="eastAsia" w:ascii="Times New Roman" w:hAnsi="Times New Roman" w:eastAsia="宋体" w:cs="Times New Roman"/>
                      <w:color w:val="auto"/>
                      <w:kern w:val="0"/>
                      <w:sz w:val="21"/>
                      <w:szCs w:val="21"/>
                      <w:vertAlign w:val="baseline"/>
                      <w:lang w:val="en-US" w:eastAsia="zh-CN"/>
                    </w:rPr>
                    <w:t>COD</w:t>
                  </w:r>
                  <w:r>
                    <w:rPr>
                      <w:rFonts w:hint="eastAsia" w:ascii="Times New Roman" w:hAnsi="Times New Roman" w:cs="Times New Roman"/>
                      <w:color w:val="auto"/>
                      <w:kern w:val="0"/>
                      <w:sz w:val="21"/>
                      <w:szCs w:val="21"/>
                      <w:vertAlign w:val="baseline"/>
                      <w:lang w:val="en-US" w:eastAsia="zh-CN"/>
                    </w:rPr>
                    <w:t>、</w:t>
                  </w:r>
                  <w:r>
                    <w:rPr>
                      <w:rFonts w:hint="eastAsia" w:ascii="Times New Roman" w:hAnsi="Times New Roman" w:eastAsia="宋体" w:cs="Times New Roman"/>
                      <w:color w:val="auto"/>
                      <w:kern w:val="0"/>
                      <w:sz w:val="21"/>
                      <w:szCs w:val="21"/>
                      <w:vertAlign w:val="baseline"/>
                      <w:lang w:val="en-US" w:eastAsia="zh-CN"/>
                    </w:rPr>
                    <w:t>BOD</w:t>
                  </w:r>
                  <w:r>
                    <w:rPr>
                      <w:rFonts w:hint="eastAsia" w:ascii="Times New Roman" w:hAnsi="Times New Roman" w:eastAsia="宋体" w:cs="Times New Roman"/>
                      <w:color w:val="auto"/>
                      <w:kern w:val="0"/>
                      <w:sz w:val="21"/>
                      <w:szCs w:val="21"/>
                      <w:vertAlign w:val="subscript"/>
                      <w:lang w:val="en-US" w:eastAsia="zh-CN"/>
                    </w:rPr>
                    <w:t>5</w:t>
                  </w:r>
                  <w:r>
                    <w:rPr>
                      <w:rFonts w:hint="eastAsia" w:ascii="Times New Roman" w:hAnsi="Times New Roman" w:cs="Times New Roman"/>
                      <w:color w:val="auto"/>
                      <w:kern w:val="0"/>
                      <w:sz w:val="21"/>
                      <w:szCs w:val="21"/>
                      <w:vertAlign w:val="subscript"/>
                      <w:lang w:val="en-US" w:eastAsia="zh-CN" w:bidi="ar-SA"/>
                    </w:rPr>
                    <w:t>、</w:t>
                  </w:r>
                  <w:r>
                    <w:rPr>
                      <w:rFonts w:hint="eastAsia" w:ascii="Times New Roman" w:hAnsi="Times New Roman" w:eastAsia="宋体" w:cs="Times New Roman"/>
                      <w:color w:val="auto"/>
                      <w:kern w:val="0"/>
                      <w:sz w:val="21"/>
                      <w:szCs w:val="21"/>
                      <w:vertAlign w:val="baseline"/>
                      <w:lang w:val="en-US" w:eastAsia="zh-CN"/>
                    </w:rPr>
                    <w:t>SS</w:t>
                  </w:r>
                  <w:r>
                    <w:rPr>
                      <w:rFonts w:hint="eastAsia" w:ascii="Times New Roman" w:hAnsi="Times New Roman" w:cs="Times New Roman"/>
                      <w:color w:val="auto"/>
                      <w:kern w:val="0"/>
                      <w:sz w:val="21"/>
                      <w:szCs w:val="21"/>
                      <w:vertAlign w:val="baseline"/>
                      <w:lang w:val="en-US" w:eastAsia="zh-CN" w:bidi="ar-SA"/>
                    </w:rPr>
                    <w:t>、</w:t>
                  </w:r>
                  <w:r>
                    <w:rPr>
                      <w:rFonts w:hint="eastAsia" w:ascii="Times New Roman" w:hAnsi="Times New Roman" w:eastAsia="宋体" w:cs="Times New Roman"/>
                      <w:color w:val="auto"/>
                      <w:kern w:val="0"/>
                      <w:sz w:val="21"/>
                      <w:szCs w:val="21"/>
                      <w:vertAlign w:val="baseline"/>
                      <w:lang w:val="en-US" w:eastAsia="zh-CN"/>
                    </w:rPr>
                    <w:t>氨氮</w:t>
                  </w:r>
                  <w:r>
                    <w:rPr>
                      <w:rFonts w:hint="eastAsia" w:ascii="Times New Roman" w:hAnsi="Times New Roman" w:cs="Times New Roman"/>
                      <w:color w:val="auto"/>
                      <w:kern w:val="0"/>
                      <w:sz w:val="21"/>
                      <w:szCs w:val="21"/>
                      <w:vertAlign w:val="baseline"/>
                      <w:lang w:val="en-US" w:eastAsia="zh-CN"/>
                    </w:rPr>
                    <w:t>等</w:t>
                  </w:r>
                </w:p>
              </w:tc>
              <w:tc>
                <w:tcPr>
                  <w:tcW w:w="2290" w:type="dxa"/>
                  <w:vAlign w:val="center"/>
                </w:tcPr>
                <w:p w14:paraId="7A1DF24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锅炉废水排污口</w:t>
                  </w:r>
                </w:p>
              </w:tc>
              <w:tc>
                <w:tcPr>
                  <w:tcW w:w="1530" w:type="dxa"/>
                  <w:vAlign w:val="center"/>
                </w:tcPr>
                <w:p w14:paraId="1DA61F5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1次/年</w:t>
                  </w:r>
                </w:p>
              </w:tc>
              <w:tc>
                <w:tcPr>
                  <w:tcW w:w="3481" w:type="dxa"/>
                  <w:vAlign w:val="center"/>
                </w:tcPr>
                <w:p w14:paraId="7DF79AB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kern w:val="0"/>
                      <w:sz w:val="21"/>
                      <w:szCs w:val="21"/>
                      <w:vertAlign w:val="baseline"/>
                    </w:rPr>
                  </w:pPr>
                  <w:r>
                    <w:rPr>
                      <w:rFonts w:hint="default" w:ascii="Times New Roman" w:hAnsi="Times New Roman" w:eastAsia="宋体" w:cs="Times New Roman"/>
                      <w:color w:val="auto"/>
                      <w:kern w:val="0"/>
                      <w:sz w:val="21"/>
                      <w:szCs w:val="21"/>
                      <w:vertAlign w:val="baseline"/>
                    </w:rPr>
                    <w:t>《污水综合排放标准》(GB8978-1996)三级标准及《污水排入城镇下水道水质标准》(GB/T31962-2015)B 级标准</w:t>
                  </w:r>
                </w:p>
              </w:tc>
            </w:tr>
          </w:tbl>
          <w:p w14:paraId="2FAC34FD">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p>
          <w:p w14:paraId="66FC8470">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rPr>
              <w:t>3、运营期噪声环境影响和保护措施</w:t>
            </w:r>
          </w:p>
          <w:p w14:paraId="55A65A7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color w:val="auto"/>
                <w:kern w:val="0"/>
                <w:sz w:val="24"/>
                <w:szCs w:val="21"/>
                <w:lang w:val="en-US" w:eastAsia="zh-CN"/>
              </w:rPr>
            </w:pP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1</w:t>
            </w:r>
            <w:r>
              <w:rPr>
                <w:rFonts w:hint="eastAsia" w:ascii="Times New Roman" w:cs="宋体"/>
                <w:color w:val="auto"/>
                <w:kern w:val="0"/>
                <w:sz w:val="24"/>
                <w:szCs w:val="21"/>
                <w:lang w:eastAsia="zh-CN"/>
              </w:rPr>
              <w:t>）</w:t>
            </w:r>
            <w:r>
              <w:rPr>
                <w:rFonts w:hint="eastAsia" w:ascii="Times New Roman" w:cs="宋体"/>
                <w:color w:val="auto"/>
                <w:kern w:val="0"/>
                <w:sz w:val="24"/>
                <w:szCs w:val="21"/>
                <w:lang w:val="en-US" w:eastAsia="zh-CN"/>
              </w:rPr>
              <w:t>噪声源</w:t>
            </w:r>
          </w:p>
          <w:p w14:paraId="56376AEC">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rPr>
              <w:t>项目噪声源主要是泵类等机械设备，具体源强见表</w:t>
            </w:r>
            <w:r>
              <w:rPr>
                <w:rFonts w:hint="eastAsia" w:ascii="Times New Roman" w:hAnsi="Times New Roman" w:eastAsia="宋体" w:cs="宋体"/>
                <w:color w:val="auto"/>
                <w:kern w:val="0"/>
                <w:sz w:val="24"/>
                <w:szCs w:val="21"/>
                <w:lang w:val="en-US" w:eastAsia="zh-CN"/>
              </w:rPr>
              <w:t>4-5</w:t>
            </w:r>
            <w:r>
              <w:rPr>
                <w:rFonts w:hint="eastAsia" w:ascii="Times New Roman" w:hAnsi="Times New Roman" w:eastAsia="宋体" w:cs="宋体"/>
                <w:color w:val="auto"/>
                <w:kern w:val="0"/>
                <w:sz w:val="24"/>
                <w:szCs w:val="21"/>
              </w:rPr>
              <w:t>。</w:t>
            </w:r>
          </w:p>
          <w:p w14:paraId="1CDA6293">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表4-5 项目噪声源强一览表</w:t>
            </w:r>
          </w:p>
          <w:tbl>
            <w:tblPr>
              <w:tblStyle w:val="5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9"/>
              <w:gridCol w:w="2818"/>
              <w:gridCol w:w="1947"/>
              <w:gridCol w:w="1795"/>
              <w:gridCol w:w="1689"/>
            </w:tblGrid>
            <w:tr w14:paraId="782A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40" w:type="pct"/>
                  <w:tcBorders>
                    <w:top w:val="single" w:color="000000" w:sz="6" w:space="0"/>
                    <w:bottom w:val="single" w:color="000000" w:sz="6" w:space="0"/>
                    <w:right w:val="single" w:color="000000" w:sz="6" w:space="0"/>
                  </w:tcBorders>
                  <w:noWrap w:val="0"/>
                  <w:vAlign w:val="center"/>
                </w:tcPr>
                <w:p w14:paraId="5EE7EACF">
                  <w:pPr>
                    <w:pStyle w:val="54"/>
                    <w:spacing w:before="55" w:line="222" w:lineRule="auto"/>
                    <w:ind w:left="253"/>
                    <w:jc w:val="center"/>
                    <w:rPr>
                      <w:b/>
                      <w:bCs/>
                    </w:rPr>
                  </w:pPr>
                  <w:r>
                    <w:rPr>
                      <w:b/>
                      <w:bCs/>
                      <w:spacing w:val="-2"/>
                    </w:rPr>
                    <w:t>序号</w:t>
                  </w:r>
                </w:p>
              </w:tc>
              <w:tc>
                <w:tcPr>
                  <w:tcW w:w="1523" w:type="pct"/>
                  <w:tcBorders>
                    <w:top w:val="single" w:color="000000" w:sz="6" w:space="0"/>
                    <w:left w:val="single" w:color="000000" w:sz="6" w:space="0"/>
                    <w:bottom w:val="single" w:color="000000" w:sz="6" w:space="0"/>
                    <w:right w:val="single" w:color="000000" w:sz="6" w:space="0"/>
                  </w:tcBorders>
                  <w:noWrap w:val="0"/>
                  <w:vAlign w:val="center"/>
                </w:tcPr>
                <w:p w14:paraId="06B93777">
                  <w:pPr>
                    <w:pStyle w:val="54"/>
                    <w:spacing w:before="55" w:line="221" w:lineRule="auto"/>
                    <w:jc w:val="center"/>
                    <w:rPr>
                      <w:b/>
                      <w:bCs/>
                    </w:rPr>
                  </w:pPr>
                  <w:r>
                    <w:rPr>
                      <w:b/>
                      <w:bCs/>
                      <w:spacing w:val="-3"/>
                    </w:rPr>
                    <w:t>声源名称</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20236534">
                  <w:pPr>
                    <w:pStyle w:val="54"/>
                    <w:spacing w:before="54" w:line="227" w:lineRule="auto"/>
                    <w:ind w:left="129"/>
                    <w:jc w:val="center"/>
                    <w:rPr>
                      <w:b/>
                      <w:bCs/>
                    </w:rPr>
                  </w:pPr>
                  <w:r>
                    <w:rPr>
                      <w:b/>
                      <w:bCs/>
                      <w:spacing w:val="-2"/>
                    </w:rPr>
                    <w:t>数量（台</w:t>
                  </w:r>
                  <w:r>
                    <w:rPr>
                      <w:rFonts w:ascii="Times New Roman" w:hAnsi="Times New Roman" w:eastAsia="Times New Roman" w:cs="Times New Roman"/>
                      <w:b/>
                      <w:bCs/>
                      <w:spacing w:val="-2"/>
                    </w:rPr>
                    <w:t>/</w:t>
                  </w:r>
                  <w:r>
                    <w:rPr>
                      <w:b/>
                      <w:bCs/>
                      <w:spacing w:val="-2"/>
                    </w:rPr>
                    <w:t>辆</w:t>
                  </w:r>
                  <w:r>
                    <w:rPr>
                      <w:rFonts w:ascii="Times New Roman" w:hAnsi="Times New Roman" w:eastAsia="Times New Roman" w:cs="Times New Roman"/>
                      <w:b/>
                      <w:bCs/>
                      <w:spacing w:val="-2"/>
                    </w:rPr>
                    <w:t>/</w:t>
                  </w:r>
                  <w:r>
                    <w:rPr>
                      <w:b/>
                      <w:bCs/>
                      <w:spacing w:val="-2"/>
                    </w:rPr>
                    <w:t>套）</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68CFB655">
                  <w:pPr>
                    <w:pStyle w:val="54"/>
                    <w:spacing w:before="54" w:line="221" w:lineRule="auto"/>
                    <w:ind w:left="433"/>
                    <w:jc w:val="both"/>
                    <w:rPr>
                      <w:b/>
                      <w:bCs/>
                    </w:rPr>
                  </w:pPr>
                  <w:r>
                    <w:rPr>
                      <w:b/>
                      <w:bCs/>
                      <w:spacing w:val="-2"/>
                    </w:rPr>
                    <w:t>运行状况</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3B695A7D">
                  <w:pPr>
                    <w:pStyle w:val="54"/>
                    <w:spacing w:before="54" w:line="214" w:lineRule="auto"/>
                    <w:ind w:left="303"/>
                    <w:jc w:val="both"/>
                    <w:rPr>
                      <w:rFonts w:hint="eastAsia" w:ascii="Times New Roman" w:hAnsi="Times New Roman" w:eastAsia="宋体" w:cs="Times New Roman"/>
                      <w:b/>
                      <w:bCs/>
                      <w:lang w:eastAsia="zh-CN"/>
                    </w:rPr>
                  </w:pPr>
                  <w:r>
                    <w:rPr>
                      <w:b/>
                      <w:bCs/>
                      <w:spacing w:val="-3"/>
                    </w:rPr>
                    <w:t>声级</w:t>
                  </w:r>
                  <w:r>
                    <w:rPr>
                      <w:rFonts w:ascii="Times New Roman" w:hAnsi="Times New Roman" w:eastAsia="Times New Roman" w:cs="Times New Roman"/>
                      <w:b/>
                      <w:bCs/>
                      <w:spacing w:val="-3"/>
                    </w:rPr>
                    <w:t>dB</w:t>
                  </w:r>
                  <w:r>
                    <w:rPr>
                      <w:rFonts w:hint="eastAsia" w:ascii="Times New Roman" w:hAnsi="Times New Roman" w:cs="Times New Roman"/>
                      <w:b/>
                      <w:bCs/>
                      <w:spacing w:val="-3"/>
                      <w:lang w:eastAsia="zh-CN"/>
                    </w:rPr>
                    <w:t>（</w:t>
                  </w:r>
                  <w:r>
                    <w:rPr>
                      <w:rFonts w:ascii="Times New Roman" w:hAnsi="Times New Roman" w:eastAsia="Times New Roman" w:cs="Times New Roman"/>
                      <w:b/>
                      <w:bCs/>
                      <w:spacing w:val="-3"/>
                    </w:rPr>
                    <w:t>A</w:t>
                  </w:r>
                  <w:r>
                    <w:rPr>
                      <w:rFonts w:hint="eastAsia" w:ascii="Times New Roman" w:hAnsi="Times New Roman" w:cs="Times New Roman"/>
                      <w:b/>
                      <w:bCs/>
                      <w:spacing w:val="-3"/>
                      <w:lang w:eastAsia="zh-CN"/>
                    </w:rPr>
                    <w:t>）</w:t>
                  </w:r>
                </w:p>
              </w:tc>
            </w:tr>
            <w:tr w14:paraId="5DC0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04B87A21">
                  <w:pPr>
                    <w:spacing w:before="78" w:line="225" w:lineRule="auto"/>
                    <w:ind w:left="426"/>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23" w:type="pct"/>
                  <w:tcBorders>
                    <w:top w:val="single" w:color="000000" w:sz="6" w:space="0"/>
                    <w:left w:val="single" w:color="000000" w:sz="6" w:space="0"/>
                    <w:bottom w:val="single" w:color="000000" w:sz="6" w:space="0"/>
                    <w:right w:val="single" w:color="000000" w:sz="6" w:space="0"/>
                  </w:tcBorders>
                  <w:noWrap w:val="0"/>
                  <w:vAlign w:val="center"/>
                </w:tcPr>
                <w:p w14:paraId="192FBDB0">
                  <w:pPr>
                    <w:pStyle w:val="54"/>
                    <w:spacing w:before="50" w:line="221" w:lineRule="auto"/>
                    <w:jc w:val="center"/>
                    <w:rPr>
                      <w:rFonts w:hint="eastAsia" w:eastAsia="宋体"/>
                      <w:lang w:eastAsia="zh-CN"/>
                    </w:rPr>
                  </w:pPr>
                  <w:r>
                    <w:rPr>
                      <w:rFonts w:hint="eastAsia"/>
                      <w:spacing w:val="-1"/>
                      <w:lang w:val="en-US" w:eastAsia="zh-CN"/>
                    </w:rPr>
                    <w:t>燃气锅炉</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00243377">
                  <w:pPr>
                    <w:spacing w:before="78" w:line="225" w:lineRule="auto"/>
                    <w:ind w:left="870"/>
                    <w:jc w:val="both"/>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2</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5AB1632C">
                  <w:pPr>
                    <w:pStyle w:val="54"/>
                    <w:spacing w:before="51" w:line="221" w:lineRule="auto"/>
                    <w:ind w:left="645"/>
                    <w:jc w:val="both"/>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4848F448">
                  <w:pPr>
                    <w:spacing w:before="78" w:line="225" w:lineRule="auto"/>
                    <w:ind w:left="697"/>
                    <w:jc w:val="both"/>
                    <w:rPr>
                      <w:rFonts w:hint="default" w:ascii="Times New Roman" w:hAnsi="Times New Roman" w:eastAsia="宋体" w:cs="Times New Roman"/>
                      <w:sz w:val="21"/>
                      <w:szCs w:val="21"/>
                      <w:lang w:val="en-US" w:eastAsia="zh-CN"/>
                    </w:rPr>
                  </w:pPr>
                  <w:r>
                    <w:rPr>
                      <w:rFonts w:hint="eastAsia" w:eastAsia="宋体" w:cs="Times New Roman"/>
                      <w:spacing w:val="-2"/>
                      <w:sz w:val="21"/>
                      <w:szCs w:val="21"/>
                      <w:lang w:val="en-US" w:eastAsia="zh-CN"/>
                    </w:rPr>
                    <w:t>80</w:t>
                  </w:r>
                </w:p>
              </w:tc>
            </w:tr>
            <w:tr w14:paraId="3C76A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5797F46D">
                  <w:pPr>
                    <w:spacing w:before="80" w:line="222" w:lineRule="auto"/>
                    <w:ind w:left="406"/>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23" w:type="pct"/>
                  <w:tcBorders>
                    <w:top w:val="single" w:color="000000" w:sz="6" w:space="0"/>
                    <w:left w:val="single" w:color="000000" w:sz="6" w:space="0"/>
                    <w:bottom w:val="single" w:color="000000" w:sz="6" w:space="0"/>
                    <w:right w:val="single" w:color="000000" w:sz="6" w:space="0"/>
                  </w:tcBorders>
                  <w:noWrap w:val="0"/>
                  <w:vAlign w:val="center"/>
                </w:tcPr>
                <w:p w14:paraId="1E7CFF41">
                  <w:pPr>
                    <w:pStyle w:val="54"/>
                    <w:spacing w:before="52" w:line="220" w:lineRule="auto"/>
                    <w:jc w:val="center"/>
                    <w:rPr>
                      <w:rFonts w:hint="default" w:eastAsia="宋体"/>
                      <w:lang w:val="en-US" w:eastAsia="zh-CN"/>
                    </w:rPr>
                  </w:pPr>
                  <w:r>
                    <w:rPr>
                      <w:rFonts w:hint="eastAsia"/>
                      <w:lang w:val="en-US" w:eastAsia="zh-CN"/>
                    </w:rPr>
                    <w:t>污水源热泵机组</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6023318D">
                  <w:pPr>
                    <w:spacing w:before="80" w:line="222" w:lineRule="auto"/>
                    <w:ind w:left="866"/>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76978142">
                  <w:pPr>
                    <w:pStyle w:val="54"/>
                    <w:spacing w:before="52" w:line="221" w:lineRule="auto"/>
                    <w:ind w:left="645"/>
                    <w:jc w:val="both"/>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2D5B69FF">
                  <w:pPr>
                    <w:spacing w:before="80" w:line="222" w:lineRule="auto"/>
                    <w:ind w:left="697"/>
                    <w:jc w:val="both"/>
                    <w:rPr>
                      <w:rFonts w:hint="default" w:ascii="Times New Roman" w:hAnsi="Times New Roman" w:eastAsia="宋体" w:cs="Times New Roman"/>
                      <w:sz w:val="21"/>
                      <w:szCs w:val="21"/>
                      <w:lang w:val="en-US" w:eastAsia="zh-CN"/>
                    </w:rPr>
                  </w:pPr>
                  <w:r>
                    <w:rPr>
                      <w:rFonts w:hint="eastAsia" w:eastAsia="宋体" w:cs="Times New Roman"/>
                      <w:spacing w:val="-2"/>
                      <w:sz w:val="21"/>
                      <w:szCs w:val="21"/>
                      <w:lang w:val="en-US" w:eastAsia="zh-CN"/>
                    </w:rPr>
                    <w:t>80</w:t>
                  </w:r>
                </w:p>
              </w:tc>
            </w:tr>
            <w:tr w14:paraId="5AE6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4AC05ACC">
                  <w:pPr>
                    <w:spacing w:before="82" w:line="223" w:lineRule="auto"/>
                    <w:ind w:left="41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42BD0C">
                  <w:pPr>
                    <w:pStyle w:val="54"/>
                    <w:spacing w:before="52" w:line="220" w:lineRule="auto"/>
                    <w:jc w:val="center"/>
                    <w:rPr>
                      <w:rFonts w:hint="default" w:ascii="宋体" w:hAnsi="宋体" w:eastAsia="宋体" w:cs="宋体"/>
                      <w:kern w:val="2"/>
                      <w:sz w:val="21"/>
                      <w:szCs w:val="21"/>
                      <w:lang w:val="en-US" w:eastAsia="zh-CN" w:bidi="ar-SA"/>
                    </w:rPr>
                  </w:pPr>
                  <w:r>
                    <w:rPr>
                      <w:rFonts w:hint="eastAsia"/>
                      <w:spacing w:val="-5"/>
                      <w:lang w:val="en-US" w:eastAsia="zh-CN"/>
                    </w:rPr>
                    <w:t>热水循环水泵</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5B0F85A5">
                  <w:pPr>
                    <w:spacing w:before="82" w:line="223" w:lineRule="auto"/>
                    <w:ind w:left="886"/>
                    <w:jc w:val="both"/>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2</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70D9F286">
                  <w:pPr>
                    <w:pStyle w:val="54"/>
                    <w:spacing w:before="54" w:line="221" w:lineRule="auto"/>
                    <w:ind w:left="661"/>
                    <w:jc w:val="both"/>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67605B2F">
                  <w:pPr>
                    <w:spacing w:before="82" w:line="223" w:lineRule="auto"/>
                    <w:ind w:left="702"/>
                    <w:jc w:val="both"/>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85</w:t>
                  </w:r>
                </w:p>
              </w:tc>
            </w:tr>
            <w:tr w14:paraId="43B2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431F664D">
                  <w:pPr>
                    <w:spacing w:before="84" w:line="219" w:lineRule="auto"/>
                    <w:ind w:left="405"/>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15EBB3">
                  <w:pPr>
                    <w:pStyle w:val="54"/>
                    <w:spacing w:before="54" w:line="220" w:lineRule="auto"/>
                    <w:jc w:val="center"/>
                    <w:rPr>
                      <w:rFonts w:hint="default" w:ascii="宋体" w:hAnsi="宋体" w:eastAsia="宋体" w:cs="宋体"/>
                      <w:kern w:val="2"/>
                      <w:sz w:val="21"/>
                      <w:szCs w:val="21"/>
                      <w:lang w:val="en-US" w:eastAsia="zh-CN" w:bidi="ar-SA"/>
                    </w:rPr>
                  </w:pPr>
                  <w:r>
                    <w:rPr>
                      <w:rFonts w:hint="eastAsia"/>
                      <w:spacing w:val="-2"/>
                      <w:lang w:val="en-US" w:eastAsia="zh-CN"/>
                    </w:rPr>
                    <w:t>烟气冷凝器循环水泵</w:t>
                  </w:r>
                </w:p>
              </w:tc>
              <w:tc>
                <w:tcPr>
                  <w:tcW w:w="1052" w:type="pct"/>
                  <w:tcBorders>
                    <w:top w:val="single" w:color="000000" w:sz="6" w:space="0"/>
                    <w:left w:val="single" w:color="000000" w:sz="6" w:space="0"/>
                    <w:bottom w:val="single" w:color="000000" w:sz="6" w:space="0"/>
                    <w:right w:val="single" w:color="000000" w:sz="6" w:space="0"/>
                  </w:tcBorders>
                  <w:noWrap w:val="0"/>
                  <w:vAlign w:val="center"/>
                </w:tcPr>
                <w:p w14:paraId="2915BBAD">
                  <w:pPr>
                    <w:spacing w:before="84" w:line="219" w:lineRule="auto"/>
                    <w:ind w:left="886"/>
                    <w:jc w:val="both"/>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2</w:t>
                  </w:r>
                </w:p>
              </w:tc>
              <w:tc>
                <w:tcPr>
                  <w:tcW w:w="970" w:type="pct"/>
                  <w:tcBorders>
                    <w:top w:val="single" w:color="000000" w:sz="6" w:space="0"/>
                    <w:left w:val="single" w:color="000000" w:sz="6" w:space="0"/>
                    <w:bottom w:val="single" w:color="000000" w:sz="6" w:space="0"/>
                    <w:right w:val="single" w:color="000000" w:sz="6" w:space="0"/>
                  </w:tcBorders>
                  <w:noWrap w:val="0"/>
                  <w:vAlign w:val="center"/>
                </w:tcPr>
                <w:p w14:paraId="079DEA0F">
                  <w:pPr>
                    <w:pStyle w:val="54"/>
                    <w:spacing w:before="53" w:line="221" w:lineRule="auto"/>
                    <w:ind w:left="661"/>
                    <w:jc w:val="both"/>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noWrap w:val="0"/>
                  <w:vAlign w:val="center"/>
                </w:tcPr>
                <w:p w14:paraId="6021866B">
                  <w:pPr>
                    <w:spacing w:before="84" w:line="219" w:lineRule="auto"/>
                    <w:ind w:left="702"/>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80</w:t>
                  </w:r>
                </w:p>
              </w:tc>
            </w:tr>
            <w:tr w14:paraId="7226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0267E47C">
                  <w:pPr>
                    <w:spacing w:before="85" w:line="217" w:lineRule="auto"/>
                    <w:ind w:left="412"/>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DD662AE">
                  <w:pPr>
                    <w:pStyle w:val="54"/>
                    <w:spacing w:before="58" w:line="216" w:lineRule="auto"/>
                    <w:jc w:val="center"/>
                    <w:rPr>
                      <w:rFonts w:hint="default" w:ascii="宋体" w:hAnsi="宋体" w:eastAsia="宋体" w:cs="宋体"/>
                      <w:kern w:val="2"/>
                      <w:sz w:val="21"/>
                      <w:szCs w:val="21"/>
                      <w:lang w:val="en-US" w:eastAsia="zh-CN" w:bidi="ar-SA"/>
                    </w:rPr>
                  </w:pPr>
                  <w:r>
                    <w:rPr>
                      <w:rFonts w:hint="eastAsia"/>
                      <w:lang w:val="en-US" w:eastAsia="zh-CN"/>
                    </w:rPr>
                    <w:t>中介水循环泵</w:t>
                  </w:r>
                </w:p>
              </w:tc>
              <w:tc>
                <w:tcPr>
                  <w:tcW w:w="1052"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60CF3C">
                  <w:pPr>
                    <w:spacing w:before="88" w:line="214" w:lineRule="auto"/>
                    <w:ind w:left="886" w:leftChars="0"/>
                    <w:jc w:val="both"/>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970"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CC09CDC">
                  <w:pPr>
                    <w:pStyle w:val="54"/>
                    <w:spacing w:before="60" w:line="214" w:lineRule="auto"/>
                    <w:ind w:left="645" w:leftChars="0"/>
                    <w:jc w:val="both"/>
                    <w:rPr>
                      <w:rFonts w:ascii="宋体" w:hAnsi="宋体" w:eastAsia="宋体" w:cs="宋体"/>
                      <w:kern w:val="2"/>
                      <w:sz w:val="21"/>
                      <w:szCs w:val="21"/>
                      <w:lang w:val="en-US" w:eastAsia="en-US" w:bidi="ar-SA"/>
                    </w:rPr>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93A3C3E">
                  <w:pPr>
                    <w:spacing w:before="88" w:line="214" w:lineRule="auto"/>
                    <w:ind w:left="702" w:leftChars="0"/>
                    <w:jc w:val="both"/>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80</w:t>
                  </w:r>
                </w:p>
              </w:tc>
            </w:tr>
            <w:tr w14:paraId="6B47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63448A11">
                  <w:pPr>
                    <w:spacing w:before="88" w:line="214" w:lineRule="auto"/>
                    <w:ind w:left="41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F952CE">
                  <w:pPr>
                    <w:pStyle w:val="54"/>
                    <w:spacing w:before="60" w:line="214" w:lineRule="auto"/>
                    <w:jc w:val="center"/>
                    <w:rPr>
                      <w:rFonts w:hint="eastAsia" w:ascii="宋体" w:hAnsi="宋体" w:eastAsia="宋体" w:cs="宋体"/>
                      <w:kern w:val="2"/>
                      <w:sz w:val="21"/>
                      <w:szCs w:val="21"/>
                      <w:lang w:val="en-US" w:eastAsia="zh-CN" w:bidi="ar-SA"/>
                    </w:rPr>
                  </w:pPr>
                  <w:r>
                    <w:rPr>
                      <w:rFonts w:hint="eastAsia"/>
                      <w:spacing w:val="-1"/>
                      <w:lang w:val="en-US" w:eastAsia="zh-CN"/>
                    </w:rPr>
                    <w:t>加压泵</w:t>
                  </w:r>
                </w:p>
              </w:tc>
              <w:tc>
                <w:tcPr>
                  <w:tcW w:w="1052"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CE6283">
                  <w:pPr>
                    <w:spacing w:before="91" w:line="214" w:lineRule="auto"/>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p>
              </w:tc>
              <w:tc>
                <w:tcPr>
                  <w:tcW w:w="970"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5E3DED">
                  <w:pPr>
                    <w:pStyle w:val="54"/>
                    <w:spacing w:before="63" w:line="214" w:lineRule="auto"/>
                    <w:ind w:left="661" w:leftChars="0"/>
                    <w:jc w:val="both"/>
                    <w:rPr>
                      <w:rFonts w:ascii="宋体" w:hAnsi="宋体" w:eastAsia="宋体" w:cs="宋体"/>
                      <w:kern w:val="2"/>
                      <w:sz w:val="21"/>
                      <w:szCs w:val="21"/>
                      <w:lang w:val="en-US" w:eastAsia="en-US" w:bidi="ar-SA"/>
                    </w:rPr>
                  </w:pPr>
                  <w:r>
                    <w:rPr>
                      <w:spacing w:val="-2"/>
                    </w:rPr>
                    <w:t>连续</w:t>
                  </w:r>
                </w:p>
              </w:tc>
              <w:tc>
                <w:tcPr>
                  <w:tcW w:w="91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F55E3D1">
                  <w:pPr>
                    <w:spacing w:before="91" w:line="214" w:lineRule="auto"/>
                    <w:ind w:left="698" w:leftChars="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4"/>
                      <w:sz w:val="21"/>
                      <w:szCs w:val="21"/>
                      <w:lang w:val="en-US" w:eastAsia="zh-CN"/>
                    </w:rPr>
                    <w:t>85</w:t>
                  </w:r>
                </w:p>
              </w:tc>
            </w:tr>
            <w:tr w14:paraId="6EF3D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732002BF">
                  <w:pPr>
                    <w:spacing w:before="91" w:line="214" w:lineRule="auto"/>
                    <w:ind w:left="41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3D4235">
                  <w:pPr>
                    <w:pStyle w:val="54"/>
                    <w:spacing w:before="65" w:line="212" w:lineRule="auto"/>
                    <w:jc w:val="center"/>
                    <w:rPr>
                      <w:rFonts w:hint="default" w:ascii="宋体" w:hAnsi="宋体" w:eastAsia="宋体" w:cs="宋体"/>
                      <w:kern w:val="2"/>
                      <w:sz w:val="21"/>
                      <w:szCs w:val="21"/>
                      <w:lang w:val="en-US" w:eastAsia="zh-CN" w:bidi="ar-SA"/>
                    </w:rPr>
                  </w:pPr>
                  <w:r>
                    <w:rPr>
                      <w:rFonts w:hint="eastAsia"/>
                      <w:lang w:val="en-US" w:eastAsia="zh-CN"/>
                    </w:rPr>
                    <w:t>吸泥泵</w:t>
                  </w:r>
                </w:p>
              </w:tc>
              <w:tc>
                <w:tcPr>
                  <w:tcW w:w="1052"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5B8688">
                  <w:pPr>
                    <w:spacing w:before="92" w:line="210" w:lineRule="auto"/>
                    <w:ind w:left="886" w:leftChars="0"/>
                    <w:jc w:val="both"/>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p>
              </w:tc>
              <w:tc>
                <w:tcPr>
                  <w:tcW w:w="970"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01FA6B9">
                  <w:pPr>
                    <w:pStyle w:val="54"/>
                    <w:spacing w:before="62" w:line="212" w:lineRule="auto"/>
                    <w:ind w:left="645" w:leftChars="0"/>
                    <w:jc w:val="both"/>
                    <w:rPr>
                      <w:rFonts w:ascii="宋体" w:hAnsi="宋体" w:eastAsia="宋体" w:cs="宋体"/>
                      <w:kern w:val="2"/>
                      <w:sz w:val="21"/>
                      <w:szCs w:val="21"/>
                      <w:lang w:val="en-US" w:eastAsia="en-US" w:bidi="ar-SA"/>
                    </w:rPr>
                  </w:pPr>
                  <w:r>
                    <w:rPr>
                      <w:spacing w:val="-6"/>
                    </w:rPr>
                    <w:t>间断</w:t>
                  </w:r>
                </w:p>
              </w:tc>
              <w:tc>
                <w:tcPr>
                  <w:tcW w:w="91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29A7B2">
                  <w:pPr>
                    <w:spacing w:before="92" w:line="210" w:lineRule="auto"/>
                    <w:ind w:left="698" w:leftChars="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4"/>
                      <w:sz w:val="21"/>
                      <w:szCs w:val="21"/>
                      <w:lang w:val="en-US" w:eastAsia="zh-CN"/>
                    </w:rPr>
                    <w:t>70</w:t>
                  </w:r>
                </w:p>
              </w:tc>
            </w:tr>
            <w:tr w14:paraId="43DD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40" w:type="pct"/>
                  <w:tcBorders>
                    <w:top w:val="single" w:color="000000" w:sz="6" w:space="0"/>
                    <w:left w:val="single" w:color="000000" w:sz="4" w:space="0"/>
                    <w:bottom w:val="single" w:color="000000" w:sz="6" w:space="0"/>
                    <w:right w:val="single" w:color="000000" w:sz="6" w:space="0"/>
                  </w:tcBorders>
                  <w:noWrap w:val="0"/>
                  <w:vAlign w:val="center"/>
                </w:tcPr>
                <w:p w14:paraId="66214E53">
                  <w:pPr>
                    <w:spacing w:before="92" w:line="210" w:lineRule="auto"/>
                    <w:ind w:left="415"/>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52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CFE3E8E">
                  <w:pPr>
                    <w:pStyle w:val="54"/>
                    <w:spacing w:before="65" w:line="210" w:lineRule="auto"/>
                    <w:jc w:val="center"/>
                    <w:rPr>
                      <w:rFonts w:hint="default" w:ascii="宋体" w:hAnsi="宋体" w:eastAsia="宋体" w:cs="宋体"/>
                      <w:kern w:val="2"/>
                      <w:sz w:val="21"/>
                      <w:szCs w:val="21"/>
                      <w:lang w:val="en-US" w:eastAsia="zh-CN" w:bidi="ar-SA"/>
                    </w:rPr>
                  </w:pPr>
                  <w:r>
                    <w:rPr>
                      <w:rFonts w:hint="eastAsia" w:ascii="Times New Roman" w:cs="宋体"/>
                      <w:b w:val="0"/>
                      <w:bCs w:val="0"/>
                      <w:color w:val="auto"/>
                      <w:sz w:val="21"/>
                      <w:szCs w:val="21"/>
                      <w:vertAlign w:val="baseline"/>
                      <w:lang w:val="en-US" w:eastAsia="zh-CN"/>
                    </w:rPr>
                    <w:t>螺旋排气除污器</w:t>
                  </w:r>
                </w:p>
              </w:tc>
              <w:tc>
                <w:tcPr>
                  <w:tcW w:w="1052"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2F31F4">
                  <w:pPr>
                    <w:spacing w:before="92" w:line="210" w:lineRule="auto"/>
                    <w:ind w:left="886" w:leftChars="0"/>
                    <w:jc w:val="both"/>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p>
              </w:tc>
              <w:tc>
                <w:tcPr>
                  <w:tcW w:w="970"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072ECB">
                  <w:pPr>
                    <w:pStyle w:val="54"/>
                    <w:spacing w:before="62" w:line="212" w:lineRule="auto"/>
                    <w:ind w:left="645" w:leftChars="0"/>
                    <w:jc w:val="both"/>
                    <w:rPr>
                      <w:rFonts w:ascii="宋体" w:hAnsi="宋体" w:eastAsia="宋体" w:cs="宋体"/>
                      <w:spacing w:val="-2"/>
                      <w:kern w:val="2"/>
                      <w:sz w:val="21"/>
                      <w:szCs w:val="21"/>
                      <w:lang w:val="en-US" w:eastAsia="en-US" w:bidi="ar-SA"/>
                    </w:rPr>
                  </w:pPr>
                  <w:r>
                    <w:rPr>
                      <w:spacing w:val="-6"/>
                    </w:rPr>
                    <w:t>间断</w:t>
                  </w:r>
                </w:p>
              </w:tc>
              <w:tc>
                <w:tcPr>
                  <w:tcW w:w="913"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688E69">
                  <w:pPr>
                    <w:spacing w:before="92" w:line="210" w:lineRule="auto"/>
                    <w:ind w:left="698" w:leftChars="0"/>
                    <w:jc w:val="both"/>
                    <w:rPr>
                      <w:rFonts w:hint="default" w:ascii="Times New Roman" w:hAnsi="Times New Roman" w:eastAsia="Times New Roman" w:cs="Times New Roman"/>
                      <w:spacing w:val="-4"/>
                      <w:kern w:val="2"/>
                      <w:sz w:val="21"/>
                      <w:szCs w:val="21"/>
                      <w:lang w:val="en-US" w:eastAsia="zh-CN" w:bidi="ar-SA"/>
                    </w:rPr>
                  </w:pPr>
                  <w:r>
                    <w:rPr>
                      <w:rFonts w:hint="eastAsia" w:ascii="Times New Roman" w:hAnsi="Times New Roman" w:eastAsia="Times New Roman" w:cs="Times New Roman"/>
                      <w:spacing w:val="-4"/>
                      <w:kern w:val="2"/>
                      <w:sz w:val="21"/>
                      <w:szCs w:val="21"/>
                      <w:lang w:val="en-US" w:eastAsia="zh-CN" w:bidi="ar-SA"/>
                    </w:rPr>
                    <w:t>70</w:t>
                  </w:r>
                </w:p>
              </w:tc>
            </w:tr>
          </w:tbl>
          <w:p w14:paraId="4849B053">
            <w:pPr>
              <w:pStyle w:val="35"/>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480" w:firstLineChars="200"/>
              <w:jc w:val="both"/>
              <w:textAlignment w:val="auto"/>
              <w:rPr>
                <w:rFonts w:hint="eastAsia" w:ascii="Times New Roman" w:cs="宋体"/>
                <w:b w:val="0"/>
                <w:bCs w:val="0"/>
                <w:color w:val="auto"/>
                <w:kern w:val="0"/>
                <w:sz w:val="24"/>
                <w:szCs w:val="24"/>
                <w:lang w:val="en-US" w:eastAsia="zh-CN"/>
              </w:rPr>
            </w:pPr>
            <w:r>
              <w:rPr>
                <w:rFonts w:hint="eastAsia" w:ascii="Times New Roman" w:hAnsi="Times New Roman" w:eastAsia="宋体" w:cs="宋体"/>
                <w:b w:val="0"/>
                <w:bCs w:val="0"/>
                <w:color w:val="auto"/>
                <w:kern w:val="0"/>
                <w:sz w:val="24"/>
                <w:szCs w:val="24"/>
                <w:lang w:val="en-US" w:eastAsia="zh-CN" w:bidi="ar-SA"/>
              </w:rPr>
              <w:t>（2）</w:t>
            </w:r>
            <w:r>
              <w:rPr>
                <w:rFonts w:hint="eastAsia" w:ascii="Times New Roman" w:cs="宋体"/>
                <w:b w:val="0"/>
                <w:bCs w:val="0"/>
                <w:color w:val="auto"/>
                <w:kern w:val="0"/>
                <w:sz w:val="24"/>
                <w:szCs w:val="24"/>
                <w:lang w:val="en-US" w:eastAsia="zh-CN"/>
              </w:rPr>
              <w:t>噪声预测模式</w:t>
            </w:r>
          </w:p>
          <w:p w14:paraId="260BD3D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生产车间内的各种生产设备噪声，通过所在车间（或围护结构）的屏蔽效应和声源至受声点的距离衰减，以及空气吸收、地面吸收等之后达到受声点，根据不同情况选择下列不同预测模式，预测本项目各种噪声源对环境的噪声影响。</w:t>
            </w:r>
          </w:p>
          <w:p w14:paraId="41A4F784">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① 室内声源：</w:t>
            </w:r>
          </w:p>
          <w:p w14:paraId="32C05D7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a、如果已知声源的声压级</w:t>
            </w:r>
            <w:r>
              <w:rPr>
                <w:rFonts w:hint="default" w:ascii="Times New Roman" w:eastAsia="宋体" w:cs="Times New Roman"/>
                <w:bCs/>
                <w:spacing w:val="-10"/>
                <w:szCs w:val="21"/>
              </w:rPr>
              <w:drawing>
                <wp:inline distT="0" distB="0" distL="114300" distR="114300">
                  <wp:extent cx="368300" cy="228600"/>
                  <wp:effectExtent l="0" t="0" r="1270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2"/>
                          <a:stretch>
                            <a:fillRect/>
                          </a:stretch>
                        </pic:blipFill>
                        <pic:spPr>
                          <a:xfrm>
                            <a:off x="0" y="0"/>
                            <a:ext cx="368300" cy="228600"/>
                          </a:xfrm>
                          <a:prstGeom prst="rect">
                            <a:avLst/>
                          </a:prstGeom>
                          <a:noFill/>
                          <a:ln>
                            <a:noFill/>
                          </a:ln>
                        </pic:spPr>
                      </pic:pic>
                    </a:graphicData>
                  </a:graphic>
                </wp:inline>
              </w:drawing>
            </w:r>
            <w:r>
              <w:rPr>
                <w:rFonts w:hint="default" w:ascii="Times New Roman" w:eastAsia="宋体" w:cs="Times New Roman"/>
                <w:bCs/>
                <w:spacing w:val="-10"/>
                <w:szCs w:val="21"/>
              </w:rPr>
              <w:t>，且声源位于地面上，则</w:t>
            </w:r>
          </w:p>
          <w:p w14:paraId="6FB870FA">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485900" cy="22860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3"/>
                          <a:stretch>
                            <a:fillRect/>
                          </a:stretch>
                        </pic:blipFill>
                        <pic:spPr>
                          <a:xfrm>
                            <a:off x="0" y="0"/>
                            <a:ext cx="1485900" cy="228600"/>
                          </a:xfrm>
                          <a:prstGeom prst="rect">
                            <a:avLst/>
                          </a:prstGeom>
                          <a:noFill/>
                          <a:ln>
                            <a:noFill/>
                          </a:ln>
                        </pic:spPr>
                      </pic:pic>
                    </a:graphicData>
                  </a:graphic>
                </wp:inline>
              </w:drawing>
            </w:r>
          </w:p>
          <w:p w14:paraId="4F95390A">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b、如图所示，首先计算出某个室内声源靠近围护结构处的声压级：</w:t>
            </w:r>
          </w:p>
          <w:p w14:paraId="7D90083A">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drawing>
                <wp:anchor distT="0" distB="0" distL="114300" distR="114300" simplePos="0" relativeHeight="251660288" behindDoc="1" locked="0" layoutInCell="1" allowOverlap="1">
                  <wp:simplePos x="0" y="0"/>
                  <wp:positionH relativeFrom="column">
                    <wp:posOffset>342900</wp:posOffset>
                  </wp:positionH>
                  <wp:positionV relativeFrom="paragraph">
                    <wp:posOffset>109855</wp:posOffset>
                  </wp:positionV>
                  <wp:extent cx="2252980" cy="1117600"/>
                  <wp:effectExtent l="0" t="0" r="13970" b="6350"/>
                  <wp:wrapTight wrapText="bothSides">
                    <wp:wrapPolygon>
                      <wp:start x="0" y="0"/>
                      <wp:lineTo x="0" y="21355"/>
                      <wp:lineTo x="21369" y="21355"/>
                      <wp:lineTo x="21369" y="0"/>
                      <wp:lineTo x="0" y="0"/>
                    </wp:wrapPolygon>
                  </wp:wrapTight>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4"/>
                          <a:stretch>
                            <a:fillRect/>
                          </a:stretch>
                        </pic:blipFill>
                        <pic:spPr>
                          <a:xfrm>
                            <a:off x="0" y="0"/>
                            <a:ext cx="2252980" cy="1117600"/>
                          </a:xfrm>
                          <a:prstGeom prst="rect">
                            <a:avLst/>
                          </a:prstGeom>
                          <a:noFill/>
                          <a:ln>
                            <a:noFill/>
                          </a:ln>
                        </pic:spPr>
                      </pic:pic>
                    </a:graphicData>
                  </a:graphic>
                </wp:anchor>
              </w:drawing>
            </w:r>
          </w:p>
          <w:p w14:paraId="2A4F5447">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0EB5CC95">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61F617C7">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1E9CA10C">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0B629F28">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p>
          <w:p w14:paraId="58029393">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634490" cy="501015"/>
                  <wp:effectExtent l="0" t="0" r="3810" b="1397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5"/>
                          <a:stretch>
                            <a:fillRect/>
                          </a:stretch>
                        </pic:blipFill>
                        <pic:spPr>
                          <a:xfrm>
                            <a:off x="0" y="0"/>
                            <a:ext cx="1634490" cy="501015"/>
                          </a:xfrm>
                          <a:prstGeom prst="rect">
                            <a:avLst/>
                          </a:prstGeom>
                          <a:noFill/>
                          <a:ln>
                            <a:noFill/>
                          </a:ln>
                        </pic:spPr>
                      </pic:pic>
                    </a:graphicData>
                  </a:graphic>
                </wp:inline>
              </w:drawing>
            </w:r>
          </w:p>
          <w:p w14:paraId="68AEB142">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式中：</w:t>
            </w:r>
          </w:p>
          <w:p w14:paraId="3E3CA27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drawing>
                <wp:inline distT="0" distB="0" distL="114300" distR="114300">
                  <wp:extent cx="217170" cy="228600"/>
                  <wp:effectExtent l="0" t="0" r="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6"/>
                          <a:stretch>
                            <a:fillRect/>
                          </a:stretch>
                        </pic:blipFill>
                        <pic:spPr>
                          <a:xfrm>
                            <a:off x="0" y="0"/>
                            <a:ext cx="217170" cy="228600"/>
                          </a:xfrm>
                          <a:prstGeom prst="rect">
                            <a:avLst/>
                          </a:prstGeom>
                          <a:noFill/>
                          <a:ln>
                            <a:noFill/>
                          </a:ln>
                        </pic:spPr>
                      </pic:pic>
                    </a:graphicData>
                  </a:graphic>
                </wp:inline>
              </w:drawing>
            </w:r>
            <w:r>
              <w:rPr>
                <w:rFonts w:hint="default" w:ascii="Times New Roman" w:eastAsia="宋体" w:cs="Times New Roman"/>
                <w:bCs/>
                <w:spacing w:val="-10"/>
                <w:szCs w:val="21"/>
              </w:rPr>
              <w:t>：某个室内声源靠近维护结构处的声压级。</w:t>
            </w:r>
          </w:p>
          <w:p w14:paraId="095A8B7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Lw：某个室内声源靠近维护结构处产生的声功率级。</w:t>
            </w:r>
          </w:p>
          <w:p w14:paraId="71BD7E7B">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Q：指向性因数；通常对无指向性声源，当声源放在房间中心时，Q=1；当放在一面墙的中心时，Q=2；当放在两面墙夹角处时，Q=4；当放在三面墙夹角处时，Q=8。 </w:t>
            </w:r>
          </w:p>
          <w:p w14:paraId="09CC868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R：房间常数； R=Sa/</w:t>
            </w:r>
            <w:r>
              <w:rPr>
                <w:rFonts w:hint="eastAsia" w:ascii="Times New Roman" w:eastAsia="宋体" w:cs="Times New Roman"/>
                <w:bCs/>
                <w:spacing w:val="-10"/>
                <w:szCs w:val="21"/>
              </w:rPr>
              <w:t>（</w:t>
            </w:r>
            <w:r>
              <w:rPr>
                <w:rFonts w:hint="default" w:ascii="Times New Roman" w:eastAsia="宋体" w:cs="Times New Roman"/>
                <w:bCs/>
                <w:spacing w:val="-10"/>
                <w:szCs w:val="21"/>
              </w:rPr>
              <w:t>1-a</w:t>
            </w:r>
            <w:r>
              <w:rPr>
                <w:rFonts w:hint="eastAsia" w:ascii="Times New Roman" w:eastAsia="宋体" w:cs="Times New Roman"/>
                <w:bCs/>
                <w:spacing w:val="-10"/>
                <w:szCs w:val="21"/>
              </w:rPr>
              <w:t>）</w:t>
            </w:r>
            <w:r>
              <w:rPr>
                <w:rFonts w:hint="default" w:ascii="Times New Roman" w:eastAsia="宋体" w:cs="Times New Roman"/>
                <w:bCs/>
                <w:spacing w:val="-10"/>
                <w:szCs w:val="21"/>
              </w:rPr>
              <w:t>，S 为房间内表面面积，m</w:t>
            </w:r>
            <w:r>
              <w:rPr>
                <w:rFonts w:hint="default" w:ascii="Times New Roman" w:eastAsia="宋体" w:cs="Times New Roman"/>
                <w:bCs/>
                <w:spacing w:val="-10"/>
                <w:szCs w:val="21"/>
                <w:vertAlign w:val="superscript"/>
              </w:rPr>
              <w:t>2</w:t>
            </w:r>
            <w:r>
              <w:rPr>
                <w:rFonts w:hint="default" w:ascii="Times New Roman" w:eastAsia="宋体" w:cs="Times New Roman"/>
                <w:bCs/>
                <w:spacing w:val="-10"/>
                <w:szCs w:val="21"/>
              </w:rPr>
              <w:t>；a 为平均吸声系数，本评价a取0.15。</w:t>
            </w:r>
          </w:p>
          <w:p w14:paraId="4A41F53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r：声源到靠近围护结构某点处的距离，m。</w:t>
            </w:r>
          </w:p>
          <w:p w14:paraId="316229B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c、计算出所有室内声源在靠近围护结构处产生的总声压级：</w:t>
            </w:r>
          </w:p>
          <w:p w14:paraId="5C0D548B">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668780" cy="462915"/>
                  <wp:effectExtent l="0" t="0" r="7620" b="1333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7"/>
                          <a:stretch>
                            <a:fillRect/>
                          </a:stretch>
                        </pic:blipFill>
                        <pic:spPr>
                          <a:xfrm>
                            <a:off x="0" y="0"/>
                            <a:ext cx="1668780" cy="462915"/>
                          </a:xfrm>
                          <a:prstGeom prst="rect">
                            <a:avLst/>
                          </a:prstGeom>
                          <a:noFill/>
                          <a:ln>
                            <a:noFill/>
                          </a:ln>
                        </pic:spPr>
                      </pic:pic>
                    </a:graphicData>
                  </a:graphic>
                </wp:inline>
              </w:drawing>
            </w:r>
          </w:p>
          <w:p w14:paraId="1AD0E9A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Lp1</w:t>
            </w:r>
            <w:r>
              <w:rPr>
                <w:rFonts w:hint="eastAsia" w:ascii="Times New Roman" w:eastAsia="宋体" w:cs="Times New Roman"/>
                <w:bCs/>
                <w:spacing w:val="-10"/>
                <w:szCs w:val="21"/>
              </w:rPr>
              <w:t>（</w:t>
            </w:r>
            <w:r>
              <w:rPr>
                <w:rFonts w:hint="default" w:ascii="Times New Roman" w:eastAsia="宋体" w:cs="Times New Roman"/>
                <w:bCs/>
                <w:spacing w:val="-10"/>
                <w:szCs w:val="21"/>
              </w:rPr>
              <w:t>T</w:t>
            </w:r>
            <w:r>
              <w:rPr>
                <w:rFonts w:hint="eastAsia" w:ascii="Times New Roman" w:eastAsia="宋体" w:cs="Times New Roman"/>
                <w:bCs/>
                <w:spacing w:val="-10"/>
                <w:szCs w:val="21"/>
              </w:rPr>
              <w:t>）</w:t>
            </w:r>
            <w:r>
              <w:rPr>
                <w:rFonts w:hint="default" w:ascii="Times New Roman" w:eastAsia="宋体" w:cs="Times New Roman"/>
                <w:bCs/>
                <w:spacing w:val="-10"/>
                <w:szCs w:val="21"/>
              </w:rPr>
              <w:t>：靠近围护结构处室内 N个声源的叠加声压级，dB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 xml:space="preserve">； </w:t>
            </w:r>
          </w:p>
          <w:p w14:paraId="00304C4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Lp1.j：j声源的声压级，dB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 xml:space="preserve">； </w:t>
            </w:r>
          </w:p>
          <w:p w14:paraId="796F8C6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N—室内声源总数。</w:t>
            </w:r>
          </w:p>
          <w:p w14:paraId="6AE1ABAA">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d、计算出室外靠近围护结构处的声压级：</w:t>
            </w:r>
          </w:p>
          <w:p w14:paraId="268D523A">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638300" cy="241300"/>
                  <wp:effectExtent l="0" t="0" r="0" b="508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8"/>
                          <a:stretch>
                            <a:fillRect/>
                          </a:stretch>
                        </pic:blipFill>
                        <pic:spPr>
                          <a:xfrm>
                            <a:off x="0" y="0"/>
                            <a:ext cx="1638300" cy="241300"/>
                          </a:xfrm>
                          <a:prstGeom prst="rect">
                            <a:avLst/>
                          </a:prstGeom>
                          <a:noFill/>
                          <a:ln>
                            <a:noFill/>
                          </a:ln>
                        </pic:spPr>
                      </pic:pic>
                    </a:graphicData>
                  </a:graphic>
                </wp:inline>
              </w:drawing>
            </w:r>
          </w:p>
          <w:p w14:paraId="37645ADB">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式中： </w:t>
            </w:r>
          </w:p>
          <w:p w14:paraId="161CABC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Lp2 </w:t>
            </w:r>
            <w:r>
              <w:rPr>
                <w:rFonts w:hint="eastAsia" w:ascii="Times New Roman" w:eastAsia="宋体" w:cs="Times New Roman"/>
                <w:bCs/>
                <w:spacing w:val="-10"/>
                <w:szCs w:val="21"/>
              </w:rPr>
              <w:t>（</w:t>
            </w:r>
            <w:r>
              <w:rPr>
                <w:rFonts w:hint="default" w:ascii="Times New Roman" w:eastAsia="宋体" w:cs="Times New Roman"/>
                <w:bCs/>
                <w:spacing w:val="-10"/>
                <w:szCs w:val="21"/>
              </w:rPr>
              <w:t>T</w:t>
            </w:r>
            <w:r>
              <w:rPr>
                <w:rFonts w:hint="eastAsia" w:ascii="Times New Roman" w:eastAsia="宋体" w:cs="Times New Roman"/>
                <w:bCs/>
                <w:spacing w:val="-10"/>
                <w:szCs w:val="21"/>
              </w:rPr>
              <w:t>）</w:t>
            </w:r>
            <w:r>
              <w:rPr>
                <w:rFonts w:hint="default" w:ascii="Times New Roman" w:eastAsia="宋体" w:cs="Times New Roman"/>
                <w:bCs/>
                <w:spacing w:val="-10"/>
                <w:szCs w:val="21"/>
              </w:rPr>
              <w:t>：靠近围护结构处室外 N个声源的叠加声压级，dB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 xml:space="preserve">； </w:t>
            </w:r>
          </w:p>
          <w:p w14:paraId="6D46DED6">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TLi；围护结构的隔声量，dB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w:t>
            </w:r>
          </w:p>
          <w:p w14:paraId="1D37190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e、将室外声级Lp2</w:t>
            </w:r>
            <w:r>
              <w:rPr>
                <w:rFonts w:hint="eastAsia" w:ascii="Times New Roman" w:eastAsia="宋体" w:cs="Times New Roman"/>
                <w:bCs/>
                <w:spacing w:val="-10"/>
                <w:szCs w:val="21"/>
              </w:rPr>
              <w:t>（</w:t>
            </w:r>
            <w:r>
              <w:rPr>
                <w:rFonts w:hint="default" w:ascii="Times New Roman" w:eastAsia="宋体" w:cs="Times New Roman"/>
                <w:bCs/>
                <w:spacing w:val="-10"/>
                <w:szCs w:val="21"/>
              </w:rPr>
              <w:t>T</w:t>
            </w:r>
            <w:r>
              <w:rPr>
                <w:rFonts w:hint="eastAsia" w:ascii="Times New Roman" w:eastAsia="宋体" w:cs="Times New Roman"/>
                <w:bCs/>
                <w:spacing w:val="-10"/>
                <w:szCs w:val="21"/>
              </w:rPr>
              <w:t>）</w:t>
            </w:r>
            <w:r>
              <w:rPr>
                <w:rFonts w:hint="default" w:ascii="Times New Roman" w:eastAsia="宋体" w:cs="Times New Roman"/>
                <w:bCs/>
                <w:spacing w:val="-10"/>
                <w:szCs w:val="21"/>
              </w:rPr>
              <w:t>和透声面积换算成等效的室外声源，计算出等效声源的声功率级LW；</w:t>
            </w:r>
          </w:p>
          <w:p w14:paraId="383CC9E0">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270000" cy="241300"/>
                  <wp:effectExtent l="0" t="0" r="0" b="508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9"/>
                          <a:stretch>
                            <a:fillRect/>
                          </a:stretch>
                        </pic:blipFill>
                        <pic:spPr>
                          <a:xfrm>
                            <a:off x="0" y="0"/>
                            <a:ext cx="1270000" cy="241300"/>
                          </a:xfrm>
                          <a:prstGeom prst="rect">
                            <a:avLst/>
                          </a:prstGeom>
                          <a:noFill/>
                          <a:ln>
                            <a:noFill/>
                          </a:ln>
                        </pic:spPr>
                      </pic:pic>
                    </a:graphicData>
                  </a:graphic>
                </wp:inline>
              </w:drawing>
            </w:r>
          </w:p>
          <w:p w14:paraId="39B4497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式中：s为透声面积，m</w:t>
            </w:r>
            <w:r>
              <w:rPr>
                <w:rFonts w:hint="default" w:ascii="Times New Roman" w:eastAsia="宋体" w:cs="Times New Roman"/>
                <w:bCs/>
                <w:spacing w:val="-10"/>
                <w:szCs w:val="21"/>
                <w:vertAlign w:val="superscript"/>
              </w:rPr>
              <w:t>2</w:t>
            </w:r>
            <w:r>
              <w:rPr>
                <w:rFonts w:hint="default" w:ascii="Times New Roman" w:eastAsia="宋体" w:cs="Times New Roman"/>
                <w:bCs/>
                <w:spacing w:val="-10"/>
                <w:szCs w:val="21"/>
              </w:rPr>
              <w:t>。</w:t>
            </w:r>
          </w:p>
          <w:p w14:paraId="370294D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f、等效室外声源的位置为围护结构的位置，其声功率级为Lw，由此按室外声源方法计算等效室外声源在预测点产生的A声级。</w:t>
            </w:r>
          </w:p>
          <w:p w14:paraId="4F959AC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② 室外声源：</w:t>
            </w:r>
          </w:p>
          <w:p w14:paraId="3A72B65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计算某个声源在预测点的声压级</w:t>
            </w:r>
          </w:p>
          <w:p w14:paraId="355FAAC2">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1129665" cy="235585"/>
                  <wp:effectExtent l="0" t="0" r="0" b="1333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0"/>
                          <a:stretch>
                            <a:fillRect/>
                          </a:stretch>
                        </pic:blipFill>
                        <pic:spPr>
                          <a:xfrm>
                            <a:off x="0" y="0"/>
                            <a:ext cx="1129665" cy="235585"/>
                          </a:xfrm>
                          <a:prstGeom prst="rect">
                            <a:avLst/>
                          </a:prstGeom>
                          <a:noFill/>
                          <a:ln>
                            <a:noFill/>
                          </a:ln>
                        </pic:spPr>
                      </pic:pic>
                    </a:graphicData>
                  </a:graphic>
                </wp:inline>
              </w:drawing>
            </w:r>
          </w:p>
          <w:p w14:paraId="647324E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式中：</w:t>
            </w:r>
          </w:p>
          <w:p w14:paraId="4752F5B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L </w:t>
            </w:r>
            <w:r>
              <w:rPr>
                <w:rFonts w:hint="eastAsia" w:ascii="Times New Roman" w:eastAsia="宋体" w:cs="Times New Roman"/>
                <w:bCs/>
                <w:spacing w:val="-10"/>
                <w:szCs w:val="21"/>
              </w:rPr>
              <w:t>（</w:t>
            </w:r>
            <w:r>
              <w:rPr>
                <w:rFonts w:hint="default" w:ascii="Times New Roman" w:eastAsia="宋体" w:cs="Times New Roman"/>
                <w:bCs/>
                <w:spacing w:val="-10"/>
                <w:szCs w:val="21"/>
              </w:rPr>
              <w:t>r</w:t>
            </w:r>
            <w:r>
              <w:rPr>
                <w:rFonts w:hint="eastAsia" w:ascii="Times New Roman" w:eastAsia="宋体" w:cs="Times New Roman"/>
                <w:bCs/>
                <w:spacing w:val="-10"/>
                <w:szCs w:val="21"/>
              </w:rPr>
              <w:t>）</w:t>
            </w:r>
            <w:r>
              <w:rPr>
                <w:rFonts w:hint="default" w:ascii="Times New Roman" w:eastAsia="宋体" w:cs="Times New Roman"/>
                <w:bCs/>
                <w:spacing w:val="-10"/>
                <w:szCs w:val="21"/>
              </w:rPr>
              <w:t>：点声源在预测点产生的声压级，dB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w:t>
            </w:r>
          </w:p>
          <w:p w14:paraId="0C20882B">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L </w:t>
            </w:r>
            <w:r>
              <w:rPr>
                <w:rFonts w:hint="eastAsia" w:ascii="Times New Roman" w:eastAsia="宋体" w:cs="Times New Roman"/>
                <w:bCs/>
                <w:spacing w:val="-10"/>
                <w:szCs w:val="21"/>
              </w:rPr>
              <w:t>（</w:t>
            </w:r>
            <w:r>
              <w:rPr>
                <w:rFonts w:hint="default" w:ascii="Times New Roman" w:eastAsia="宋体" w:cs="Times New Roman"/>
                <w:bCs/>
                <w:spacing w:val="-10"/>
                <w:szCs w:val="21"/>
              </w:rPr>
              <w:t>r0</w:t>
            </w:r>
            <w:r>
              <w:rPr>
                <w:rFonts w:hint="eastAsia" w:ascii="Times New Roman" w:eastAsia="宋体" w:cs="Times New Roman"/>
                <w:bCs/>
                <w:spacing w:val="-10"/>
                <w:szCs w:val="21"/>
              </w:rPr>
              <w:t>）</w:t>
            </w:r>
            <w:r>
              <w:rPr>
                <w:rFonts w:hint="default" w:ascii="Times New Roman" w:eastAsia="宋体" w:cs="Times New Roman"/>
                <w:bCs/>
                <w:spacing w:val="-10"/>
                <w:szCs w:val="21"/>
              </w:rPr>
              <w:t>：参考位置r0处的声压级，dB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w:t>
            </w:r>
          </w:p>
          <w:p w14:paraId="4F4F8DE1">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r：预测点距声源的距离，m；</w:t>
            </w:r>
          </w:p>
          <w:p w14:paraId="4F6D7D4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r0：参考位置距声源的距离，m；</w:t>
            </w:r>
          </w:p>
          <w:p w14:paraId="38C4919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A：各种因素引起的衰减量（包括几何发散衰减、声屏障衰减，其计算方法详见“导则”正文）。</w:t>
            </w:r>
          </w:p>
          <w:p w14:paraId="3A4B2DA1">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③ 计算总声压级</w:t>
            </w:r>
          </w:p>
          <w:p w14:paraId="2092DE7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设第i个室外声源在预测点产生的A声级为LA,i，在T时间内该声源工作时间为ti；第j个等效室外声源在预测点产生的A声级为LAj，在T时间内该声源工作时间为tj，则拟建工程声源对预测点产生的贡献值（Leqg）</w:t>
            </w:r>
          </w:p>
          <w:p w14:paraId="220B2C87">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2357120" cy="438785"/>
                  <wp:effectExtent l="0" t="0" r="5080" b="1841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1"/>
                          <a:stretch>
                            <a:fillRect/>
                          </a:stretch>
                        </pic:blipFill>
                        <pic:spPr>
                          <a:xfrm>
                            <a:off x="0" y="0"/>
                            <a:ext cx="2357120" cy="438785"/>
                          </a:xfrm>
                          <a:prstGeom prst="rect">
                            <a:avLst/>
                          </a:prstGeom>
                          <a:noFill/>
                          <a:ln>
                            <a:noFill/>
                          </a:ln>
                        </pic:spPr>
                      </pic:pic>
                    </a:graphicData>
                  </a:graphic>
                </wp:inline>
              </w:drawing>
            </w:r>
          </w:p>
          <w:p w14:paraId="5BFF0B6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式中：</w:t>
            </w:r>
          </w:p>
          <w:p w14:paraId="3C3679D6">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t j ：在 T 时间内 j 声源工作时间，s；</w:t>
            </w:r>
          </w:p>
          <w:p w14:paraId="7312F62C">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ti ：在 T 时间内 i 声源工作时间，s；</w:t>
            </w:r>
          </w:p>
          <w:p w14:paraId="43B3BD67">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T：用于计算等效声级的时间，s； </w:t>
            </w:r>
          </w:p>
          <w:p w14:paraId="5B5A91B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N；室外声源个数； </w:t>
            </w:r>
          </w:p>
          <w:p w14:paraId="694FAE3A">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M：等效室外声源个数。</w:t>
            </w:r>
          </w:p>
          <w:p w14:paraId="4A67C6CC">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④ 噪声预测计算</w:t>
            </w:r>
          </w:p>
          <w:p w14:paraId="3AF03808">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Cs w:val="21"/>
              </w:rPr>
            </w:pPr>
            <w:r>
              <w:rPr>
                <w:rFonts w:hint="default" w:ascii="Times New Roman" w:eastAsia="宋体" w:cs="Times New Roman"/>
                <w:bCs/>
                <w:spacing w:val="-10"/>
                <w:szCs w:val="21"/>
              </w:rPr>
              <w:t xml:space="preserve">         </w:t>
            </w:r>
            <w:r>
              <w:rPr>
                <w:rFonts w:hint="default" w:ascii="Times New Roman" w:eastAsia="宋体" w:cs="Times New Roman"/>
                <w:bCs/>
                <w:spacing w:val="-10"/>
                <w:szCs w:val="21"/>
              </w:rPr>
              <w:drawing>
                <wp:inline distT="0" distB="0" distL="114300" distR="114300">
                  <wp:extent cx="2116455" cy="257810"/>
                  <wp:effectExtent l="0" t="0" r="17145" b="889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2"/>
                          <a:stretch>
                            <a:fillRect/>
                          </a:stretch>
                        </pic:blipFill>
                        <pic:spPr>
                          <a:xfrm>
                            <a:off x="0" y="0"/>
                            <a:ext cx="2116455" cy="257810"/>
                          </a:xfrm>
                          <a:prstGeom prst="rect">
                            <a:avLst/>
                          </a:prstGeom>
                          <a:noFill/>
                          <a:ln>
                            <a:noFill/>
                          </a:ln>
                        </pic:spPr>
                      </pic:pic>
                    </a:graphicData>
                  </a:graphic>
                </wp:inline>
              </w:drawing>
            </w:r>
          </w:p>
          <w:p w14:paraId="190837A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 xml:space="preserve">式中： </w:t>
            </w:r>
          </w:p>
          <w:p w14:paraId="502ECDA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drawing>
                <wp:inline distT="0" distB="0" distL="114300" distR="114300">
                  <wp:extent cx="279400" cy="241300"/>
                  <wp:effectExtent l="0" t="0" r="5715" b="508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3"/>
                          <a:stretch>
                            <a:fillRect/>
                          </a:stretch>
                        </pic:blipFill>
                        <pic:spPr>
                          <a:xfrm>
                            <a:off x="0" y="0"/>
                            <a:ext cx="279400" cy="241300"/>
                          </a:xfrm>
                          <a:prstGeom prst="rect">
                            <a:avLst/>
                          </a:prstGeom>
                          <a:noFill/>
                          <a:ln>
                            <a:noFill/>
                          </a:ln>
                        </pic:spPr>
                      </pic:pic>
                    </a:graphicData>
                  </a:graphic>
                </wp:inline>
              </w:drawing>
            </w:r>
            <w:r>
              <w:rPr>
                <w:rFonts w:hint="default" w:ascii="Times New Roman" w:eastAsia="宋体" w:cs="Times New Roman"/>
                <w:bCs/>
                <w:spacing w:val="-10"/>
                <w:szCs w:val="21"/>
              </w:rPr>
              <w:t>：项目声源在预测点的等效声级贡献值，dB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 xml:space="preserve">； </w:t>
            </w:r>
          </w:p>
          <w:p w14:paraId="3A6D1816">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drawing>
                <wp:inline distT="0" distB="0" distL="114300" distR="114300">
                  <wp:extent cx="266700" cy="241300"/>
                  <wp:effectExtent l="0" t="0" r="0" b="5080"/>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24"/>
                          <a:stretch>
                            <a:fillRect/>
                          </a:stretch>
                        </pic:blipFill>
                        <pic:spPr>
                          <a:xfrm>
                            <a:off x="0" y="0"/>
                            <a:ext cx="266700" cy="241300"/>
                          </a:xfrm>
                          <a:prstGeom prst="rect">
                            <a:avLst/>
                          </a:prstGeom>
                          <a:noFill/>
                          <a:ln>
                            <a:noFill/>
                          </a:ln>
                        </pic:spPr>
                      </pic:pic>
                    </a:graphicData>
                  </a:graphic>
                </wp:inline>
              </w:drawing>
            </w:r>
            <w:r>
              <w:rPr>
                <w:rFonts w:hint="default" w:ascii="Times New Roman" w:eastAsia="宋体" w:cs="Times New Roman"/>
                <w:bCs/>
                <w:spacing w:val="-10"/>
                <w:szCs w:val="21"/>
              </w:rPr>
              <w:t>：预测点的背景值，dB</w:t>
            </w:r>
            <w:r>
              <w:rPr>
                <w:rFonts w:hint="eastAsia" w:ascii="Times New Roman" w:eastAsia="宋体" w:cs="Times New Roman"/>
                <w:bCs/>
                <w:spacing w:val="-10"/>
                <w:szCs w:val="21"/>
              </w:rPr>
              <w:t>（</w:t>
            </w:r>
            <w:r>
              <w:rPr>
                <w:rFonts w:hint="default" w:ascii="Times New Roman" w:eastAsia="宋体" w:cs="Times New Roman"/>
                <w:bCs/>
                <w:spacing w:val="-10"/>
                <w:szCs w:val="21"/>
              </w:rPr>
              <w:t>A</w:t>
            </w:r>
            <w:r>
              <w:rPr>
                <w:rFonts w:hint="eastAsia" w:ascii="Times New Roman" w:eastAsia="宋体" w:cs="Times New Roman"/>
                <w:bCs/>
                <w:spacing w:val="-10"/>
                <w:szCs w:val="21"/>
              </w:rPr>
              <w:t>）</w:t>
            </w:r>
            <w:r>
              <w:rPr>
                <w:rFonts w:hint="default" w:ascii="Times New Roman" w:eastAsia="宋体" w:cs="Times New Roman"/>
                <w:bCs/>
                <w:spacing w:val="-10"/>
                <w:szCs w:val="21"/>
              </w:rPr>
              <w:t>。</w:t>
            </w:r>
          </w:p>
          <w:p w14:paraId="2A0F6D8E">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 w:val="21"/>
                <w:szCs w:val="18"/>
              </w:rPr>
            </w:pPr>
            <w:r>
              <w:rPr>
                <w:rFonts w:hint="default" w:ascii="Times New Roman" w:eastAsia="宋体" w:cs="Times New Roman"/>
                <w:bCs/>
                <w:spacing w:val="-10"/>
                <w:szCs w:val="21"/>
              </w:rPr>
              <w:t>（3）预测结果</w:t>
            </w:r>
          </w:p>
          <w:p w14:paraId="1D8CD3C4">
            <w:pPr>
              <w:pStyle w:val="33"/>
              <w:keepNext w:val="0"/>
              <w:keepLines w:val="0"/>
              <w:suppressLineNumbers w:val="0"/>
              <w:spacing w:before="0" w:beforeAutospacing="0" w:after="0" w:afterAutospacing="0" w:line="360" w:lineRule="auto"/>
              <w:ind w:left="0" w:right="0" w:firstLine="440" w:firstLineChars="200"/>
              <w:rPr>
                <w:rFonts w:hint="eastAsia" w:ascii="Times New Roman" w:eastAsia="宋体" w:cs="Times New Roman"/>
                <w:bCs/>
                <w:spacing w:val="-10"/>
                <w:szCs w:val="21"/>
              </w:rPr>
            </w:pPr>
            <w:r>
              <w:rPr>
                <w:rFonts w:hint="eastAsia" w:ascii="Times New Roman" w:eastAsia="宋体" w:cs="Times New Roman"/>
                <w:bCs/>
                <w:spacing w:val="-10"/>
                <w:szCs w:val="21"/>
                <w:lang w:val="en-US" w:eastAsia="zh-CN"/>
              </w:rPr>
              <w:t>预测</w:t>
            </w:r>
            <w:r>
              <w:rPr>
                <w:rFonts w:hint="eastAsia" w:ascii="Times New Roman" w:eastAsia="宋体" w:cs="Times New Roman"/>
                <w:bCs/>
                <w:spacing w:val="-10"/>
                <w:szCs w:val="21"/>
              </w:rPr>
              <w:t>结果见下表：</w:t>
            </w:r>
          </w:p>
          <w:p w14:paraId="1D64DC80">
            <w:pPr>
              <w:pStyle w:val="33"/>
              <w:keepNext w:val="0"/>
              <w:keepLines w:val="0"/>
              <w:suppressLineNumbers w:val="0"/>
              <w:spacing w:before="0" w:beforeAutospacing="0" w:after="0" w:afterAutospacing="0" w:line="240" w:lineRule="auto"/>
              <w:ind w:left="0" w:right="0"/>
              <w:jc w:val="center"/>
              <w:rPr>
                <w:rFonts w:hint="default" w:ascii="Times New Roman" w:eastAsia="宋体" w:cs="Times New Roman"/>
                <w:b/>
                <w:bCs/>
                <w:color w:val="auto"/>
                <w:sz w:val="21"/>
                <w:szCs w:val="21"/>
              </w:rPr>
            </w:pPr>
            <w:r>
              <w:rPr>
                <w:rFonts w:hint="default" w:ascii="Times New Roman" w:eastAsia="宋体" w:cs="Times New Roman"/>
                <w:b/>
                <w:bCs/>
                <w:color w:val="auto"/>
                <w:sz w:val="21"/>
                <w:szCs w:val="21"/>
              </w:rPr>
              <w:t>表</w:t>
            </w:r>
            <w:r>
              <w:rPr>
                <w:rFonts w:hint="eastAsia" w:ascii="Times New Roman" w:eastAsia="宋体" w:cs="Times New Roman"/>
                <w:b/>
                <w:bCs/>
                <w:color w:val="auto"/>
                <w:sz w:val="21"/>
                <w:szCs w:val="21"/>
              </w:rPr>
              <w:t>4-8</w:t>
            </w:r>
            <w:r>
              <w:rPr>
                <w:rFonts w:hint="default" w:ascii="Times New Roman" w:eastAsia="宋体" w:cs="Times New Roman"/>
                <w:b/>
                <w:bCs/>
                <w:color w:val="auto"/>
                <w:sz w:val="21"/>
                <w:szCs w:val="21"/>
              </w:rPr>
              <w:t xml:space="preserve"> </w:t>
            </w:r>
            <w:r>
              <w:rPr>
                <w:rFonts w:hint="eastAsia" w:ascii="Times New Roman" w:eastAsia="宋体" w:cs="Times New Roman"/>
                <w:b/>
                <w:bCs/>
                <w:color w:val="auto"/>
                <w:sz w:val="21"/>
                <w:szCs w:val="21"/>
              </w:rPr>
              <w:t xml:space="preserve"> </w:t>
            </w:r>
            <w:r>
              <w:rPr>
                <w:rFonts w:hint="default" w:ascii="Times New Roman" w:eastAsia="宋体" w:cs="Times New Roman"/>
                <w:b/>
                <w:bCs/>
                <w:color w:val="auto"/>
                <w:sz w:val="21"/>
                <w:szCs w:val="21"/>
              </w:rPr>
              <w:t xml:space="preserve"> </w:t>
            </w:r>
            <w:r>
              <w:rPr>
                <w:rFonts w:hint="eastAsia" w:ascii="Times New Roman" w:eastAsia="宋体" w:cs="Times New Roman"/>
                <w:b/>
                <w:bCs/>
                <w:color w:val="auto"/>
                <w:sz w:val="21"/>
                <w:szCs w:val="21"/>
              </w:rPr>
              <w:t>噪声预测结果</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2316"/>
              <w:gridCol w:w="2316"/>
              <w:gridCol w:w="2324"/>
            </w:tblGrid>
            <w:tr w14:paraId="176C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noWrap w:val="0"/>
                  <w:vAlign w:val="center"/>
                </w:tcPr>
                <w:p w14:paraId="6A6F2665">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
                      <w:spacing w:val="-10"/>
                      <w:sz w:val="21"/>
                      <w:szCs w:val="18"/>
                    </w:rPr>
                  </w:pPr>
                  <w:r>
                    <w:rPr>
                      <w:rFonts w:hint="eastAsia" w:ascii="Times New Roman" w:eastAsia="宋体" w:cs="Times New Roman"/>
                      <w:b/>
                      <w:spacing w:val="-10"/>
                      <w:sz w:val="21"/>
                      <w:szCs w:val="18"/>
                    </w:rPr>
                    <w:t>预测点位</w:t>
                  </w:r>
                </w:p>
              </w:tc>
              <w:tc>
                <w:tcPr>
                  <w:tcW w:w="1251" w:type="pct"/>
                  <w:noWrap w:val="0"/>
                  <w:vAlign w:val="center"/>
                </w:tcPr>
                <w:p w14:paraId="456958F5">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
                      <w:spacing w:val="-10"/>
                      <w:sz w:val="21"/>
                      <w:szCs w:val="18"/>
                    </w:rPr>
                  </w:pPr>
                  <w:r>
                    <w:rPr>
                      <w:rFonts w:hint="eastAsia" w:ascii="Times New Roman" w:eastAsia="宋体" w:cs="Times New Roman"/>
                      <w:b/>
                      <w:spacing w:val="-10"/>
                      <w:sz w:val="21"/>
                      <w:szCs w:val="18"/>
                    </w:rPr>
                    <w:t>贡献值</w:t>
                  </w:r>
                </w:p>
              </w:tc>
              <w:tc>
                <w:tcPr>
                  <w:tcW w:w="1251" w:type="pct"/>
                  <w:noWrap w:val="0"/>
                  <w:vAlign w:val="center"/>
                </w:tcPr>
                <w:p w14:paraId="4F6B9EA9">
                  <w:pPr>
                    <w:pStyle w:val="33"/>
                    <w:keepNext w:val="0"/>
                    <w:keepLines w:val="0"/>
                    <w:suppressLineNumbers w:val="0"/>
                    <w:spacing w:before="0" w:beforeAutospacing="0" w:after="0" w:afterAutospacing="0"/>
                    <w:ind w:left="0" w:right="0"/>
                    <w:jc w:val="center"/>
                    <w:rPr>
                      <w:rFonts w:hint="default" w:ascii="Times New Roman" w:eastAsia="宋体" w:cs="Times New Roman"/>
                      <w:b/>
                      <w:spacing w:val="-10"/>
                      <w:sz w:val="21"/>
                      <w:szCs w:val="18"/>
                    </w:rPr>
                  </w:pPr>
                  <w:r>
                    <w:rPr>
                      <w:rFonts w:hint="eastAsia" w:ascii="Times New Roman" w:eastAsia="宋体" w:cs="Times New Roman"/>
                      <w:b/>
                      <w:spacing w:val="-10"/>
                      <w:sz w:val="21"/>
                      <w:szCs w:val="18"/>
                    </w:rPr>
                    <w:t>标准限值dB（A）</w:t>
                  </w:r>
                </w:p>
              </w:tc>
              <w:tc>
                <w:tcPr>
                  <w:tcW w:w="1255" w:type="pct"/>
                  <w:noWrap w:val="0"/>
                  <w:vAlign w:val="center"/>
                </w:tcPr>
                <w:p w14:paraId="09BEEB3B">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
                      <w:spacing w:val="-10"/>
                      <w:sz w:val="21"/>
                      <w:szCs w:val="18"/>
                    </w:rPr>
                  </w:pPr>
                  <w:r>
                    <w:rPr>
                      <w:rFonts w:hint="eastAsia" w:ascii="Times New Roman" w:eastAsia="宋体" w:cs="Times New Roman"/>
                      <w:b/>
                      <w:spacing w:val="-10"/>
                      <w:sz w:val="21"/>
                      <w:szCs w:val="18"/>
                    </w:rPr>
                    <w:t>评价结果</w:t>
                  </w:r>
                </w:p>
              </w:tc>
            </w:tr>
            <w:tr w14:paraId="0149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240" w:type="pct"/>
                  <w:noWrap w:val="0"/>
                  <w:vAlign w:val="center"/>
                </w:tcPr>
                <w:p w14:paraId="603721E5">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rPr>
                  </w:pPr>
                  <w:r>
                    <w:rPr>
                      <w:rFonts w:hint="eastAsia" w:ascii="Times New Roman" w:eastAsia="宋体" w:cs="Times New Roman"/>
                      <w:bCs/>
                      <w:spacing w:val="-10"/>
                      <w:sz w:val="21"/>
                      <w:szCs w:val="18"/>
                    </w:rPr>
                    <w:t>厂界东侧</w:t>
                  </w:r>
                </w:p>
              </w:tc>
              <w:tc>
                <w:tcPr>
                  <w:tcW w:w="1251" w:type="pct"/>
                  <w:noWrap w:val="0"/>
                  <w:vAlign w:val="center"/>
                </w:tcPr>
                <w:p w14:paraId="5B94FC6D">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lang w:val="en-US" w:eastAsia="zh-CN"/>
                    </w:rPr>
                  </w:pPr>
                  <w:r>
                    <w:rPr>
                      <w:rFonts w:hint="eastAsia" w:ascii="Times New Roman" w:eastAsia="宋体" w:cs="Times New Roman"/>
                      <w:bCs/>
                      <w:spacing w:val="-10"/>
                      <w:sz w:val="21"/>
                      <w:szCs w:val="18"/>
                      <w:lang w:val="en-US" w:eastAsia="zh-CN"/>
                    </w:rPr>
                    <w:t>32.49</w:t>
                  </w:r>
                </w:p>
              </w:tc>
              <w:tc>
                <w:tcPr>
                  <w:tcW w:w="1251" w:type="pct"/>
                  <w:vMerge w:val="restart"/>
                  <w:noWrap w:val="0"/>
                  <w:vAlign w:val="center"/>
                </w:tcPr>
                <w:p w14:paraId="158B4A6E">
                  <w:pPr>
                    <w:pStyle w:val="33"/>
                    <w:keepNext w:val="0"/>
                    <w:keepLines w:val="0"/>
                    <w:suppressLineNumbers w:val="0"/>
                    <w:spacing w:before="0" w:beforeAutospacing="0" w:after="0" w:afterAutospacing="0" w:line="360" w:lineRule="auto"/>
                    <w:ind w:left="0" w:right="0"/>
                    <w:jc w:val="center"/>
                    <w:rPr>
                      <w:rFonts w:hint="eastAsia" w:ascii="Times New Roman" w:eastAsia="宋体" w:cs="Times New Roman"/>
                      <w:bCs/>
                      <w:spacing w:val="-10"/>
                      <w:sz w:val="21"/>
                      <w:szCs w:val="18"/>
                      <w:lang w:eastAsia="zh-CN"/>
                    </w:rPr>
                  </w:pPr>
                  <w:r>
                    <w:rPr>
                      <w:rFonts w:hint="eastAsia" w:ascii="Times New Roman" w:eastAsia="宋体" w:cs="Times New Roman"/>
                      <w:bCs/>
                      <w:spacing w:val="-10"/>
                      <w:sz w:val="21"/>
                      <w:szCs w:val="18"/>
                    </w:rPr>
                    <w:t>昼：6</w:t>
                  </w:r>
                  <w:r>
                    <w:rPr>
                      <w:rFonts w:hint="eastAsia" w:ascii="Times New Roman" w:eastAsia="宋体" w:cs="Times New Roman"/>
                      <w:bCs/>
                      <w:spacing w:val="-10"/>
                      <w:sz w:val="21"/>
                      <w:szCs w:val="18"/>
                      <w:lang w:val="en-US" w:eastAsia="zh-CN"/>
                    </w:rPr>
                    <w:t>0</w:t>
                  </w:r>
                </w:p>
                <w:p w14:paraId="0CDA6151">
                  <w:pPr>
                    <w:pStyle w:val="33"/>
                    <w:keepNext w:val="0"/>
                    <w:keepLines w:val="0"/>
                    <w:suppressLineNumbers w:val="0"/>
                    <w:spacing w:before="0" w:beforeAutospacing="0" w:after="0" w:afterAutospacing="0" w:line="360" w:lineRule="auto"/>
                    <w:ind w:left="0" w:right="0"/>
                    <w:jc w:val="center"/>
                    <w:rPr>
                      <w:rFonts w:hint="eastAsia" w:ascii="Times New Roman" w:eastAsia="宋体" w:cs="Times New Roman"/>
                      <w:bCs/>
                      <w:spacing w:val="-10"/>
                      <w:sz w:val="21"/>
                      <w:szCs w:val="18"/>
                      <w:lang w:eastAsia="zh-CN"/>
                    </w:rPr>
                  </w:pPr>
                  <w:r>
                    <w:rPr>
                      <w:rFonts w:hint="eastAsia" w:ascii="Times New Roman" w:eastAsia="宋体" w:cs="Times New Roman"/>
                      <w:bCs/>
                      <w:spacing w:val="-10"/>
                      <w:sz w:val="21"/>
                      <w:szCs w:val="18"/>
                    </w:rPr>
                    <w:t>夜：5</w:t>
                  </w:r>
                  <w:r>
                    <w:rPr>
                      <w:rFonts w:hint="eastAsia" w:ascii="Times New Roman" w:eastAsia="宋体" w:cs="Times New Roman"/>
                      <w:bCs/>
                      <w:spacing w:val="-10"/>
                      <w:sz w:val="21"/>
                      <w:szCs w:val="18"/>
                      <w:lang w:val="en-US" w:eastAsia="zh-CN"/>
                    </w:rPr>
                    <w:t>0</w:t>
                  </w:r>
                </w:p>
              </w:tc>
              <w:tc>
                <w:tcPr>
                  <w:tcW w:w="1255" w:type="pct"/>
                  <w:noWrap w:val="0"/>
                  <w:vAlign w:val="center"/>
                </w:tcPr>
                <w:p w14:paraId="70DC0D84">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rPr>
                  </w:pPr>
                  <w:r>
                    <w:rPr>
                      <w:rFonts w:hint="eastAsia" w:ascii="Times New Roman" w:eastAsia="宋体" w:cs="Times New Roman"/>
                      <w:bCs/>
                      <w:spacing w:val="-10"/>
                      <w:sz w:val="21"/>
                      <w:szCs w:val="18"/>
                    </w:rPr>
                    <w:t>达标</w:t>
                  </w:r>
                </w:p>
              </w:tc>
            </w:tr>
            <w:tr w14:paraId="662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240" w:type="pct"/>
                  <w:noWrap w:val="0"/>
                  <w:vAlign w:val="center"/>
                </w:tcPr>
                <w:p w14:paraId="4A2E1D7A">
                  <w:pPr>
                    <w:keepNext w:val="0"/>
                    <w:keepLines w:val="0"/>
                    <w:suppressLineNumbers w:val="0"/>
                    <w:spacing w:before="0" w:beforeAutospacing="0" w:after="0" w:afterAutospacing="0" w:line="360" w:lineRule="auto"/>
                    <w:ind w:left="0" w:right="0"/>
                    <w:jc w:val="center"/>
                    <w:rPr>
                      <w:rFonts w:hint="default"/>
                      <w:sz w:val="18"/>
                      <w:szCs w:val="21"/>
                    </w:rPr>
                  </w:pPr>
                  <w:r>
                    <w:rPr>
                      <w:rFonts w:hint="eastAsia"/>
                      <w:bCs/>
                      <w:spacing w:val="-10"/>
                      <w:szCs w:val="18"/>
                    </w:rPr>
                    <w:t>厂界北侧</w:t>
                  </w:r>
                </w:p>
              </w:tc>
              <w:tc>
                <w:tcPr>
                  <w:tcW w:w="1251" w:type="pct"/>
                  <w:noWrap w:val="0"/>
                  <w:vAlign w:val="center"/>
                </w:tcPr>
                <w:p w14:paraId="49A00192">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lang w:val="en-US" w:eastAsia="zh-CN"/>
                    </w:rPr>
                  </w:pPr>
                  <w:r>
                    <w:rPr>
                      <w:rFonts w:hint="eastAsia" w:ascii="Times New Roman" w:eastAsia="宋体" w:cs="Times New Roman"/>
                      <w:bCs/>
                      <w:spacing w:val="-10"/>
                      <w:sz w:val="21"/>
                      <w:szCs w:val="18"/>
                      <w:lang w:val="en-US" w:eastAsia="zh-CN"/>
                    </w:rPr>
                    <w:t>36.48</w:t>
                  </w:r>
                </w:p>
              </w:tc>
              <w:tc>
                <w:tcPr>
                  <w:tcW w:w="1251" w:type="pct"/>
                  <w:vMerge w:val="continue"/>
                  <w:noWrap w:val="0"/>
                  <w:vAlign w:val="center"/>
                </w:tcPr>
                <w:p w14:paraId="302A29F2">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 w:val="21"/>
                      <w:szCs w:val="18"/>
                    </w:rPr>
                  </w:pPr>
                </w:p>
              </w:tc>
              <w:tc>
                <w:tcPr>
                  <w:tcW w:w="1255" w:type="pct"/>
                  <w:noWrap w:val="0"/>
                  <w:vAlign w:val="center"/>
                </w:tcPr>
                <w:p w14:paraId="625C54E0">
                  <w:pPr>
                    <w:keepNext w:val="0"/>
                    <w:keepLines w:val="0"/>
                    <w:suppressLineNumbers w:val="0"/>
                    <w:spacing w:before="0" w:beforeAutospacing="0" w:after="0" w:afterAutospacing="0" w:line="360" w:lineRule="auto"/>
                    <w:ind w:left="0" w:right="0"/>
                    <w:jc w:val="center"/>
                    <w:rPr>
                      <w:rFonts w:hint="default"/>
                      <w:bCs/>
                      <w:spacing w:val="-10"/>
                      <w:szCs w:val="18"/>
                    </w:rPr>
                  </w:pPr>
                  <w:r>
                    <w:rPr>
                      <w:rFonts w:hint="eastAsia"/>
                      <w:bCs/>
                      <w:spacing w:val="-10"/>
                      <w:szCs w:val="18"/>
                    </w:rPr>
                    <w:t>达标</w:t>
                  </w:r>
                </w:p>
              </w:tc>
            </w:tr>
            <w:tr w14:paraId="6D23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40" w:type="pct"/>
                  <w:noWrap w:val="0"/>
                  <w:vAlign w:val="center"/>
                </w:tcPr>
                <w:p w14:paraId="64E206A5">
                  <w:pPr>
                    <w:keepNext w:val="0"/>
                    <w:keepLines w:val="0"/>
                    <w:suppressLineNumbers w:val="0"/>
                    <w:spacing w:before="0" w:beforeAutospacing="0" w:after="0" w:afterAutospacing="0" w:line="360" w:lineRule="auto"/>
                    <w:ind w:left="0" w:right="0"/>
                    <w:jc w:val="center"/>
                    <w:rPr>
                      <w:rFonts w:hint="default"/>
                      <w:sz w:val="18"/>
                      <w:szCs w:val="21"/>
                    </w:rPr>
                  </w:pPr>
                  <w:r>
                    <w:rPr>
                      <w:rFonts w:hint="eastAsia"/>
                      <w:bCs/>
                      <w:spacing w:val="-10"/>
                      <w:szCs w:val="18"/>
                    </w:rPr>
                    <w:t>厂界西侧</w:t>
                  </w:r>
                </w:p>
              </w:tc>
              <w:tc>
                <w:tcPr>
                  <w:tcW w:w="1251" w:type="pct"/>
                  <w:noWrap w:val="0"/>
                  <w:vAlign w:val="center"/>
                </w:tcPr>
                <w:p w14:paraId="6CFEF197">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lang w:val="en-US" w:eastAsia="zh-CN"/>
                    </w:rPr>
                  </w:pPr>
                  <w:r>
                    <w:rPr>
                      <w:rFonts w:hint="eastAsia" w:ascii="Times New Roman" w:eastAsia="宋体" w:cs="Times New Roman"/>
                      <w:bCs/>
                      <w:spacing w:val="-10"/>
                      <w:sz w:val="21"/>
                      <w:szCs w:val="18"/>
                      <w:lang w:val="en-US" w:eastAsia="zh-CN"/>
                    </w:rPr>
                    <w:t>40.62</w:t>
                  </w:r>
                </w:p>
              </w:tc>
              <w:tc>
                <w:tcPr>
                  <w:tcW w:w="1251" w:type="pct"/>
                  <w:vMerge w:val="continue"/>
                  <w:noWrap w:val="0"/>
                  <w:vAlign w:val="center"/>
                </w:tcPr>
                <w:p w14:paraId="6153DA4C">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 w:val="21"/>
                      <w:szCs w:val="18"/>
                    </w:rPr>
                  </w:pPr>
                </w:p>
              </w:tc>
              <w:tc>
                <w:tcPr>
                  <w:tcW w:w="1255" w:type="pct"/>
                  <w:noWrap w:val="0"/>
                  <w:vAlign w:val="center"/>
                </w:tcPr>
                <w:p w14:paraId="4D3ABBB7">
                  <w:pPr>
                    <w:keepNext w:val="0"/>
                    <w:keepLines w:val="0"/>
                    <w:suppressLineNumbers w:val="0"/>
                    <w:spacing w:before="0" w:beforeAutospacing="0" w:after="0" w:afterAutospacing="0" w:line="360" w:lineRule="auto"/>
                    <w:ind w:left="0" w:right="0"/>
                    <w:jc w:val="center"/>
                    <w:rPr>
                      <w:rFonts w:hint="default"/>
                      <w:bCs/>
                      <w:spacing w:val="-10"/>
                      <w:szCs w:val="18"/>
                    </w:rPr>
                  </w:pPr>
                  <w:r>
                    <w:rPr>
                      <w:rFonts w:hint="eastAsia"/>
                      <w:bCs/>
                      <w:spacing w:val="-10"/>
                      <w:szCs w:val="18"/>
                    </w:rPr>
                    <w:t>达标</w:t>
                  </w:r>
                </w:p>
              </w:tc>
            </w:tr>
            <w:tr w14:paraId="1721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240" w:type="pct"/>
                  <w:noWrap w:val="0"/>
                  <w:vAlign w:val="center"/>
                </w:tcPr>
                <w:p w14:paraId="028CEBF5">
                  <w:pPr>
                    <w:keepNext w:val="0"/>
                    <w:keepLines w:val="0"/>
                    <w:suppressLineNumbers w:val="0"/>
                    <w:spacing w:before="0" w:beforeAutospacing="0" w:after="0" w:afterAutospacing="0" w:line="360" w:lineRule="auto"/>
                    <w:ind w:left="0" w:right="0"/>
                    <w:jc w:val="center"/>
                    <w:rPr>
                      <w:rFonts w:hint="default"/>
                      <w:bCs/>
                      <w:spacing w:val="-10"/>
                      <w:szCs w:val="18"/>
                    </w:rPr>
                  </w:pPr>
                  <w:r>
                    <w:rPr>
                      <w:rFonts w:hint="eastAsia"/>
                      <w:bCs/>
                      <w:spacing w:val="-10"/>
                      <w:szCs w:val="18"/>
                    </w:rPr>
                    <w:t>厂界南侧</w:t>
                  </w:r>
                </w:p>
              </w:tc>
              <w:tc>
                <w:tcPr>
                  <w:tcW w:w="1251" w:type="pct"/>
                  <w:noWrap w:val="0"/>
                  <w:vAlign w:val="center"/>
                </w:tcPr>
                <w:p w14:paraId="7B05149B">
                  <w:pPr>
                    <w:pStyle w:val="33"/>
                    <w:keepNext w:val="0"/>
                    <w:keepLines w:val="0"/>
                    <w:suppressLineNumbers w:val="0"/>
                    <w:spacing w:before="0" w:beforeAutospacing="0" w:after="0" w:afterAutospacing="0" w:line="360" w:lineRule="auto"/>
                    <w:ind w:left="0" w:right="0"/>
                    <w:jc w:val="center"/>
                    <w:rPr>
                      <w:rFonts w:hint="default" w:ascii="Times New Roman" w:eastAsia="宋体" w:cs="Times New Roman"/>
                      <w:bCs/>
                      <w:spacing w:val="-10"/>
                      <w:sz w:val="21"/>
                      <w:szCs w:val="18"/>
                      <w:lang w:val="en-US" w:eastAsia="zh-CN"/>
                    </w:rPr>
                  </w:pPr>
                  <w:r>
                    <w:rPr>
                      <w:rFonts w:hint="eastAsia" w:ascii="Times New Roman" w:eastAsia="宋体" w:cs="Times New Roman"/>
                      <w:bCs/>
                      <w:spacing w:val="-10"/>
                      <w:sz w:val="21"/>
                      <w:szCs w:val="18"/>
                      <w:lang w:val="en-US" w:eastAsia="zh-CN"/>
                    </w:rPr>
                    <w:t>32.49</w:t>
                  </w:r>
                </w:p>
              </w:tc>
              <w:tc>
                <w:tcPr>
                  <w:tcW w:w="1251" w:type="pct"/>
                  <w:vMerge w:val="continue"/>
                  <w:noWrap w:val="0"/>
                  <w:vAlign w:val="center"/>
                </w:tcPr>
                <w:p w14:paraId="3ECAA6C4">
                  <w:pPr>
                    <w:pStyle w:val="33"/>
                    <w:keepNext w:val="0"/>
                    <w:keepLines w:val="0"/>
                    <w:suppressLineNumbers w:val="0"/>
                    <w:spacing w:before="0" w:beforeAutospacing="0" w:after="0" w:afterAutospacing="0" w:line="360" w:lineRule="auto"/>
                    <w:ind w:left="0" w:right="0"/>
                    <w:rPr>
                      <w:rFonts w:hint="default" w:ascii="Times New Roman" w:eastAsia="宋体" w:cs="Times New Roman"/>
                      <w:bCs/>
                      <w:spacing w:val="-10"/>
                      <w:sz w:val="21"/>
                      <w:szCs w:val="18"/>
                    </w:rPr>
                  </w:pPr>
                </w:p>
              </w:tc>
              <w:tc>
                <w:tcPr>
                  <w:tcW w:w="1255" w:type="pct"/>
                  <w:noWrap w:val="0"/>
                  <w:vAlign w:val="center"/>
                </w:tcPr>
                <w:p w14:paraId="6CDC8042">
                  <w:pPr>
                    <w:keepNext w:val="0"/>
                    <w:keepLines w:val="0"/>
                    <w:suppressLineNumbers w:val="0"/>
                    <w:spacing w:before="0" w:beforeAutospacing="0" w:after="0" w:afterAutospacing="0" w:line="360" w:lineRule="auto"/>
                    <w:ind w:left="0" w:right="0"/>
                    <w:jc w:val="center"/>
                    <w:rPr>
                      <w:rFonts w:hint="default"/>
                      <w:bCs/>
                      <w:spacing w:val="-10"/>
                      <w:szCs w:val="18"/>
                    </w:rPr>
                  </w:pPr>
                  <w:r>
                    <w:rPr>
                      <w:rFonts w:hint="eastAsia"/>
                      <w:bCs/>
                      <w:spacing w:val="-10"/>
                      <w:szCs w:val="18"/>
                    </w:rPr>
                    <w:t>达标</w:t>
                  </w:r>
                </w:p>
              </w:tc>
            </w:tr>
          </w:tbl>
          <w:p w14:paraId="7B437832">
            <w:pPr>
              <w:pStyle w:val="33"/>
              <w:keepNext w:val="0"/>
              <w:keepLines w:val="0"/>
              <w:suppressLineNumbers w:val="0"/>
              <w:spacing w:before="0" w:beforeAutospacing="0" w:after="0" w:afterAutospacing="0" w:line="360" w:lineRule="auto"/>
              <w:ind w:left="0" w:right="0" w:firstLine="440" w:firstLineChars="200"/>
              <w:rPr>
                <w:rFonts w:hint="eastAsia" w:ascii="Times New Roman" w:eastAsia="宋体" w:cs="Times New Roman"/>
                <w:bCs/>
                <w:spacing w:val="-10"/>
                <w:szCs w:val="21"/>
              </w:rPr>
            </w:pPr>
            <w:r>
              <w:rPr>
                <w:rFonts w:hint="eastAsia" w:ascii="Times New Roman" w:eastAsia="宋体" w:cs="Times New Roman"/>
                <w:bCs/>
                <w:spacing w:val="-10"/>
                <w:szCs w:val="21"/>
              </w:rPr>
              <w:t>根据上述预测，</w:t>
            </w:r>
            <w:r>
              <w:rPr>
                <w:rFonts w:hint="eastAsia" w:ascii="Times New Roman" w:eastAsia="宋体" w:cs="Times New Roman"/>
                <w:bCs/>
                <w:spacing w:val="-10"/>
                <w:szCs w:val="21"/>
                <w:lang w:val="en-US" w:eastAsia="zh-CN"/>
              </w:rPr>
              <w:t>本项目在采取噪声防治措施的前提下，噪声</w:t>
            </w:r>
            <w:r>
              <w:rPr>
                <w:rFonts w:hint="eastAsia" w:ascii="Times New Roman" w:eastAsia="宋体" w:cs="Times New Roman"/>
                <w:bCs/>
                <w:spacing w:val="-10"/>
                <w:szCs w:val="21"/>
              </w:rPr>
              <w:t>预测值满足</w:t>
            </w:r>
            <w:r>
              <w:rPr>
                <w:rFonts w:hint="default" w:ascii="Times New Roman" w:eastAsia="宋体" w:cs="Times New Roman"/>
                <w:bCs/>
                <w:spacing w:val="-10"/>
                <w:szCs w:val="21"/>
              </w:rPr>
              <w:t>《工业企业环境噪声排放标准》（GB12348-2008）</w:t>
            </w:r>
            <w:r>
              <w:rPr>
                <w:rFonts w:hint="eastAsia" w:ascii="Times New Roman" w:eastAsia="宋体" w:cs="Times New Roman"/>
                <w:bCs/>
                <w:spacing w:val="-10"/>
                <w:szCs w:val="21"/>
                <w:lang w:val="en-US" w:eastAsia="zh-CN"/>
              </w:rPr>
              <w:t>2</w:t>
            </w:r>
            <w:r>
              <w:rPr>
                <w:rFonts w:hint="default" w:ascii="Times New Roman" w:eastAsia="宋体" w:cs="Times New Roman"/>
                <w:bCs/>
                <w:spacing w:val="-10"/>
                <w:szCs w:val="21"/>
              </w:rPr>
              <w:t>类</w:t>
            </w:r>
            <w:r>
              <w:rPr>
                <w:rFonts w:hint="eastAsia" w:ascii="Times New Roman" w:eastAsia="宋体" w:cs="Times New Roman"/>
                <w:bCs/>
                <w:spacing w:val="-10"/>
                <w:szCs w:val="21"/>
              </w:rPr>
              <w:t>标准</w:t>
            </w:r>
            <w:r>
              <w:rPr>
                <w:rFonts w:hint="eastAsia" w:ascii="Times New Roman" w:eastAsia="宋体" w:cs="Times New Roman"/>
                <w:bCs/>
                <w:spacing w:val="-10"/>
                <w:szCs w:val="21"/>
                <w:lang w:eastAsia="zh-CN"/>
              </w:rPr>
              <w:t>，</w:t>
            </w:r>
            <w:r>
              <w:rPr>
                <w:rFonts w:hint="eastAsia" w:ascii="Times New Roman" w:eastAsia="宋体" w:cs="Times New Roman"/>
                <w:bCs/>
                <w:spacing w:val="-10"/>
                <w:szCs w:val="21"/>
              </w:rPr>
              <w:t>对周围环境影响很小。</w:t>
            </w:r>
          </w:p>
          <w:p w14:paraId="59ABA19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w:t>
            </w:r>
            <w:r>
              <w:rPr>
                <w:rFonts w:hint="eastAsia" w:ascii="Times New Roman" w:eastAsia="宋体" w:cs="Times New Roman"/>
                <w:bCs/>
                <w:spacing w:val="-10"/>
                <w:szCs w:val="21"/>
              </w:rPr>
              <w:t>5</w:t>
            </w:r>
            <w:r>
              <w:rPr>
                <w:rFonts w:hint="default" w:ascii="Times New Roman" w:eastAsia="宋体" w:cs="Times New Roman"/>
                <w:bCs/>
                <w:spacing w:val="-10"/>
                <w:szCs w:val="21"/>
              </w:rPr>
              <w:t>）</w:t>
            </w:r>
            <w:r>
              <w:rPr>
                <w:rFonts w:hint="eastAsia" w:ascii="Times New Roman" w:eastAsia="宋体" w:cs="Times New Roman"/>
                <w:bCs/>
                <w:spacing w:val="-10"/>
                <w:szCs w:val="21"/>
              </w:rPr>
              <w:t>噪声治理措施</w:t>
            </w:r>
          </w:p>
          <w:p w14:paraId="2533E303">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为进一步减少噪声对厂房外周围环境的影响，建议采取以下具体的降噪措施：</w:t>
            </w:r>
          </w:p>
          <w:p w14:paraId="757C4235">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①选用低噪声设备，从声源上降低噪声值；</w:t>
            </w:r>
          </w:p>
          <w:p w14:paraId="001F1AB8">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②提高各设备的安装精度，做好平衡调试；安装时采用基础减振措施，在设备和基础之间加装减振器，从而有效地降低振动强度；</w:t>
            </w:r>
          </w:p>
          <w:p w14:paraId="757D91A9">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default" w:ascii="Times New Roman" w:eastAsia="宋体" w:cs="Times New Roman"/>
                <w:bCs/>
                <w:spacing w:val="-10"/>
                <w:szCs w:val="21"/>
              </w:rPr>
              <w:t>③建立设备定期维护，保养的管理制度，以防止设备故障形成的非正常生产噪声，同时加强职工环保意识教育，提倡文明生产，防止人为噪声，最大限度减少流动噪声源。</w:t>
            </w:r>
          </w:p>
          <w:p w14:paraId="73459CC0">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eastAsia" w:ascii="Times New Roman" w:eastAsia="宋体" w:cs="Times New Roman"/>
                <w:bCs/>
                <w:spacing w:val="-10"/>
                <w:szCs w:val="21"/>
              </w:rPr>
              <w:t>（6）监测计划</w:t>
            </w:r>
          </w:p>
          <w:p w14:paraId="560F342D">
            <w:pPr>
              <w:pStyle w:val="33"/>
              <w:keepNext w:val="0"/>
              <w:keepLines w:val="0"/>
              <w:suppressLineNumbers w:val="0"/>
              <w:spacing w:before="0" w:beforeAutospacing="0" w:after="0" w:afterAutospacing="0" w:line="360" w:lineRule="auto"/>
              <w:ind w:left="0" w:right="0" w:firstLine="440" w:firstLineChars="200"/>
              <w:rPr>
                <w:rFonts w:hint="default" w:ascii="Times New Roman" w:eastAsia="宋体" w:cs="Times New Roman"/>
                <w:bCs/>
                <w:spacing w:val="-10"/>
                <w:szCs w:val="21"/>
              </w:rPr>
            </w:pPr>
            <w:r>
              <w:rPr>
                <w:rFonts w:hint="eastAsia" w:ascii="Times New Roman" w:eastAsia="宋体" w:cs="Times New Roman"/>
                <w:bCs/>
                <w:spacing w:val="-10"/>
                <w:szCs w:val="21"/>
              </w:rPr>
              <w:t xml:space="preserve"> </w:t>
            </w:r>
            <w:r>
              <w:rPr>
                <w:rFonts w:hint="default" w:ascii="Times New Roman" w:eastAsia="宋体" w:cs="Times New Roman"/>
                <w:bCs/>
                <w:spacing w:val="-10"/>
                <w:szCs w:val="21"/>
              </w:rPr>
              <w:t>项目运营期监测计划具体如下：</w:t>
            </w:r>
          </w:p>
          <w:p w14:paraId="303660A4">
            <w:pPr>
              <w:keepNext w:val="0"/>
              <w:keepLines w:val="0"/>
              <w:suppressLineNumbers w:val="0"/>
              <w:tabs>
                <w:tab w:val="left" w:pos="9345"/>
              </w:tabs>
              <w:spacing w:before="0" w:beforeAutospacing="0" w:after="0" w:afterAutospacing="0"/>
              <w:ind w:left="0" w:right="0"/>
              <w:jc w:val="center"/>
              <w:rPr>
                <w:rFonts w:hint="default"/>
                <w:b/>
                <w:bCs/>
                <w:color w:val="000000"/>
                <w:szCs w:val="21"/>
              </w:rPr>
            </w:pPr>
            <w:r>
              <w:rPr>
                <w:rFonts w:hint="eastAsia"/>
                <w:b/>
                <w:bCs/>
                <w:color w:val="000000"/>
                <w:szCs w:val="21"/>
              </w:rPr>
              <w:t xml:space="preserve">表4-10  </w:t>
            </w:r>
            <w:r>
              <w:rPr>
                <w:rFonts w:hint="default"/>
                <w:b/>
                <w:bCs/>
                <w:color w:val="000000"/>
                <w:szCs w:val="21"/>
              </w:rPr>
              <w:t xml:space="preserve"> 项目噪声监测计划</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18"/>
              <w:gridCol w:w="1579"/>
              <w:gridCol w:w="888"/>
              <w:gridCol w:w="955"/>
              <w:gridCol w:w="3104"/>
              <w:gridCol w:w="830"/>
            </w:tblGrid>
            <w:tr w14:paraId="3BDB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8" w:type="pct"/>
                  <w:noWrap w:val="0"/>
                  <w:vAlign w:val="center"/>
                </w:tcPr>
                <w:p w14:paraId="34A45250">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污染物种类</w:t>
                  </w:r>
                </w:p>
              </w:tc>
              <w:tc>
                <w:tcPr>
                  <w:tcW w:w="496" w:type="pct"/>
                  <w:noWrap w:val="0"/>
                  <w:vAlign w:val="center"/>
                </w:tcPr>
                <w:p w14:paraId="42F378C7">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监测项目</w:t>
                  </w:r>
                </w:p>
              </w:tc>
              <w:tc>
                <w:tcPr>
                  <w:tcW w:w="853" w:type="pct"/>
                  <w:noWrap w:val="0"/>
                  <w:vAlign w:val="center"/>
                </w:tcPr>
                <w:p w14:paraId="414A1F60">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监测点位置</w:t>
                  </w:r>
                </w:p>
              </w:tc>
              <w:tc>
                <w:tcPr>
                  <w:tcW w:w="480" w:type="pct"/>
                  <w:noWrap w:val="0"/>
                  <w:vAlign w:val="center"/>
                </w:tcPr>
                <w:p w14:paraId="7B661BB3">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监测点数</w:t>
                  </w:r>
                </w:p>
              </w:tc>
              <w:tc>
                <w:tcPr>
                  <w:tcW w:w="516" w:type="pct"/>
                  <w:noWrap w:val="0"/>
                  <w:vAlign w:val="center"/>
                </w:tcPr>
                <w:p w14:paraId="3ED4C7ED">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监测频率</w:t>
                  </w:r>
                </w:p>
              </w:tc>
              <w:tc>
                <w:tcPr>
                  <w:tcW w:w="1677" w:type="pct"/>
                  <w:noWrap w:val="0"/>
                  <w:vAlign w:val="center"/>
                </w:tcPr>
                <w:p w14:paraId="202F5F95">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执行标准</w:t>
                  </w:r>
                </w:p>
              </w:tc>
              <w:tc>
                <w:tcPr>
                  <w:tcW w:w="448" w:type="pct"/>
                  <w:noWrap w:val="0"/>
                  <w:vAlign w:val="center"/>
                </w:tcPr>
                <w:p w14:paraId="7C2841C4">
                  <w:pPr>
                    <w:keepNext w:val="0"/>
                    <w:keepLines w:val="0"/>
                    <w:suppressLineNumbers w:val="0"/>
                    <w:adjustRightInd w:val="0"/>
                    <w:snapToGrid w:val="0"/>
                    <w:spacing w:before="0" w:beforeAutospacing="0" w:after="0" w:afterAutospacing="0"/>
                    <w:ind w:left="0" w:right="0"/>
                    <w:jc w:val="center"/>
                    <w:rPr>
                      <w:rFonts w:hint="default"/>
                      <w:b/>
                      <w:bCs/>
                      <w:color w:val="000000"/>
                      <w:szCs w:val="21"/>
                    </w:rPr>
                  </w:pPr>
                  <w:r>
                    <w:rPr>
                      <w:rFonts w:hint="default"/>
                      <w:b/>
                      <w:bCs/>
                      <w:color w:val="000000"/>
                      <w:szCs w:val="21"/>
                    </w:rPr>
                    <w:t>备注</w:t>
                  </w:r>
                </w:p>
              </w:tc>
            </w:tr>
            <w:tr w14:paraId="3495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8" w:type="pct"/>
                  <w:noWrap w:val="0"/>
                  <w:vAlign w:val="center"/>
                </w:tcPr>
                <w:p w14:paraId="45B629B1">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厂界噪声</w:t>
                  </w:r>
                </w:p>
              </w:tc>
              <w:tc>
                <w:tcPr>
                  <w:tcW w:w="496" w:type="pct"/>
                  <w:noWrap w:val="0"/>
                  <w:vAlign w:val="center"/>
                </w:tcPr>
                <w:p w14:paraId="38A8C582">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Leq（A）</w:t>
                  </w:r>
                </w:p>
              </w:tc>
              <w:tc>
                <w:tcPr>
                  <w:tcW w:w="853" w:type="pct"/>
                  <w:noWrap w:val="0"/>
                  <w:vAlign w:val="center"/>
                </w:tcPr>
                <w:p w14:paraId="334CDF6C">
                  <w:pPr>
                    <w:keepNext w:val="0"/>
                    <w:keepLines w:val="0"/>
                    <w:suppressLineNumbers w:val="0"/>
                    <w:adjustRightInd w:val="0"/>
                    <w:snapToGrid w:val="0"/>
                    <w:spacing w:before="0" w:beforeAutospacing="0" w:after="0" w:afterAutospacing="0"/>
                    <w:ind w:left="-68" w:leftChars="-58" w:right="-65" w:rightChars="-31" w:hanging="54" w:hangingChars="26"/>
                    <w:jc w:val="center"/>
                    <w:rPr>
                      <w:rFonts w:hint="default"/>
                      <w:color w:val="000000"/>
                      <w:szCs w:val="21"/>
                    </w:rPr>
                  </w:pPr>
                  <w:r>
                    <w:rPr>
                      <w:rFonts w:hint="default"/>
                      <w:color w:val="000000"/>
                      <w:szCs w:val="21"/>
                    </w:rPr>
                    <w:t>工业场地厂界四周外各设置 1 个监测点位</w:t>
                  </w:r>
                </w:p>
              </w:tc>
              <w:tc>
                <w:tcPr>
                  <w:tcW w:w="480" w:type="pct"/>
                  <w:noWrap w:val="0"/>
                  <w:vAlign w:val="center"/>
                </w:tcPr>
                <w:p w14:paraId="392D05BA">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4个</w:t>
                  </w:r>
                </w:p>
              </w:tc>
              <w:tc>
                <w:tcPr>
                  <w:tcW w:w="516" w:type="pct"/>
                  <w:noWrap w:val="0"/>
                  <w:vAlign w:val="center"/>
                </w:tcPr>
                <w:p w14:paraId="29C29868">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每季度1次</w:t>
                  </w:r>
                </w:p>
              </w:tc>
              <w:tc>
                <w:tcPr>
                  <w:tcW w:w="1677" w:type="pct"/>
                  <w:noWrap w:val="0"/>
                  <w:vAlign w:val="center"/>
                </w:tcPr>
                <w:p w14:paraId="5B2942D3">
                  <w:pPr>
                    <w:keepNext w:val="0"/>
                    <w:keepLines w:val="0"/>
                    <w:suppressLineNumbers w:val="0"/>
                    <w:adjustRightInd w:val="0"/>
                    <w:snapToGrid w:val="0"/>
                    <w:spacing w:before="0" w:beforeAutospacing="0" w:after="0" w:afterAutospacing="0"/>
                    <w:ind w:left="0" w:right="0"/>
                    <w:jc w:val="center"/>
                    <w:rPr>
                      <w:rFonts w:hint="default"/>
                      <w:color w:val="000000"/>
                      <w:szCs w:val="21"/>
                    </w:rPr>
                  </w:pPr>
                  <w:r>
                    <w:rPr>
                      <w:rFonts w:hint="default"/>
                      <w:color w:val="000000"/>
                      <w:szCs w:val="21"/>
                    </w:rPr>
                    <w:t>《工业企业厂界环境噪声排放标准》（GB12348-2008）</w:t>
                  </w:r>
                  <w:r>
                    <w:rPr>
                      <w:rFonts w:hint="eastAsia"/>
                      <w:color w:val="000000"/>
                      <w:szCs w:val="21"/>
                      <w:lang w:val="en-US" w:eastAsia="zh-CN"/>
                    </w:rPr>
                    <w:t>2</w:t>
                  </w:r>
                  <w:r>
                    <w:rPr>
                      <w:rFonts w:hint="default"/>
                      <w:color w:val="000000"/>
                      <w:szCs w:val="21"/>
                    </w:rPr>
                    <w:t>类标准</w:t>
                  </w:r>
                </w:p>
              </w:tc>
              <w:tc>
                <w:tcPr>
                  <w:tcW w:w="448" w:type="pct"/>
                  <w:noWrap w:val="0"/>
                  <w:vAlign w:val="center"/>
                </w:tcPr>
                <w:p w14:paraId="67B12C3F">
                  <w:pPr>
                    <w:keepNext w:val="0"/>
                    <w:keepLines w:val="0"/>
                    <w:suppressLineNumbers w:val="0"/>
                    <w:adjustRightInd w:val="0"/>
                    <w:snapToGrid w:val="0"/>
                    <w:spacing w:before="0" w:beforeAutospacing="0" w:after="0" w:afterAutospacing="0"/>
                    <w:ind w:left="0" w:right="0"/>
                    <w:jc w:val="center"/>
                    <w:rPr>
                      <w:rFonts w:hint="eastAsia"/>
                      <w:color w:val="000000"/>
                      <w:szCs w:val="21"/>
                    </w:rPr>
                  </w:pPr>
                  <w:r>
                    <w:rPr>
                      <w:rFonts w:hint="eastAsia"/>
                      <w:color w:val="000000"/>
                      <w:szCs w:val="21"/>
                    </w:rPr>
                    <w:t>/</w:t>
                  </w:r>
                </w:p>
              </w:tc>
            </w:tr>
          </w:tbl>
          <w:p w14:paraId="27A674E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0"/>
                <w:sz w:val="24"/>
                <w:szCs w:val="21"/>
              </w:rPr>
            </w:pPr>
            <w:r>
              <w:rPr>
                <w:rFonts w:hint="eastAsia" w:ascii="Times New Roman" w:hAnsi="Times New Roman" w:eastAsia="宋体" w:cs="宋体"/>
                <w:color w:val="auto"/>
                <w:kern w:val="0"/>
                <w:sz w:val="24"/>
                <w:szCs w:val="21"/>
                <w:lang w:val="en-US" w:eastAsia="zh-CN"/>
              </w:rPr>
              <w:t>4、</w:t>
            </w:r>
            <w:r>
              <w:rPr>
                <w:rFonts w:hint="eastAsia" w:ascii="Times New Roman" w:hAnsi="Times New Roman" w:eastAsia="宋体" w:cs="宋体"/>
                <w:color w:val="auto"/>
                <w:kern w:val="0"/>
                <w:sz w:val="24"/>
                <w:szCs w:val="21"/>
              </w:rPr>
              <w:t>运营期固体废物环境影响和保护措施</w:t>
            </w:r>
          </w:p>
          <w:p w14:paraId="1599043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color w:val="auto"/>
                <w:kern w:val="0"/>
                <w:sz w:val="24"/>
                <w:szCs w:val="21"/>
              </w:rPr>
            </w:pPr>
            <w:r>
              <w:rPr>
                <w:rFonts w:hint="eastAsia" w:ascii="Times New Roman" w:hAnsi="Times New Roman" w:eastAsia="宋体" w:cs="宋体"/>
                <w:color w:val="auto"/>
                <w:kern w:val="0"/>
                <w:sz w:val="24"/>
                <w:szCs w:val="21"/>
              </w:rPr>
              <w:t>本项目锅炉运营期间产生的固体废物主要为废离子交换树脂。根据 2021年5月7日印发的《关于加强危险废物新旧名录衔接工作的通和》具体废物表述变更后，饮用水、工业纯水和锅炉软水制备过程中产生的废弃离子交换树脂按照一般工业固废管理。本项目锅炉软水装置采用离子交换脂，对离子交换树脂每3年更换一次，企业委托设备厂家进行更换，更换量为0.</w:t>
            </w:r>
            <w:r>
              <w:rPr>
                <w:rFonts w:hint="eastAsia" w:ascii="Times New Roman" w:cs="宋体"/>
                <w:color w:val="auto"/>
                <w:kern w:val="0"/>
                <w:sz w:val="24"/>
                <w:szCs w:val="21"/>
                <w:lang w:val="en-US" w:eastAsia="zh-CN"/>
              </w:rPr>
              <w:t>6t/</w:t>
            </w:r>
            <w:r>
              <w:rPr>
                <w:rFonts w:hint="eastAsia" w:ascii="Times New Roman" w:hAnsi="Times New Roman" w:eastAsia="宋体" w:cs="宋体"/>
                <w:color w:val="auto"/>
                <w:kern w:val="0"/>
                <w:sz w:val="24"/>
                <w:szCs w:val="21"/>
              </w:rPr>
              <w:t>次，更换的废弃离子交换树脂交由厂家回收，厂区不储存。</w:t>
            </w:r>
          </w:p>
          <w:p w14:paraId="164F3225">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b w:val="0"/>
                <w:bCs w:val="0"/>
                <w:color w:val="auto"/>
                <w:kern w:val="0"/>
                <w:sz w:val="24"/>
                <w:szCs w:val="21"/>
                <w:lang w:val="en-US" w:eastAsia="zh-CN"/>
              </w:rPr>
            </w:pPr>
            <w:r>
              <w:rPr>
                <w:rFonts w:hint="eastAsia" w:ascii="Times New Roman" w:hAnsi="Times New Roman" w:cs="宋体"/>
                <w:b w:val="0"/>
                <w:bCs w:val="0"/>
                <w:color w:val="auto"/>
                <w:kern w:val="0"/>
                <w:sz w:val="24"/>
                <w:szCs w:val="21"/>
              </w:rPr>
              <w:t>5.地下水</w:t>
            </w:r>
            <w:r>
              <w:rPr>
                <w:rFonts w:hint="eastAsia" w:ascii="Times New Roman" w:cs="宋体"/>
                <w:b w:val="0"/>
                <w:bCs w:val="0"/>
                <w:color w:val="auto"/>
                <w:kern w:val="0"/>
                <w:sz w:val="24"/>
                <w:szCs w:val="21"/>
                <w:lang w:val="en-US" w:eastAsia="zh-CN"/>
              </w:rPr>
              <w:t>和土壤</w:t>
            </w:r>
          </w:p>
          <w:p w14:paraId="5DE2261B">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宋体"/>
                <w:b w:val="0"/>
                <w:bCs w:val="0"/>
                <w:color w:val="auto"/>
                <w:kern w:val="0"/>
                <w:sz w:val="21"/>
                <w:szCs w:val="21"/>
              </w:rPr>
            </w:pPr>
            <w:r>
              <w:rPr>
                <w:rFonts w:hint="eastAsia" w:ascii="Times New Roman" w:hAnsi="Times New Roman" w:cs="宋体"/>
                <w:b w:val="0"/>
                <w:bCs w:val="0"/>
                <w:color w:val="auto"/>
                <w:kern w:val="0"/>
                <w:sz w:val="24"/>
                <w:szCs w:val="21"/>
              </w:rPr>
              <w:t>本次</w:t>
            </w:r>
            <w:r>
              <w:rPr>
                <w:rFonts w:hint="eastAsia" w:ascii="Times New Roman" w:hAnsi="Times New Roman" w:cs="宋体"/>
                <w:b w:val="0"/>
                <w:bCs w:val="0"/>
                <w:color w:val="auto"/>
                <w:kern w:val="0"/>
                <w:sz w:val="24"/>
                <w:szCs w:val="21"/>
                <w:lang w:eastAsia="zh-CN"/>
              </w:rPr>
              <w:t>技改</w:t>
            </w:r>
            <w:r>
              <w:rPr>
                <w:rFonts w:hint="eastAsia" w:ascii="Times New Roman" w:hAnsi="Times New Roman" w:cs="宋体"/>
                <w:b w:val="0"/>
                <w:bCs w:val="0"/>
                <w:color w:val="auto"/>
                <w:kern w:val="0"/>
                <w:sz w:val="24"/>
                <w:szCs w:val="21"/>
              </w:rPr>
              <w:t>项目新建2台</w:t>
            </w:r>
            <w:r>
              <w:rPr>
                <w:rFonts w:hint="eastAsia" w:ascii="Times New Roman" w:hAnsi="Times New Roman" w:cs="宋体"/>
                <w:b w:val="0"/>
                <w:bCs w:val="0"/>
                <w:color w:val="auto"/>
                <w:kern w:val="0"/>
                <w:sz w:val="24"/>
                <w:szCs w:val="21"/>
                <w:lang w:val="en-US" w:eastAsia="zh-CN"/>
              </w:rPr>
              <w:t>36t</w:t>
            </w:r>
            <w:r>
              <w:rPr>
                <w:rFonts w:hint="eastAsia" w:ascii="Times New Roman" w:hAnsi="Times New Roman" w:cs="宋体"/>
                <w:b w:val="0"/>
                <w:bCs w:val="0"/>
                <w:color w:val="auto"/>
                <w:kern w:val="0"/>
                <w:sz w:val="24"/>
                <w:szCs w:val="21"/>
              </w:rPr>
              <w:t>/h</w:t>
            </w:r>
            <w:r>
              <w:rPr>
                <w:rFonts w:hint="eastAsia" w:ascii="Times New Roman" w:hAnsi="Times New Roman" w:cs="宋体"/>
                <w:b w:val="0"/>
                <w:bCs w:val="0"/>
                <w:color w:val="auto"/>
                <w:kern w:val="0"/>
                <w:sz w:val="24"/>
                <w:szCs w:val="21"/>
                <w:lang w:val="en-US" w:eastAsia="zh-CN"/>
              </w:rPr>
              <w:t>燃煤</w:t>
            </w:r>
            <w:r>
              <w:rPr>
                <w:rFonts w:hint="eastAsia" w:ascii="Times New Roman" w:hAnsi="Times New Roman" w:cs="宋体"/>
                <w:b w:val="0"/>
                <w:bCs w:val="0"/>
                <w:color w:val="auto"/>
                <w:kern w:val="0"/>
                <w:sz w:val="24"/>
                <w:szCs w:val="21"/>
              </w:rPr>
              <w:t>锅炉及其配套设施，同步拆除现有锅炉房内的</w:t>
            </w:r>
            <w:r>
              <w:rPr>
                <w:rFonts w:hint="eastAsia" w:ascii="Times New Roman" w:hAnsi="Times New Roman" w:cs="宋体"/>
                <w:b w:val="0"/>
                <w:bCs w:val="0"/>
                <w:color w:val="auto"/>
                <w:kern w:val="0"/>
                <w:sz w:val="24"/>
                <w:szCs w:val="21"/>
                <w:lang w:val="en-US" w:eastAsia="zh-CN"/>
              </w:rPr>
              <w:t>3</w:t>
            </w:r>
            <w:r>
              <w:rPr>
                <w:rFonts w:hint="eastAsia" w:ascii="Times New Roman" w:hAnsi="Times New Roman" w:cs="宋体"/>
                <w:b w:val="0"/>
                <w:bCs w:val="0"/>
                <w:color w:val="auto"/>
                <w:kern w:val="0"/>
                <w:sz w:val="24"/>
                <w:szCs w:val="21"/>
              </w:rPr>
              <w:t>×</w:t>
            </w:r>
            <w:r>
              <w:rPr>
                <w:rFonts w:hint="eastAsia" w:ascii="Times New Roman" w:hAnsi="Times New Roman" w:cs="宋体"/>
                <w:b w:val="0"/>
                <w:bCs w:val="0"/>
                <w:color w:val="auto"/>
                <w:kern w:val="0"/>
                <w:sz w:val="24"/>
                <w:szCs w:val="21"/>
                <w:lang w:val="en-US" w:eastAsia="zh-CN"/>
              </w:rPr>
              <w:t>4</w:t>
            </w:r>
            <w:r>
              <w:rPr>
                <w:rFonts w:hint="eastAsia" w:ascii="Times New Roman" w:hAnsi="Times New Roman" w:cs="宋体"/>
                <w:b w:val="0"/>
                <w:bCs w:val="0"/>
                <w:color w:val="auto"/>
                <w:kern w:val="0"/>
                <w:sz w:val="24"/>
                <w:szCs w:val="21"/>
              </w:rPr>
              <w:t>t/h</w:t>
            </w:r>
            <w:r>
              <w:rPr>
                <w:rFonts w:hint="eastAsia" w:ascii="Times New Roman" w:hAnsi="Times New Roman" w:cs="宋体"/>
                <w:b w:val="0"/>
                <w:bCs w:val="0"/>
                <w:color w:val="auto"/>
                <w:kern w:val="0"/>
                <w:sz w:val="24"/>
                <w:szCs w:val="21"/>
                <w:lang w:val="en-US" w:eastAsia="zh-CN"/>
              </w:rPr>
              <w:t>燃煤</w:t>
            </w:r>
            <w:r>
              <w:rPr>
                <w:rFonts w:hint="eastAsia" w:ascii="Times New Roman" w:hAnsi="Times New Roman" w:cs="宋体"/>
                <w:b w:val="0"/>
                <w:bCs w:val="0"/>
                <w:color w:val="auto"/>
                <w:kern w:val="0"/>
                <w:sz w:val="24"/>
                <w:szCs w:val="21"/>
              </w:rPr>
              <w:t>锅炉。根据《环境影响评价技术导则地下水环境》（HJ610-2016）中附录A地下水环境影响评价行业分类表可知，本项目属于</w:t>
            </w:r>
            <w:r>
              <w:rPr>
                <w:rFonts w:hint="eastAsia" w:ascii="Times New Roman" w:hAnsi="Times New Roman" w:cs="宋体"/>
                <w:b w:val="0"/>
                <w:bCs w:val="0"/>
                <w:color w:val="auto"/>
                <w:kern w:val="0"/>
                <w:sz w:val="24"/>
                <w:szCs w:val="21"/>
                <w:lang w:val="en-US" w:eastAsia="zh-CN"/>
              </w:rPr>
              <w:t>Ⅳ</w:t>
            </w:r>
            <w:r>
              <w:rPr>
                <w:rFonts w:hint="eastAsia" w:ascii="Times New Roman" w:hAnsi="Times New Roman" w:cs="宋体"/>
                <w:b w:val="0"/>
                <w:bCs w:val="0"/>
                <w:color w:val="auto"/>
                <w:kern w:val="0"/>
                <w:sz w:val="24"/>
                <w:szCs w:val="21"/>
              </w:rPr>
              <w:t>类项目，不</w:t>
            </w:r>
            <w:r>
              <w:rPr>
                <w:rFonts w:hint="eastAsia" w:ascii="Times New Roman" w:hAnsi="Times New Roman" w:cs="宋体"/>
                <w:b w:val="0"/>
                <w:bCs w:val="0"/>
                <w:color w:val="auto"/>
                <w:kern w:val="0"/>
                <w:sz w:val="24"/>
                <w:szCs w:val="21"/>
                <w:lang w:val="en-US" w:eastAsia="zh-CN"/>
              </w:rPr>
              <w:t>需</w:t>
            </w:r>
            <w:r>
              <w:rPr>
                <w:rFonts w:hint="eastAsia" w:ascii="Times New Roman" w:hAnsi="Times New Roman" w:cs="宋体"/>
                <w:b w:val="0"/>
                <w:bCs w:val="0"/>
                <w:color w:val="auto"/>
                <w:kern w:val="0"/>
                <w:sz w:val="24"/>
                <w:szCs w:val="21"/>
              </w:rPr>
              <w:t>开展地下水环境影响评价。项目工艺排水</w:t>
            </w:r>
            <w:r>
              <w:rPr>
                <w:rFonts w:hint="eastAsia" w:ascii="Times New Roman" w:hAnsi="Times New Roman" w:cs="宋体"/>
                <w:b w:val="0"/>
                <w:bCs w:val="0"/>
                <w:color w:val="auto"/>
                <w:kern w:val="0"/>
                <w:sz w:val="24"/>
                <w:szCs w:val="21"/>
                <w:lang w:val="en-US" w:eastAsia="zh-CN"/>
              </w:rPr>
              <w:t>处理后</w:t>
            </w:r>
            <w:r>
              <w:rPr>
                <w:rFonts w:hint="eastAsia" w:ascii="Times New Roman" w:hAnsi="Times New Roman" w:cs="宋体"/>
                <w:b w:val="0"/>
                <w:bCs w:val="0"/>
                <w:color w:val="auto"/>
                <w:kern w:val="0"/>
                <w:sz w:val="24"/>
                <w:szCs w:val="21"/>
              </w:rPr>
              <w:t>全部循环利用，不外排。本次评价要求企业对尿素溶解车间（内含尿素溶解罐、储罐等）、尿素储存间，按照《环境影响评价技术导则地下水环境》（HJ610-2016）表7中建议的一般防渗要求，按规范要求实施防渗措施，渗透系数不</w:t>
            </w:r>
            <w:r>
              <w:rPr>
                <w:rFonts w:hint="eastAsia" w:ascii="Times New Roman" w:cs="宋体"/>
                <w:b w:val="0"/>
                <w:bCs w:val="0"/>
                <w:color w:val="auto"/>
                <w:kern w:val="0"/>
                <w:sz w:val="24"/>
                <w:szCs w:val="21"/>
                <w:lang w:val="en-US" w:eastAsia="zh-CN"/>
              </w:rPr>
              <w:t>小</w:t>
            </w:r>
            <w:r>
              <w:rPr>
                <w:rFonts w:hint="eastAsia" w:ascii="Times New Roman" w:hAnsi="Times New Roman" w:cs="宋体"/>
                <w:b w:val="0"/>
                <w:bCs w:val="0"/>
                <w:color w:val="auto"/>
                <w:kern w:val="0"/>
                <w:sz w:val="24"/>
                <w:szCs w:val="21"/>
              </w:rPr>
              <w:t>于1×10</w:t>
            </w:r>
            <w:r>
              <w:rPr>
                <w:rFonts w:hint="eastAsia" w:ascii="Times New Roman" w:hAnsi="Times New Roman" w:cs="宋体"/>
                <w:b w:val="0"/>
                <w:bCs w:val="0"/>
                <w:color w:val="auto"/>
                <w:kern w:val="0"/>
                <w:sz w:val="24"/>
                <w:szCs w:val="21"/>
                <w:vertAlign w:val="superscript"/>
              </w:rPr>
              <w:t>-7</w:t>
            </w:r>
            <w:r>
              <w:rPr>
                <w:rFonts w:hint="eastAsia" w:ascii="Times New Roman" w:hAnsi="Times New Roman" w:cs="宋体"/>
                <w:b w:val="0"/>
                <w:bCs w:val="0"/>
                <w:color w:val="auto"/>
                <w:kern w:val="0"/>
                <w:sz w:val="24"/>
                <w:szCs w:val="21"/>
              </w:rPr>
              <w:t>cm/s，对地下水环境影响较小。</w:t>
            </w:r>
          </w:p>
          <w:p w14:paraId="434F50D2">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b w:val="0"/>
                <w:bCs w:val="0"/>
                <w:color w:val="auto"/>
                <w:kern w:val="0"/>
                <w:sz w:val="24"/>
                <w:szCs w:val="21"/>
                <w:lang w:val="en-US" w:eastAsia="zh-CN"/>
              </w:rPr>
            </w:pPr>
            <w:r>
              <w:rPr>
                <w:rFonts w:hint="eastAsia" w:ascii="Times New Roman" w:hAnsi="Times New Roman" w:cs="宋体"/>
                <w:b w:val="0"/>
                <w:bCs w:val="0"/>
                <w:color w:val="auto"/>
                <w:kern w:val="0"/>
                <w:sz w:val="24"/>
                <w:szCs w:val="21"/>
                <w:lang w:val="en-US" w:eastAsia="zh-CN"/>
              </w:rPr>
              <w:t>6.环境风险</w:t>
            </w:r>
          </w:p>
          <w:p w14:paraId="23CB289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建设项目环境风险评价技术导则》（HJ169-2018）对建设项目环境风险进行评价，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14:paraId="6A14B013">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环境风险评价等级</w:t>
            </w:r>
          </w:p>
          <w:p w14:paraId="3236DBB6">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①危险物质数量与临界量比值（Q）</w:t>
            </w:r>
          </w:p>
          <w:p w14:paraId="16E61546">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对照《建设项目环境风险影响评价技术导则》（HJ/T169-2018）附录 B，计算所涉及的每种危险物质在厂界内的最大存在总量与其在附录 B 中对应临界量的比值 Q。当存在多种危险物质时，按下式计算物质总量与其临界量的比值（Q）：</w:t>
            </w:r>
          </w:p>
          <w:p w14:paraId="5CB5992B">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drawing>
                <wp:inline distT="0" distB="0" distL="114300" distR="114300">
                  <wp:extent cx="4857750" cy="949960"/>
                  <wp:effectExtent l="0" t="0" r="0" b="254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25"/>
                          <a:stretch>
                            <a:fillRect/>
                          </a:stretch>
                        </pic:blipFill>
                        <pic:spPr>
                          <a:xfrm>
                            <a:off x="0" y="0"/>
                            <a:ext cx="4857750" cy="949960"/>
                          </a:xfrm>
                          <a:prstGeom prst="rect">
                            <a:avLst/>
                          </a:prstGeom>
                          <a:noFill/>
                          <a:ln>
                            <a:noFill/>
                          </a:ln>
                        </pic:spPr>
                      </pic:pic>
                    </a:graphicData>
                  </a:graphic>
                </wp:inline>
              </w:drawing>
            </w:r>
          </w:p>
          <w:p w14:paraId="34144EE7">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当Q＜1时，该项目环境风险潜势为Ⅰ。</w:t>
            </w:r>
          </w:p>
          <w:p w14:paraId="4234F139">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当Q≥1时，将Q值划分为：（1）1≤Q＜10；（2）10≤Q＜100；（3）Q≥100。</w:t>
            </w:r>
          </w:p>
          <w:p w14:paraId="0AA62579">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rPr>
            </w:pPr>
            <w:r>
              <w:rPr>
                <w:rFonts w:hint="default" w:ascii="Times New Roman" w:hAnsi="Times New Roman" w:cs="Times New Roman"/>
                <w:color w:val="auto"/>
                <w:sz w:val="24"/>
              </w:rPr>
              <w:t>②风险潜势初判 Q 值的确定</w:t>
            </w:r>
          </w:p>
          <w:p w14:paraId="5486BB8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本项目主要危险物质为</w:t>
            </w:r>
            <w:r>
              <w:rPr>
                <w:rFonts w:hint="eastAsia" w:ascii="Times New Roman" w:hAnsi="Times New Roman" w:cs="Times New Roman"/>
                <w:color w:val="auto"/>
                <w:sz w:val="24"/>
                <w:highlight w:val="none"/>
                <w:lang w:val="en-US" w:eastAsia="zh-CN"/>
              </w:rPr>
              <w:t>天然气（甲烷）</w:t>
            </w:r>
            <w:r>
              <w:rPr>
                <w:rFonts w:hint="default" w:ascii="Times New Roman" w:hAnsi="Times New Roman" w:cs="Times New Roman"/>
                <w:color w:val="auto"/>
                <w:sz w:val="24"/>
                <w:highlight w:val="none"/>
              </w:rPr>
              <w:t>，根据《建设项目环境风险评价技术导则》(HJ169-2018)附录B，天然</w:t>
            </w:r>
            <w:r>
              <w:rPr>
                <w:rFonts w:hint="eastAsia" w:ascii="Times New Roman" w:hAnsi="Times New Roman" w:cs="Times New Roman"/>
                <w:color w:val="auto"/>
                <w:sz w:val="24"/>
                <w:highlight w:val="none"/>
                <w:lang w:val="en-US" w:eastAsia="zh-CN"/>
              </w:rPr>
              <w:t>气（</w:t>
            </w:r>
            <w:r>
              <w:rPr>
                <w:rFonts w:hint="default" w:ascii="Times New Roman" w:hAnsi="Times New Roman" w:cs="Times New Roman"/>
                <w:color w:val="auto"/>
                <w:sz w:val="24"/>
                <w:highlight w:val="none"/>
              </w:rPr>
              <w:t>甲烷</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的临界量为10t。本项目使用的天然气为管道天然气，厂内不储存。锅炉房内管道长</w:t>
            </w: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0m，直径3cm，管段容积为 0.01413m</w:t>
            </w:r>
            <w:r>
              <w:rPr>
                <w:rFonts w:hint="eastAsia"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，密度按0.7061kg</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m</w:t>
            </w:r>
            <w:r>
              <w:rPr>
                <w:rFonts w:hint="eastAsia"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计算。管道内实际量为0.00001014t。</w:t>
            </w:r>
          </w:p>
          <w:p w14:paraId="0988F50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根据《建设项目环境风险评价技术导则》(HJ169-2018)附录B要求，则Q=0.000001014&lt;1，根据附录C危险物质及工艺系统危险性的分级，则该项目环境风险潜势为</w:t>
            </w:r>
            <w:r>
              <w:rPr>
                <w:rFonts w:hint="default" w:ascii="Times New Roman" w:hAnsi="Times New Roman" w:eastAsia="宋体" w:cs="Times New Roman"/>
                <w:color w:val="auto"/>
                <w:sz w:val="24"/>
                <w:highlight w:val="none"/>
              </w:rPr>
              <w:t>Ⅰ</w:t>
            </w:r>
            <w:r>
              <w:rPr>
                <w:rFonts w:hint="default" w:ascii="Times New Roman" w:hAnsi="Times New Roman" w:cs="Times New Roman"/>
                <w:color w:val="auto"/>
                <w:sz w:val="24"/>
                <w:highlight w:val="none"/>
              </w:rPr>
              <w:t>。</w:t>
            </w:r>
          </w:p>
          <w:p w14:paraId="7BFCAC47">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环境风险主要是天然气泄漏对周围环境的影响和发生火灾爆炸产生的次生环境影响，如天然气发生火灾爆炸时不完全燃烧产生的CO气体在短时间浓度值增高</w:t>
            </w:r>
            <w:r>
              <w:rPr>
                <w:rFonts w:hint="eastAsia" w:ascii="Times New Roman" w:hAnsi="Times New Roman" w:cs="Times New Roman"/>
                <w:color w:val="auto"/>
                <w:sz w:val="24"/>
                <w:highlight w:val="none"/>
                <w:lang w:eastAsia="zh-CN"/>
              </w:rPr>
              <w:t>。</w:t>
            </w:r>
          </w:p>
          <w:p w14:paraId="6A81B09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环境风险影响途径</w:t>
            </w:r>
          </w:p>
          <w:p w14:paraId="6E1F9A0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①本项目天然气管道泄漏引起大气污染，对环境造成二次污染</w:t>
            </w:r>
            <w:r>
              <w:rPr>
                <w:rFonts w:hint="eastAsia" w:ascii="Times New Roman" w:hAnsi="Times New Roman" w:cs="Times New Roman"/>
                <w:color w:val="auto"/>
                <w:sz w:val="24"/>
                <w:highlight w:val="none"/>
                <w:lang w:eastAsia="zh-CN"/>
              </w:rPr>
              <w:t>；</w:t>
            </w:r>
          </w:p>
          <w:p w14:paraId="7670922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②天然气在遇明火、高温时易发生火灾，一旦泄露物料发生火灾或者爆炸引起的次生及伴生影响主要体现在火灾过程产生的燃烧产物和灭火过程产生的消防水，造成影响地下水、地表水污染。</w:t>
            </w:r>
          </w:p>
          <w:p w14:paraId="2B8F156E">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风险防范应急措施该项目主要是在工艺、设备、装置方面采取风险防范措施</w:t>
            </w:r>
            <w:r>
              <w:rPr>
                <w:rFonts w:hint="eastAsia" w:ascii="Times New Roman" w:hAnsi="Times New Roman" w:eastAsia="宋体" w:cs="Times New Roman"/>
                <w:color w:val="auto"/>
                <w:sz w:val="24"/>
                <w:highlight w:val="none"/>
                <w:lang w:eastAsia="zh-CN"/>
              </w:rPr>
              <w:t>：</w:t>
            </w:r>
          </w:p>
          <w:p w14:paraId="42B9CCCE">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①加强对天然气管道、阀门等的定期检修和维护，以防意外事故的发生，发现故障，应立即维修更换</w:t>
            </w:r>
            <w:r>
              <w:rPr>
                <w:rFonts w:hint="eastAsia" w:ascii="Times New Roman" w:hAnsi="Times New Roman" w:eastAsia="宋体" w:cs="Times New Roman"/>
                <w:color w:val="auto"/>
                <w:sz w:val="24"/>
                <w:highlight w:val="none"/>
                <w:lang w:eastAsia="zh-CN"/>
              </w:rPr>
              <w:t>。</w:t>
            </w:r>
          </w:p>
          <w:p w14:paraId="1074ABB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②加强对锅炉房的安全管理，确保安全生产。厂区配备足够数量的移动式消防器材，应按时巡检、安全检查，并在墙的拐角处等天然气易积聚的地方安装可燃气体报警器，及时发现问题、及时解决。</w:t>
            </w:r>
          </w:p>
          <w:p w14:paraId="639AB8E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③加强对用电设备管理，电线线路及设备线路定期进行检查，加强管理和安全知识教育，增强防范意识，防止火灾发生。</w:t>
            </w:r>
          </w:p>
          <w:p w14:paraId="09BC62A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④妥善存放原料和产品，设专人管理，在原料和产品储存区禁止明火。</w:t>
            </w:r>
          </w:p>
          <w:p w14:paraId="11F7119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⑤要有充分的应急措施，项目应按照相关规定设置逃生系统，并能够有足够</w:t>
            </w:r>
            <w:r>
              <w:rPr>
                <w:rFonts w:hint="eastAsia" w:ascii="Times New Roman" w:hAnsi="Times New Roman" w:eastAsia="宋体" w:cs="Times New Roman"/>
                <w:color w:val="auto"/>
                <w:sz w:val="24"/>
                <w:highlight w:val="none"/>
                <w:lang w:val="en-US" w:eastAsia="zh-CN"/>
              </w:rPr>
              <w:t>并匹配的</w:t>
            </w:r>
            <w:r>
              <w:rPr>
                <w:rFonts w:hint="default" w:ascii="Times New Roman" w:hAnsi="Times New Roman" w:eastAsia="宋体" w:cs="Times New Roman"/>
                <w:color w:val="auto"/>
                <w:sz w:val="24"/>
                <w:highlight w:val="none"/>
              </w:rPr>
              <w:t>消防器材及备用应急电源。</w:t>
            </w:r>
          </w:p>
          <w:p w14:paraId="4263A27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事故应急处置</w:t>
            </w:r>
          </w:p>
          <w:p w14:paraId="6132901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①泄漏事故应急处置</w:t>
            </w:r>
          </w:p>
          <w:p w14:paraId="2A226EE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如发现天然气泄漏，及时打开事故排气扇通风，严禁明火。</w:t>
            </w:r>
          </w:p>
          <w:p w14:paraId="1139379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②火灾爆炸应急事故处置</w:t>
            </w:r>
          </w:p>
          <w:p w14:paraId="658F599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起火初期或火势较小时，应急处置人员利用灭火器进行灭火，防止事态进步扩大和引发次生事故，如火势继续扩大，灭火器无法扑灭，应急队员迅速撤离至安全地方，等待外援力量</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根据火势情况设置警戒区，组织周围无关人员撤离</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组织自救，或引导专业救援人员开展救援工作</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应急救援组配合好救援队的救援工作:封锁事故现场和危险区域，设置警示标志，维护好事故现场秩序</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当消防队赶到现场后，负责向上级消防救援力量提供燃烧介质的消防特性，中毒防护方法及着火设备的禁忌注意事项</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确保火场上器材装备、供水排水、供电照明、运输工具、食品衣物等灭火工作所需的各种物资供应保障工作</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火灾扑灭后，迅速将有关情况上报政府相关主管部门。</w:t>
            </w:r>
          </w:p>
          <w:p w14:paraId="653BD33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应急预案编制要求</w:t>
            </w:r>
          </w:p>
          <w:p w14:paraId="4AB47AF2">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突发环境事件应急预案编制内容包括预案适用范围、环境事件分类与分级、指挥机构及职责、监控与预警、应急响应、应急保障、善后处置、预案管理与演练等，其具体内容如下</w:t>
            </w:r>
            <w:r>
              <w:rPr>
                <w:rFonts w:hint="eastAsia" w:ascii="Times New Roman" w:hAnsi="Times New Roman" w:eastAsia="宋体" w:cs="Times New Roman"/>
                <w:color w:val="auto"/>
                <w:sz w:val="24"/>
                <w:highlight w:val="none"/>
                <w:lang w:eastAsia="zh-CN"/>
              </w:rPr>
              <w:t>：</w:t>
            </w:r>
          </w:p>
          <w:p w14:paraId="35D8D7A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①预案适用范围</w:t>
            </w:r>
          </w:p>
          <w:p w14:paraId="070CC6D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预案适用于</w:t>
            </w:r>
            <w:r>
              <w:rPr>
                <w:rFonts w:hint="eastAsia" w:ascii="Times New Roman" w:hAnsi="Times New Roman" w:eastAsia="宋体" w:cs="Times New Roman"/>
                <w:color w:val="auto"/>
                <w:sz w:val="24"/>
                <w:highlight w:val="none"/>
                <w:lang w:val="en-US" w:eastAsia="zh-CN"/>
              </w:rPr>
              <w:t>陇县第一污水处理厂供热站项目</w:t>
            </w:r>
            <w:r>
              <w:rPr>
                <w:rFonts w:hint="default" w:ascii="Times New Roman" w:hAnsi="Times New Roman" w:eastAsia="宋体" w:cs="Times New Roman"/>
                <w:color w:val="auto"/>
                <w:sz w:val="24"/>
                <w:highlight w:val="none"/>
              </w:rPr>
              <w:t>突发环境事件应对工作。</w:t>
            </w:r>
          </w:p>
          <w:p w14:paraId="38EEB66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②环境事件分类与分级</w:t>
            </w:r>
          </w:p>
          <w:p w14:paraId="35CD6A0B">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环境事件按照泄露、火灾、爆炸进行分类，同事按照事件严重程度进行分</w:t>
            </w:r>
            <w:r>
              <w:rPr>
                <w:rFonts w:hint="eastAsia" w:ascii="Times New Roman" w:hAnsi="Times New Roman" w:eastAsia="宋体" w:cs="Times New Roman"/>
                <w:color w:val="auto"/>
                <w:sz w:val="24"/>
                <w:highlight w:val="none"/>
                <w:lang w:val="en-US" w:eastAsia="zh-CN"/>
              </w:rPr>
              <w:t>级。</w:t>
            </w:r>
          </w:p>
          <w:p w14:paraId="5B32CA6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③指挥机构及职责</w:t>
            </w:r>
          </w:p>
          <w:p w14:paraId="59CD852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成立应急工作领导小组，其重要工作任务和职责为</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贯彻执行国家、当地政府、上级主管部门关于环境风险事故发生和应急救援的方针、政策及有关规定</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负责组织公司制定、修订突发环境事件应急预案工作，有计划地组织实施突发环境事件应急预案的培训和演习</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检查、督促做好各项环境风险事故的预防措施及应急救援的各项准备工作</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审批用于环境风险事故应急救援的防护器材、救援器材购置</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发布和解除事故应急救援命令、信号</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组织指挥事故应急</w:t>
            </w:r>
            <w:r>
              <w:rPr>
                <w:rFonts w:hint="eastAsia" w:ascii="Times New Roman" w:hAnsi="Times New Roman" w:eastAsia="宋体" w:cs="Times New Roman"/>
                <w:color w:val="auto"/>
                <w:sz w:val="24"/>
                <w:highlight w:val="none"/>
                <w:lang w:val="en-US" w:eastAsia="zh-CN"/>
              </w:rPr>
              <w:t>救</w:t>
            </w:r>
            <w:r>
              <w:rPr>
                <w:rFonts w:hint="default" w:ascii="Times New Roman" w:hAnsi="Times New Roman" w:eastAsia="宋体" w:cs="Times New Roman"/>
                <w:color w:val="auto"/>
                <w:sz w:val="24"/>
                <w:highlight w:val="none"/>
              </w:rPr>
              <w:t>援队伍实施行动，向有关部门和友邻单位通报事故情况，必要时向有关单位发出救援请求;组织事故调查，总结事故应急救援的经验与教训</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负责保护事故现场及有关数据。</w:t>
            </w:r>
          </w:p>
          <w:p w14:paraId="6E600F8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④监控与预警</w:t>
            </w:r>
          </w:p>
          <w:p w14:paraId="7DBC316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对生产过程中各环境风险单元进行调查，掌握潜在环境风险源污染物的产种类及分布情况，针对污染物的特点提出相应的应急措施，做好预防工作当发生天然气泄漏或火灾、爆炸等紧急情况，启动应急预案。设置 24小时联系电话等报警、通讯联络方式。</w:t>
            </w:r>
          </w:p>
          <w:p w14:paraId="0AD481D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⑤应急响应</w:t>
            </w:r>
          </w:p>
          <w:p w14:paraId="3C0EEAE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建立三级响应机制，针对泄漏、火灾等风险情况采取有针对性的应急措施司时进行应急监测。当环境风险已被控制，应急指挥部命令联络小组，宣布应急结束。规定应急终止后的行动。</w:t>
            </w:r>
          </w:p>
          <w:p w14:paraId="228285D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⑥</w:t>
            </w:r>
            <w:r>
              <w:rPr>
                <w:rFonts w:hint="default" w:ascii="Times New Roman" w:hAnsi="Times New Roman" w:eastAsia="宋体" w:cs="Times New Roman"/>
                <w:color w:val="auto"/>
                <w:sz w:val="24"/>
                <w:highlight w:val="none"/>
              </w:rPr>
              <w:t>应急保障</w:t>
            </w:r>
          </w:p>
          <w:p w14:paraId="441A791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对人员培训、环境风险源监控设施及应急器材提供经费保障。对应急救援所需的器材等提供物质装备保障。对应急救援各项工作提供制度保障。同时还提供应急队伍保障、通信与信息保障。</w:t>
            </w:r>
          </w:p>
          <w:p w14:paraId="541A4B4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⑦善后处置</w:t>
            </w:r>
          </w:p>
          <w:p w14:paraId="34C3786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主要工作为保留现场并隔离警戒，待完成政府相关部门的取证调查后可开始事故后复原工作，对受影响人员进行妥善安置和损失赔偿。对突发环境事件中长期环境影响进行评估，提出生态环境补偿和对遭受污染的生态环境进行恢复的建议。</w:t>
            </w:r>
          </w:p>
          <w:p w14:paraId="00D31FA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⑧预案管理与演练</w:t>
            </w:r>
          </w:p>
          <w:p w14:paraId="25733F0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定期对全员进行安全环保专业培训，定期进行突发环境事件应急救援预案演练。</w:t>
            </w:r>
          </w:p>
          <w:p w14:paraId="4D3CFF2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环境风险小结</w:t>
            </w:r>
          </w:p>
          <w:p w14:paraId="7D00060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项目运行过程中存在火灾风险，必须严格执行国家的技术规范和操作规程要求，落实各项安全规章制度，避免火灾事故的发生。</w:t>
            </w:r>
          </w:p>
          <w:p w14:paraId="04711F5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在认真落实项目已采取的安全措施及评价所提出的安全措施及安全对策后，本项目的事故对周围的影响是可以接受的</w:t>
            </w:r>
            <w:r>
              <w:rPr>
                <w:rFonts w:hint="eastAsia" w:ascii="Times New Roman" w:hAnsi="Times New Roman" w:eastAsia="宋体" w:cs="Times New Roman"/>
                <w:color w:val="auto"/>
                <w:sz w:val="24"/>
                <w:highlight w:val="none"/>
                <w:lang w:val="en-US" w:eastAsia="zh-CN"/>
              </w:rPr>
              <w:t>.</w:t>
            </w:r>
          </w:p>
          <w:p w14:paraId="79BF3AC7">
            <w:pPr>
              <w:pStyle w:val="10"/>
              <w:keepNext w:val="0"/>
              <w:keepLines w:val="0"/>
              <w:suppressLineNumbers w:val="0"/>
              <w:spacing w:before="0" w:beforeAutospacing="0" w:afterAutospacing="0"/>
              <w:ind w:left="0" w:leftChars="0" w:firstLine="0" w:firstLineChars="0"/>
              <w:rPr>
                <w:rFonts w:hint="default"/>
              </w:rPr>
            </w:pPr>
          </w:p>
        </w:tc>
      </w:tr>
    </w:tbl>
    <w:p w14:paraId="5C38A012">
      <w:pPr>
        <w:rPr>
          <w:color w:val="auto"/>
        </w:rPr>
        <w:sectPr>
          <w:pgSz w:w="11907" w:h="16840"/>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619B380A">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2" w:name="_Hlk54167917"/>
      <w:r>
        <w:rPr>
          <w:rFonts w:hint="eastAsia" w:ascii="黑体" w:hAnsi="黑体" w:eastAsia="黑体"/>
          <w:snapToGrid w:val="0"/>
          <w:color w:val="auto"/>
          <w:sz w:val="30"/>
          <w:szCs w:val="30"/>
        </w:rPr>
        <w:t>环境保护措施监督检查清单</w:t>
      </w:r>
      <w:bookmarkEnd w:id="2"/>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745"/>
        <w:gridCol w:w="1755"/>
        <w:gridCol w:w="1912"/>
        <w:gridCol w:w="2106"/>
      </w:tblGrid>
      <w:tr w14:paraId="35E23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14:paraId="54FD016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firstLine="84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p w14:paraId="50F9FAA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要素</w:t>
            </w:r>
          </w:p>
        </w:tc>
        <w:tc>
          <w:tcPr>
            <w:tcW w:w="1745" w:type="dxa"/>
            <w:noWrap w:val="0"/>
            <w:vAlign w:val="center"/>
          </w:tcPr>
          <w:p w14:paraId="3563B30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排放口</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编号、</w:t>
            </w:r>
          </w:p>
          <w:p w14:paraId="5A8920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名称</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/污染源</w:t>
            </w:r>
          </w:p>
        </w:tc>
        <w:tc>
          <w:tcPr>
            <w:tcW w:w="1755" w:type="dxa"/>
            <w:noWrap w:val="0"/>
            <w:vAlign w:val="center"/>
          </w:tcPr>
          <w:p w14:paraId="3B32486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污染物项目</w:t>
            </w:r>
          </w:p>
        </w:tc>
        <w:tc>
          <w:tcPr>
            <w:tcW w:w="1912" w:type="dxa"/>
            <w:noWrap w:val="0"/>
            <w:vAlign w:val="center"/>
          </w:tcPr>
          <w:p w14:paraId="6E71C6B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环境保护措施</w:t>
            </w:r>
          </w:p>
        </w:tc>
        <w:tc>
          <w:tcPr>
            <w:tcW w:w="2106" w:type="dxa"/>
            <w:noWrap w:val="0"/>
            <w:vAlign w:val="center"/>
          </w:tcPr>
          <w:p w14:paraId="405F9CD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执行标准</w:t>
            </w:r>
          </w:p>
        </w:tc>
      </w:tr>
      <w:tr w14:paraId="56524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78" w:type="dxa"/>
            <w:vMerge w:val="restart"/>
            <w:noWrap w:val="0"/>
            <w:vAlign w:val="center"/>
          </w:tcPr>
          <w:p w14:paraId="68D1A9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大气环境</w:t>
            </w:r>
          </w:p>
        </w:tc>
        <w:tc>
          <w:tcPr>
            <w:tcW w:w="1745" w:type="dxa"/>
            <w:vMerge w:val="restart"/>
            <w:noWrap w:val="0"/>
            <w:vAlign w:val="center"/>
          </w:tcPr>
          <w:p w14:paraId="6791377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锅炉烟气排气筒</w:t>
            </w:r>
          </w:p>
        </w:tc>
        <w:tc>
          <w:tcPr>
            <w:tcW w:w="1755" w:type="dxa"/>
            <w:tcBorders>
              <w:bottom w:val="single" w:color="auto" w:sz="4" w:space="0"/>
            </w:tcBorders>
            <w:noWrap w:val="0"/>
            <w:vAlign w:val="center"/>
          </w:tcPr>
          <w:p w14:paraId="14BEAB2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颗粒物</w:t>
            </w:r>
          </w:p>
        </w:tc>
        <w:tc>
          <w:tcPr>
            <w:tcW w:w="1912" w:type="dxa"/>
            <w:vMerge w:val="restart"/>
            <w:noWrap w:val="0"/>
            <w:vAlign w:val="center"/>
          </w:tcPr>
          <w:p w14:paraId="38DA2E7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低氮燃烧+25m排气筒</w:t>
            </w:r>
          </w:p>
        </w:tc>
        <w:tc>
          <w:tcPr>
            <w:tcW w:w="2106" w:type="dxa"/>
            <w:vMerge w:val="restart"/>
            <w:noWrap w:val="0"/>
            <w:vAlign w:val="center"/>
          </w:tcPr>
          <w:p w14:paraId="596DDA7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《锅炉大气污染物排放标准》（DB61/1226-2018）表</w:t>
            </w:r>
            <w:r>
              <w:rPr>
                <w:rFonts w:hint="eastAsia" w:cs="宋体"/>
                <w:color w:val="auto"/>
                <w:kern w:val="0"/>
                <w:sz w:val="21"/>
                <w:szCs w:val="21"/>
                <w:lang w:val="en-US" w:eastAsia="zh-CN"/>
              </w:rPr>
              <w:t>3中燃气锅炉标准</w:t>
            </w:r>
            <w:r>
              <w:rPr>
                <w:rFonts w:hint="eastAsia" w:ascii="Times New Roman" w:hAnsi="Times New Roman" w:eastAsia="宋体" w:cs="宋体"/>
                <w:color w:val="auto"/>
                <w:kern w:val="0"/>
                <w:sz w:val="21"/>
                <w:szCs w:val="21"/>
              </w:rPr>
              <w:t>限值</w:t>
            </w:r>
          </w:p>
        </w:tc>
      </w:tr>
      <w:tr w14:paraId="53ED8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8" w:type="dxa"/>
            <w:vMerge w:val="continue"/>
            <w:noWrap w:val="0"/>
            <w:vAlign w:val="center"/>
          </w:tcPr>
          <w:p w14:paraId="23A7A70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p>
        </w:tc>
        <w:tc>
          <w:tcPr>
            <w:tcW w:w="1745" w:type="dxa"/>
            <w:vMerge w:val="continue"/>
            <w:noWrap w:val="0"/>
            <w:vAlign w:val="center"/>
          </w:tcPr>
          <w:p w14:paraId="62BA06A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1755" w:type="dxa"/>
            <w:tcBorders>
              <w:bottom w:val="single" w:color="auto" w:sz="4" w:space="0"/>
            </w:tcBorders>
            <w:noWrap w:val="0"/>
            <w:vAlign w:val="center"/>
          </w:tcPr>
          <w:p w14:paraId="33C9150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default" w:ascii="Times New Roman" w:hAnsi="Times New Roman" w:eastAsia="宋体" w:cs="宋体"/>
                <w:color w:val="auto"/>
                <w:kern w:val="0"/>
                <w:sz w:val="21"/>
                <w:szCs w:val="21"/>
                <w:lang w:val="en-US" w:eastAsia="zh-CN"/>
              </w:rPr>
              <w:t>SO</w:t>
            </w:r>
            <w:r>
              <w:rPr>
                <w:rFonts w:hint="default" w:ascii="Times New Roman" w:hAnsi="Times New Roman" w:eastAsia="宋体" w:cs="宋体"/>
                <w:color w:val="auto"/>
                <w:kern w:val="0"/>
                <w:sz w:val="21"/>
                <w:szCs w:val="21"/>
                <w:vertAlign w:val="subscript"/>
                <w:lang w:val="en-US" w:eastAsia="zh-CN"/>
              </w:rPr>
              <w:t>2</w:t>
            </w:r>
          </w:p>
        </w:tc>
        <w:tc>
          <w:tcPr>
            <w:tcW w:w="1912" w:type="dxa"/>
            <w:vMerge w:val="continue"/>
            <w:noWrap w:val="0"/>
            <w:vAlign w:val="center"/>
          </w:tcPr>
          <w:p w14:paraId="625C54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p>
        </w:tc>
        <w:tc>
          <w:tcPr>
            <w:tcW w:w="2106" w:type="dxa"/>
            <w:vMerge w:val="continue"/>
            <w:noWrap w:val="0"/>
            <w:vAlign w:val="center"/>
          </w:tcPr>
          <w:p w14:paraId="1EE90A6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r>
      <w:tr w14:paraId="37F51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78" w:type="dxa"/>
            <w:vMerge w:val="continue"/>
            <w:tcBorders>
              <w:bottom w:val="single" w:color="auto" w:sz="4" w:space="0"/>
            </w:tcBorders>
            <w:noWrap w:val="0"/>
            <w:vAlign w:val="center"/>
          </w:tcPr>
          <w:p w14:paraId="438FB9E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p>
        </w:tc>
        <w:tc>
          <w:tcPr>
            <w:tcW w:w="1745" w:type="dxa"/>
            <w:vMerge w:val="continue"/>
            <w:noWrap w:val="0"/>
            <w:vAlign w:val="center"/>
          </w:tcPr>
          <w:p w14:paraId="363E031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1755" w:type="dxa"/>
            <w:tcBorders>
              <w:bottom w:val="single" w:color="auto" w:sz="4" w:space="0"/>
            </w:tcBorders>
            <w:noWrap w:val="0"/>
            <w:vAlign w:val="center"/>
          </w:tcPr>
          <w:p w14:paraId="3FBD607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NO</w:t>
            </w:r>
            <w:r>
              <w:rPr>
                <w:rFonts w:hint="eastAsia" w:ascii="Times New Roman" w:hAnsi="Times New Roman" w:eastAsia="宋体" w:cs="宋体"/>
                <w:color w:val="auto"/>
                <w:kern w:val="0"/>
                <w:sz w:val="21"/>
                <w:szCs w:val="21"/>
                <w:vertAlign w:val="subscript"/>
              </w:rPr>
              <w:t>X</w:t>
            </w:r>
          </w:p>
        </w:tc>
        <w:tc>
          <w:tcPr>
            <w:tcW w:w="1912" w:type="dxa"/>
            <w:vMerge w:val="continue"/>
            <w:tcBorders>
              <w:bottom w:val="single" w:color="auto" w:sz="4" w:space="0"/>
            </w:tcBorders>
            <w:noWrap w:val="0"/>
            <w:vAlign w:val="center"/>
          </w:tcPr>
          <w:p w14:paraId="4B541A6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p>
        </w:tc>
        <w:tc>
          <w:tcPr>
            <w:tcW w:w="2106" w:type="dxa"/>
            <w:vMerge w:val="continue"/>
            <w:tcBorders>
              <w:bottom w:val="single" w:color="auto" w:sz="4" w:space="0"/>
            </w:tcBorders>
            <w:noWrap w:val="0"/>
            <w:vAlign w:val="center"/>
          </w:tcPr>
          <w:p w14:paraId="223CBFF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r>
      <w:tr w14:paraId="123B9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78" w:type="dxa"/>
            <w:vMerge w:val="restart"/>
            <w:noWrap w:val="0"/>
            <w:vAlign w:val="center"/>
          </w:tcPr>
          <w:p w14:paraId="30DABCC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地表水环境</w:t>
            </w:r>
          </w:p>
        </w:tc>
        <w:tc>
          <w:tcPr>
            <w:tcW w:w="1745" w:type="dxa"/>
            <w:noWrap w:val="0"/>
            <w:vAlign w:val="center"/>
          </w:tcPr>
          <w:p w14:paraId="6303DF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生活污水</w:t>
            </w:r>
          </w:p>
        </w:tc>
        <w:tc>
          <w:tcPr>
            <w:tcW w:w="1755" w:type="dxa"/>
            <w:vMerge w:val="restart"/>
            <w:noWrap w:val="0"/>
            <w:vAlign w:val="center"/>
          </w:tcPr>
          <w:p w14:paraId="0DC6B95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COD、</w:t>
            </w:r>
            <w:r>
              <w:rPr>
                <w:rFonts w:hint="eastAsia" w:cs="宋体"/>
                <w:color w:val="auto"/>
                <w:kern w:val="0"/>
                <w:sz w:val="21"/>
                <w:szCs w:val="21"/>
                <w:lang w:val="en-US" w:eastAsia="zh-CN"/>
              </w:rPr>
              <w:t>BOD</w:t>
            </w:r>
            <w:r>
              <w:rPr>
                <w:rFonts w:hint="eastAsia" w:cs="宋体"/>
                <w:color w:val="auto"/>
                <w:kern w:val="0"/>
                <w:sz w:val="21"/>
                <w:szCs w:val="21"/>
                <w:vertAlign w:val="subscript"/>
                <w:lang w:val="en-US" w:eastAsia="zh-CN"/>
              </w:rPr>
              <w:t>5</w:t>
            </w:r>
            <w:r>
              <w:rPr>
                <w:rFonts w:hint="eastAsia" w:cs="宋体"/>
                <w:color w:val="auto"/>
                <w:kern w:val="0"/>
                <w:sz w:val="21"/>
                <w:szCs w:val="21"/>
                <w:lang w:val="en-US" w:eastAsia="zh-CN"/>
              </w:rPr>
              <w:t>、</w:t>
            </w:r>
            <w:r>
              <w:rPr>
                <w:rFonts w:hint="eastAsia" w:ascii="Times New Roman" w:hAnsi="Times New Roman" w:eastAsia="宋体" w:cs="宋体"/>
                <w:color w:val="auto"/>
                <w:kern w:val="0"/>
                <w:sz w:val="21"/>
                <w:szCs w:val="21"/>
                <w:lang w:val="en-US" w:eastAsia="zh-CN"/>
              </w:rPr>
              <w:t>SS</w:t>
            </w:r>
            <w:r>
              <w:rPr>
                <w:rFonts w:hint="eastAsia" w:cs="宋体"/>
                <w:color w:val="auto"/>
                <w:kern w:val="0"/>
                <w:sz w:val="21"/>
                <w:szCs w:val="21"/>
                <w:lang w:val="en-US" w:eastAsia="zh-CN"/>
              </w:rPr>
              <w:t>、氨氮</w:t>
            </w:r>
          </w:p>
        </w:tc>
        <w:tc>
          <w:tcPr>
            <w:tcW w:w="1912" w:type="dxa"/>
            <w:vMerge w:val="restart"/>
            <w:noWrap w:val="0"/>
            <w:vAlign w:val="center"/>
          </w:tcPr>
          <w:p w14:paraId="68FD877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化粪池预处理后排入陇县第一污水处理厂</w:t>
            </w:r>
          </w:p>
        </w:tc>
        <w:tc>
          <w:tcPr>
            <w:tcW w:w="2106" w:type="dxa"/>
            <w:vMerge w:val="restart"/>
            <w:noWrap w:val="0"/>
            <w:vAlign w:val="center"/>
          </w:tcPr>
          <w:p w14:paraId="7D53B7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氨氮执行《污水排入城镇下水道水质标准》(GB/T31962-2015)相关标准限值</w:t>
            </w:r>
            <w:r>
              <w:rPr>
                <w:rFonts w:hint="eastAsia" w:cs="宋体"/>
                <w:color w:val="auto"/>
                <w:kern w:val="0"/>
                <w:sz w:val="21"/>
                <w:szCs w:val="21"/>
                <w:lang w:eastAsia="zh-CN"/>
              </w:rPr>
              <w:t>；</w:t>
            </w:r>
            <w:r>
              <w:rPr>
                <w:rFonts w:hint="eastAsia" w:ascii="Times New Roman" w:hAnsi="Times New Roman" w:eastAsia="宋体" w:cs="宋体"/>
                <w:color w:val="auto"/>
                <w:kern w:val="0"/>
                <w:sz w:val="21"/>
                <w:szCs w:val="21"/>
              </w:rPr>
              <w:t>其余指标执行《污水综合排放标准》(GB8978-1996)三级标准限值</w:t>
            </w:r>
          </w:p>
        </w:tc>
      </w:tr>
      <w:tr w14:paraId="7D640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8" w:type="dxa"/>
            <w:vMerge w:val="continue"/>
            <w:tcBorders>
              <w:bottom w:val="single" w:color="auto" w:sz="4" w:space="0"/>
            </w:tcBorders>
            <w:noWrap w:val="0"/>
            <w:vAlign w:val="center"/>
          </w:tcPr>
          <w:p w14:paraId="3E6E1C2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p>
        </w:tc>
        <w:tc>
          <w:tcPr>
            <w:tcW w:w="1745" w:type="dxa"/>
            <w:noWrap w:val="0"/>
            <w:vAlign w:val="center"/>
          </w:tcPr>
          <w:p w14:paraId="76AC8C9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锅炉排水</w:t>
            </w:r>
          </w:p>
        </w:tc>
        <w:tc>
          <w:tcPr>
            <w:tcW w:w="1755" w:type="dxa"/>
            <w:vMerge w:val="continue"/>
            <w:noWrap w:val="0"/>
            <w:vAlign w:val="center"/>
          </w:tcPr>
          <w:p w14:paraId="6D86136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1912" w:type="dxa"/>
            <w:vMerge w:val="continue"/>
            <w:noWrap w:val="0"/>
            <w:vAlign w:val="center"/>
          </w:tcPr>
          <w:p w14:paraId="46A4D50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2106" w:type="dxa"/>
            <w:vMerge w:val="continue"/>
            <w:noWrap w:val="0"/>
            <w:vAlign w:val="center"/>
          </w:tcPr>
          <w:p w14:paraId="491D0B3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r>
      <w:tr w14:paraId="0E522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8" w:type="dxa"/>
            <w:vMerge w:val="continue"/>
            <w:tcBorders>
              <w:bottom w:val="single" w:color="auto" w:sz="4" w:space="0"/>
            </w:tcBorders>
            <w:noWrap w:val="0"/>
            <w:vAlign w:val="center"/>
          </w:tcPr>
          <w:p w14:paraId="07BA6AA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p>
        </w:tc>
        <w:tc>
          <w:tcPr>
            <w:tcW w:w="1745" w:type="dxa"/>
            <w:noWrap w:val="0"/>
            <w:vAlign w:val="center"/>
          </w:tcPr>
          <w:p w14:paraId="6527F09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rPr>
              <w:t>软化系统排水</w:t>
            </w:r>
          </w:p>
        </w:tc>
        <w:tc>
          <w:tcPr>
            <w:tcW w:w="1755" w:type="dxa"/>
            <w:vMerge w:val="continue"/>
            <w:noWrap w:val="0"/>
            <w:vAlign w:val="center"/>
          </w:tcPr>
          <w:p w14:paraId="6003FE3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1912" w:type="dxa"/>
            <w:vMerge w:val="continue"/>
            <w:noWrap w:val="0"/>
            <w:vAlign w:val="center"/>
          </w:tcPr>
          <w:p w14:paraId="2A4BCCD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c>
          <w:tcPr>
            <w:tcW w:w="2106" w:type="dxa"/>
            <w:vMerge w:val="continue"/>
            <w:noWrap w:val="0"/>
            <w:vAlign w:val="center"/>
          </w:tcPr>
          <w:p w14:paraId="2261B59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p>
        </w:tc>
      </w:tr>
      <w:tr w14:paraId="634CD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78" w:type="dxa"/>
            <w:tcBorders>
              <w:bottom w:val="single" w:color="auto" w:sz="4" w:space="0"/>
            </w:tcBorders>
            <w:noWrap w:val="0"/>
            <w:vAlign w:val="center"/>
          </w:tcPr>
          <w:p w14:paraId="634E40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声环境</w:t>
            </w:r>
          </w:p>
        </w:tc>
        <w:tc>
          <w:tcPr>
            <w:tcW w:w="1745" w:type="dxa"/>
            <w:noWrap w:val="0"/>
            <w:vAlign w:val="center"/>
          </w:tcPr>
          <w:p w14:paraId="4D5CC81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生产设备</w:t>
            </w:r>
          </w:p>
        </w:tc>
        <w:tc>
          <w:tcPr>
            <w:tcW w:w="1755" w:type="dxa"/>
            <w:noWrap w:val="0"/>
            <w:vAlign w:val="center"/>
          </w:tcPr>
          <w:p w14:paraId="6002179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等效A声级</w:t>
            </w:r>
          </w:p>
        </w:tc>
        <w:tc>
          <w:tcPr>
            <w:tcW w:w="1912" w:type="dxa"/>
            <w:noWrap w:val="0"/>
            <w:vAlign w:val="center"/>
          </w:tcPr>
          <w:p w14:paraId="66BCB9A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选用低噪声设备、采取基础减振、厂房隔声等措施</w:t>
            </w:r>
          </w:p>
        </w:tc>
        <w:tc>
          <w:tcPr>
            <w:tcW w:w="2106" w:type="dxa"/>
            <w:noWrap w:val="0"/>
            <w:vAlign w:val="center"/>
          </w:tcPr>
          <w:p w14:paraId="7DE89E1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《工业企业厂界环境噪声排放标准》</w:t>
            </w:r>
            <w:r>
              <w:rPr>
                <w:rFonts w:hint="eastAsia" w:ascii="Times New Roman" w:hAnsi="Times New Roman" w:eastAsia="宋体" w:cs="宋体"/>
                <w:color w:val="auto"/>
                <w:kern w:val="0"/>
                <w:sz w:val="21"/>
                <w:szCs w:val="21"/>
                <w:lang w:eastAsia="zh-CN"/>
              </w:rPr>
              <w:t>（</w:t>
            </w:r>
            <w:r>
              <w:rPr>
                <w:rFonts w:hint="eastAsia" w:ascii="Times New Roman" w:hAnsi="Times New Roman" w:eastAsia="宋体" w:cs="宋体"/>
                <w:color w:val="auto"/>
                <w:kern w:val="0"/>
                <w:sz w:val="21"/>
                <w:szCs w:val="21"/>
              </w:rPr>
              <w:t>GB12348-2008</w:t>
            </w:r>
            <w:r>
              <w:rPr>
                <w:rFonts w:hint="eastAsia" w:ascii="Times New Roman" w:hAnsi="Times New Roman" w:eastAsia="宋体" w:cs="宋体"/>
                <w:color w:val="auto"/>
                <w:kern w:val="0"/>
                <w:sz w:val="21"/>
                <w:szCs w:val="21"/>
                <w:lang w:eastAsia="zh-CN"/>
              </w:rPr>
              <w:t>）</w:t>
            </w:r>
            <w:r>
              <w:rPr>
                <w:rFonts w:hint="eastAsia" w:ascii="Times New Roman" w:hAnsi="Times New Roman" w:eastAsia="宋体" w:cs="宋体"/>
                <w:color w:val="auto"/>
                <w:kern w:val="0"/>
                <w:sz w:val="21"/>
                <w:szCs w:val="21"/>
                <w:lang w:val="en-US" w:eastAsia="zh-CN"/>
              </w:rPr>
              <w:t>2</w:t>
            </w:r>
            <w:r>
              <w:rPr>
                <w:rFonts w:hint="eastAsia" w:ascii="Times New Roman" w:hAnsi="Times New Roman" w:eastAsia="宋体" w:cs="宋体"/>
                <w:color w:val="auto"/>
                <w:kern w:val="0"/>
                <w:sz w:val="21"/>
                <w:szCs w:val="21"/>
              </w:rPr>
              <w:t>类标准</w:t>
            </w:r>
          </w:p>
        </w:tc>
      </w:tr>
      <w:tr w14:paraId="439D9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78" w:type="dxa"/>
            <w:tcBorders>
              <w:bottom w:val="single" w:color="auto" w:sz="4" w:space="0"/>
            </w:tcBorders>
            <w:noWrap w:val="0"/>
            <w:vAlign w:val="center"/>
          </w:tcPr>
          <w:p w14:paraId="0CD3E79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电磁辐射</w:t>
            </w:r>
          </w:p>
        </w:tc>
        <w:tc>
          <w:tcPr>
            <w:tcW w:w="1745" w:type="dxa"/>
            <w:tcBorders>
              <w:bottom w:val="single" w:color="auto" w:sz="4" w:space="0"/>
            </w:tcBorders>
            <w:noWrap w:val="0"/>
            <w:vAlign w:val="center"/>
          </w:tcPr>
          <w:p w14:paraId="678907D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w:t>
            </w:r>
          </w:p>
        </w:tc>
        <w:tc>
          <w:tcPr>
            <w:tcW w:w="1755" w:type="dxa"/>
            <w:tcBorders>
              <w:bottom w:val="single" w:color="auto" w:sz="4" w:space="0"/>
            </w:tcBorders>
            <w:noWrap w:val="0"/>
            <w:vAlign w:val="center"/>
          </w:tcPr>
          <w:p w14:paraId="24748B5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w:t>
            </w:r>
          </w:p>
        </w:tc>
        <w:tc>
          <w:tcPr>
            <w:tcW w:w="1912" w:type="dxa"/>
            <w:tcBorders>
              <w:bottom w:val="single" w:color="auto" w:sz="4" w:space="0"/>
            </w:tcBorders>
            <w:noWrap w:val="0"/>
            <w:vAlign w:val="center"/>
          </w:tcPr>
          <w:p w14:paraId="03600EF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w:t>
            </w:r>
          </w:p>
        </w:tc>
        <w:tc>
          <w:tcPr>
            <w:tcW w:w="2106" w:type="dxa"/>
            <w:tcBorders>
              <w:bottom w:val="single" w:color="auto" w:sz="4" w:space="0"/>
            </w:tcBorders>
            <w:noWrap w:val="0"/>
            <w:vAlign w:val="center"/>
          </w:tcPr>
          <w:p w14:paraId="3B66CF3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w:t>
            </w:r>
          </w:p>
        </w:tc>
      </w:tr>
      <w:tr w14:paraId="0499F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778" w:type="dxa"/>
            <w:noWrap w:val="0"/>
            <w:vAlign w:val="center"/>
          </w:tcPr>
          <w:p w14:paraId="4701F59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固体废物</w:t>
            </w:r>
          </w:p>
        </w:tc>
        <w:tc>
          <w:tcPr>
            <w:tcW w:w="7518" w:type="dxa"/>
            <w:gridSpan w:val="4"/>
            <w:noWrap w:val="0"/>
            <w:vAlign w:val="center"/>
          </w:tcPr>
          <w:p w14:paraId="6A05505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bidi="ar-SA"/>
              </w:rPr>
              <w:t>一般固废</w:t>
            </w:r>
            <w:r>
              <w:rPr>
                <w:rFonts w:hint="eastAsia" w:ascii="Times New Roman" w:cs="宋体"/>
                <w:color w:val="auto"/>
                <w:kern w:val="0"/>
                <w:sz w:val="21"/>
                <w:szCs w:val="21"/>
                <w:lang w:val="en-US" w:eastAsia="zh-CN" w:bidi="ar-SA"/>
              </w:rPr>
              <w:t>：</w:t>
            </w:r>
            <w:r>
              <w:rPr>
                <w:rFonts w:hint="eastAsia" w:ascii="Times New Roman" w:hAnsi="Times New Roman" w:eastAsia="宋体" w:cs="宋体"/>
                <w:color w:val="auto"/>
                <w:kern w:val="0"/>
                <w:sz w:val="21"/>
                <w:szCs w:val="21"/>
                <w:lang w:val="en-US" w:eastAsia="zh-CN" w:bidi="ar-SA"/>
              </w:rPr>
              <w:t>更换的废弃离子交换树脂交由设备厂家回收，不</w:t>
            </w:r>
            <w:r>
              <w:rPr>
                <w:rFonts w:hint="eastAsia" w:ascii="Times New Roman" w:cs="宋体"/>
                <w:color w:val="auto"/>
                <w:kern w:val="0"/>
                <w:sz w:val="21"/>
                <w:szCs w:val="21"/>
                <w:lang w:val="en-US" w:eastAsia="zh-CN" w:bidi="ar-SA"/>
              </w:rPr>
              <w:t>不在厂区内</w:t>
            </w:r>
            <w:r>
              <w:rPr>
                <w:rFonts w:hint="eastAsia" w:ascii="Times New Roman" w:hAnsi="Times New Roman" w:eastAsia="宋体" w:cs="宋体"/>
                <w:color w:val="auto"/>
                <w:kern w:val="0"/>
                <w:sz w:val="21"/>
                <w:szCs w:val="21"/>
                <w:lang w:val="en-US" w:eastAsia="zh-CN" w:bidi="ar-SA"/>
              </w:rPr>
              <w:t>储存</w:t>
            </w:r>
          </w:p>
        </w:tc>
      </w:tr>
      <w:tr w14:paraId="057AF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450649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土壤及地下水</w:t>
            </w:r>
          </w:p>
          <w:p w14:paraId="701E516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污染防治措施</w:t>
            </w:r>
          </w:p>
        </w:tc>
        <w:tc>
          <w:tcPr>
            <w:tcW w:w="7518" w:type="dxa"/>
            <w:gridSpan w:val="4"/>
            <w:noWrap w:val="0"/>
            <w:vAlign w:val="center"/>
          </w:tcPr>
          <w:p w14:paraId="1554755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eastAsia="zh-CN"/>
              </w:rPr>
            </w:pPr>
            <w:r>
              <w:rPr>
                <w:rFonts w:hint="eastAsia" w:cs="宋体"/>
                <w:color w:val="auto"/>
                <w:kern w:val="0"/>
                <w:sz w:val="21"/>
                <w:szCs w:val="21"/>
                <w:lang w:val="en-US" w:eastAsia="zh-CN"/>
              </w:rPr>
              <w:t>不涉及</w:t>
            </w:r>
          </w:p>
        </w:tc>
      </w:tr>
      <w:tr w14:paraId="45613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54ABDA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生态保护措施</w:t>
            </w:r>
          </w:p>
        </w:tc>
        <w:tc>
          <w:tcPr>
            <w:tcW w:w="7518" w:type="dxa"/>
            <w:gridSpan w:val="4"/>
            <w:noWrap w:val="0"/>
            <w:vAlign w:val="center"/>
          </w:tcPr>
          <w:p w14:paraId="7F5EA50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不涉及</w:t>
            </w:r>
          </w:p>
        </w:tc>
      </w:tr>
      <w:tr w14:paraId="42CA0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14F954E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pacing w:val="-8"/>
                <w:sz w:val="21"/>
                <w:szCs w:val="21"/>
              </w:rPr>
            </w:pPr>
            <w:r>
              <w:rPr>
                <w:rFonts w:hint="eastAsia" w:ascii="Times New Roman" w:hAnsi="Times New Roman" w:eastAsia="宋体" w:cs="宋体"/>
                <w:color w:val="auto"/>
                <w:spacing w:val="-8"/>
                <w:sz w:val="21"/>
                <w:szCs w:val="21"/>
              </w:rPr>
              <w:t>环境风险</w:t>
            </w:r>
          </w:p>
          <w:p w14:paraId="4F24447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pacing w:val="-8"/>
                <w:sz w:val="21"/>
                <w:szCs w:val="21"/>
              </w:rPr>
            </w:pPr>
            <w:r>
              <w:rPr>
                <w:rFonts w:hint="eastAsia" w:ascii="Times New Roman" w:hAnsi="Times New Roman" w:eastAsia="宋体" w:cs="宋体"/>
                <w:color w:val="auto"/>
                <w:spacing w:val="-8"/>
                <w:sz w:val="21"/>
                <w:szCs w:val="21"/>
              </w:rPr>
              <w:t>防范措施</w:t>
            </w:r>
          </w:p>
        </w:tc>
        <w:tc>
          <w:tcPr>
            <w:tcW w:w="7518" w:type="dxa"/>
            <w:gridSpan w:val="4"/>
            <w:noWrap w:val="0"/>
            <w:vAlign w:val="center"/>
          </w:tcPr>
          <w:p w14:paraId="21DF9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left"/>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加强运行管理，定期检查调整炉内燃烧工况，保证锅炉完全燃烧，并及时修理锅沪本体漏风点。定期校验可燃气体报警器，保证完好。定期用检漏仪检测燃气管路保证室内通风换气。备足灭火器、灭火沙等工具。</w:t>
            </w:r>
          </w:p>
          <w:p w14:paraId="70545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left"/>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加强操作人员的岗位培训，严格遵守规程，对事故易发处按规定时间巡检，发现问题及早解决</w:t>
            </w:r>
            <w:r>
              <w:rPr>
                <w:rFonts w:hint="eastAsia" w:cs="宋体"/>
                <w:color w:val="auto"/>
                <w:kern w:val="0"/>
                <w:sz w:val="21"/>
                <w:szCs w:val="21"/>
                <w:lang w:val="en-US" w:eastAsia="zh-CN"/>
              </w:rPr>
              <w:t>；</w:t>
            </w:r>
            <w:r>
              <w:rPr>
                <w:rFonts w:hint="eastAsia" w:ascii="Times New Roman" w:hAnsi="Times New Roman" w:eastAsia="宋体" w:cs="宋体"/>
                <w:color w:val="auto"/>
                <w:kern w:val="0"/>
                <w:sz w:val="21"/>
                <w:szCs w:val="21"/>
                <w:lang w:val="en-US" w:eastAsia="zh-CN"/>
              </w:rPr>
              <w:t>日常做好防火等消防措施的检查。</w:t>
            </w:r>
          </w:p>
        </w:tc>
      </w:tr>
      <w:tr w14:paraId="2C60B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85" w:hRule="atLeast"/>
          <w:jc w:val="center"/>
        </w:trPr>
        <w:tc>
          <w:tcPr>
            <w:tcW w:w="1778" w:type="dxa"/>
            <w:noWrap w:val="0"/>
            <w:vAlign w:val="center"/>
          </w:tcPr>
          <w:p w14:paraId="0F49EA8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Times New Roman" w:hAnsi="Times New Roman" w:eastAsia="宋体" w:cs="宋体"/>
                <w:color w:val="auto"/>
                <w:spacing w:val="-8"/>
                <w:sz w:val="21"/>
                <w:szCs w:val="21"/>
              </w:rPr>
            </w:pPr>
            <w:r>
              <w:rPr>
                <w:rFonts w:hint="eastAsia" w:ascii="Times New Roman" w:hAnsi="Times New Roman" w:eastAsia="宋体" w:cs="宋体"/>
                <w:color w:val="auto"/>
                <w:spacing w:val="-8"/>
                <w:sz w:val="21"/>
                <w:szCs w:val="21"/>
              </w:rPr>
              <w:t>其他环境</w:t>
            </w:r>
          </w:p>
          <w:p w14:paraId="40A90B3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Times New Roman" w:hAnsi="Times New Roman" w:eastAsia="宋体" w:cs="宋体"/>
                <w:color w:val="auto"/>
                <w:spacing w:val="-8"/>
                <w:sz w:val="21"/>
                <w:szCs w:val="21"/>
              </w:rPr>
            </w:pPr>
            <w:r>
              <w:rPr>
                <w:rFonts w:hint="eastAsia" w:ascii="Times New Roman" w:hAnsi="Times New Roman" w:eastAsia="宋体" w:cs="宋体"/>
                <w:color w:val="auto"/>
                <w:spacing w:val="-8"/>
                <w:sz w:val="21"/>
                <w:szCs w:val="21"/>
              </w:rPr>
              <w:t>管理要求</w:t>
            </w:r>
          </w:p>
        </w:tc>
        <w:tc>
          <w:tcPr>
            <w:tcW w:w="7518" w:type="dxa"/>
            <w:gridSpan w:val="4"/>
            <w:noWrap w:val="0"/>
            <w:vAlign w:val="center"/>
          </w:tcPr>
          <w:p w14:paraId="5DB52B94">
            <w:pPr>
              <w:pStyle w:val="3"/>
              <w:keepNext w:val="0"/>
              <w:keepLines w:val="0"/>
              <w:pageBreakBefore w:val="0"/>
              <w:widowControl w:val="0"/>
              <w:numPr>
                <w:ilvl w:val="0"/>
                <w:numId w:val="0"/>
              </w:numPr>
              <w:suppressLineNumbers w:val="0"/>
              <w:tabs>
                <w:tab w:val="left" w:pos="1511"/>
              </w:tabs>
              <w:kinsoku/>
              <w:wordWrap/>
              <w:overflowPunct/>
              <w:topLinePunct w:val="0"/>
              <w:autoSpaceDE/>
              <w:autoSpaceDN/>
              <w:bidi w:val="0"/>
              <w:adjustRightInd/>
              <w:snapToGrid/>
              <w:spacing w:before="0" w:beforeAutospacing="0" w:after="0" w:afterAutospacing="0" w:line="360" w:lineRule="exact"/>
              <w:ind w:right="0" w:rightChars="0" w:firstLine="422" w:firstLineChars="200"/>
              <w:jc w:val="both"/>
              <w:textAlignment w:val="auto"/>
              <w:rPr>
                <w:rFonts w:hint="default" w:ascii="Times New Roman" w:hAnsi="Times New Roman" w:eastAsia="宋体"/>
                <w:color w:val="auto"/>
                <w:sz w:val="21"/>
                <w:szCs w:val="21"/>
              </w:rPr>
            </w:pPr>
            <w:r>
              <w:rPr>
                <w:rFonts w:hint="eastAsia" w:ascii="Times New Roman" w:hAnsi="Times New Roman" w:eastAsia="宋体"/>
                <w:color w:val="auto"/>
                <w:sz w:val="21"/>
                <w:szCs w:val="21"/>
                <w:lang w:val="en-US" w:eastAsia="zh-CN"/>
              </w:rPr>
              <w:t>1、</w:t>
            </w:r>
            <w:r>
              <w:rPr>
                <w:rFonts w:hint="default" w:ascii="Times New Roman" w:hAnsi="Times New Roman" w:eastAsia="宋体"/>
                <w:color w:val="auto"/>
                <w:sz w:val="21"/>
                <w:szCs w:val="21"/>
              </w:rPr>
              <w:t>环保投资</w:t>
            </w:r>
          </w:p>
          <w:p w14:paraId="7204E529">
            <w:pPr>
              <w:pStyle w:val="35"/>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表5-1环保投资概算表</w:t>
            </w:r>
          </w:p>
          <w:tbl>
            <w:tblPr>
              <w:tblStyle w:val="55"/>
              <w:tblW w:w="4997" w:type="pct"/>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3"/>
              <w:gridCol w:w="1984"/>
              <w:gridCol w:w="2770"/>
              <w:gridCol w:w="854"/>
              <w:gridCol w:w="977"/>
            </w:tblGrid>
            <w:tr w14:paraId="011C5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843" w:type="pct"/>
                  <w:gridSpan w:val="2"/>
                  <w:tcBorders>
                    <w:tl2br w:val="nil"/>
                    <w:tr2bl w:val="nil"/>
                  </w:tcBorders>
                  <w:noWrap w:val="0"/>
                  <w:vAlign w:val="center"/>
                </w:tcPr>
                <w:p w14:paraId="35B305D9">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污染源</w:t>
                  </w:r>
                </w:p>
              </w:tc>
              <w:tc>
                <w:tcPr>
                  <w:tcW w:w="1900" w:type="pct"/>
                  <w:tcBorders>
                    <w:tl2br w:val="nil"/>
                    <w:tr2bl w:val="nil"/>
                  </w:tcBorders>
                  <w:noWrap w:val="0"/>
                  <w:vAlign w:val="center"/>
                </w:tcPr>
                <w:p w14:paraId="6E9AC86F">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环保设施名称</w:t>
                  </w:r>
                </w:p>
              </w:tc>
              <w:tc>
                <w:tcPr>
                  <w:tcW w:w="585" w:type="pct"/>
                  <w:tcBorders>
                    <w:tl2br w:val="nil"/>
                    <w:tr2bl w:val="nil"/>
                  </w:tcBorders>
                  <w:noWrap w:val="0"/>
                  <w:vAlign w:val="center"/>
                </w:tcPr>
                <w:p w14:paraId="4DD15B79">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数量</w:t>
                  </w:r>
                </w:p>
              </w:tc>
              <w:tc>
                <w:tcPr>
                  <w:tcW w:w="670" w:type="pct"/>
                  <w:tcBorders>
                    <w:tl2br w:val="nil"/>
                    <w:tr2bl w:val="nil"/>
                  </w:tcBorders>
                  <w:noWrap w:val="0"/>
                  <w:vAlign w:val="center"/>
                </w:tcPr>
                <w:p w14:paraId="23AF791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投入（万元）</w:t>
                  </w:r>
                </w:p>
              </w:tc>
            </w:tr>
            <w:tr w14:paraId="16C0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82" w:type="pct"/>
                  <w:tcBorders>
                    <w:tl2br w:val="nil"/>
                    <w:tr2bl w:val="nil"/>
                  </w:tcBorders>
                  <w:noWrap w:val="0"/>
                  <w:vAlign w:val="center"/>
                </w:tcPr>
                <w:p w14:paraId="11480AC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废气</w:t>
                  </w:r>
                </w:p>
              </w:tc>
              <w:tc>
                <w:tcPr>
                  <w:tcW w:w="1361" w:type="pct"/>
                  <w:tcBorders>
                    <w:tl2br w:val="nil"/>
                    <w:tr2bl w:val="nil"/>
                  </w:tcBorders>
                  <w:noWrap w:val="0"/>
                  <w:vAlign w:val="center"/>
                </w:tcPr>
                <w:p w14:paraId="47CA068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锅炉废气</w:t>
                  </w:r>
                </w:p>
              </w:tc>
              <w:tc>
                <w:tcPr>
                  <w:tcW w:w="1900" w:type="pct"/>
                  <w:tcBorders>
                    <w:tl2br w:val="nil"/>
                    <w:tr2bl w:val="nil"/>
                  </w:tcBorders>
                  <w:noWrap w:val="0"/>
                  <w:vAlign w:val="center"/>
                </w:tcPr>
                <w:p w14:paraId="426C3276">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低氮燃烧+25m排气筒</w:t>
                  </w:r>
                </w:p>
              </w:tc>
              <w:tc>
                <w:tcPr>
                  <w:tcW w:w="585" w:type="pct"/>
                  <w:tcBorders>
                    <w:tl2br w:val="nil"/>
                    <w:tr2bl w:val="nil"/>
                  </w:tcBorders>
                  <w:noWrap w:val="0"/>
                  <w:vAlign w:val="center"/>
                </w:tcPr>
                <w:p w14:paraId="220712A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1</w:t>
                  </w:r>
                </w:p>
              </w:tc>
              <w:tc>
                <w:tcPr>
                  <w:tcW w:w="670" w:type="pct"/>
                  <w:tcBorders>
                    <w:tl2br w:val="nil"/>
                    <w:tr2bl w:val="nil"/>
                  </w:tcBorders>
                  <w:noWrap w:val="0"/>
                  <w:vAlign w:val="center"/>
                </w:tcPr>
                <w:p w14:paraId="7E851976">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cs="宋体"/>
                      <w:color w:val="auto"/>
                      <w:sz w:val="21"/>
                      <w:szCs w:val="21"/>
                      <w:lang w:val="en-US" w:eastAsia="zh-CN"/>
                    </w:rPr>
                    <w:t>5</w:t>
                  </w:r>
                </w:p>
              </w:tc>
            </w:tr>
            <w:tr w14:paraId="6CF83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482" w:type="pct"/>
                  <w:vMerge w:val="restart"/>
                  <w:tcBorders>
                    <w:tl2br w:val="nil"/>
                    <w:tr2bl w:val="nil"/>
                  </w:tcBorders>
                  <w:noWrap w:val="0"/>
                  <w:vAlign w:val="center"/>
                </w:tcPr>
                <w:p w14:paraId="21F344E3">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p w14:paraId="61A2B3E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废水</w:t>
                  </w:r>
                </w:p>
              </w:tc>
              <w:tc>
                <w:tcPr>
                  <w:tcW w:w="1361" w:type="pct"/>
                  <w:tcBorders>
                    <w:tl2br w:val="nil"/>
                    <w:tr2bl w:val="nil"/>
                  </w:tcBorders>
                  <w:noWrap w:val="0"/>
                  <w:vAlign w:val="center"/>
                </w:tcPr>
                <w:p w14:paraId="58040FC3">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生活污水</w:t>
                  </w:r>
                </w:p>
              </w:tc>
              <w:tc>
                <w:tcPr>
                  <w:tcW w:w="1900" w:type="pct"/>
                  <w:vMerge w:val="restart"/>
                  <w:tcBorders>
                    <w:tl2br w:val="nil"/>
                    <w:tr2bl w:val="nil"/>
                  </w:tcBorders>
                  <w:noWrap w:val="0"/>
                  <w:vAlign w:val="center"/>
                </w:tcPr>
                <w:p w14:paraId="5E5245B1">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化粪池预处理后排入陇县第一污水处理厂</w:t>
                  </w:r>
                </w:p>
              </w:tc>
              <w:tc>
                <w:tcPr>
                  <w:tcW w:w="585" w:type="pct"/>
                  <w:vMerge w:val="restart"/>
                  <w:tcBorders>
                    <w:tl2br w:val="nil"/>
                    <w:tr2bl w:val="nil"/>
                  </w:tcBorders>
                  <w:noWrap w:val="0"/>
                  <w:vAlign w:val="center"/>
                </w:tcPr>
                <w:p w14:paraId="5DA164A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cs="宋体"/>
                      <w:color w:val="auto"/>
                      <w:sz w:val="21"/>
                      <w:szCs w:val="21"/>
                      <w:lang w:val="en-US" w:eastAsia="zh-CN"/>
                    </w:rPr>
                    <w:t>1</w:t>
                  </w:r>
                </w:p>
              </w:tc>
              <w:tc>
                <w:tcPr>
                  <w:tcW w:w="670" w:type="pct"/>
                  <w:vMerge w:val="restart"/>
                  <w:tcBorders>
                    <w:tl2br w:val="nil"/>
                    <w:tr2bl w:val="nil"/>
                  </w:tcBorders>
                  <w:noWrap w:val="0"/>
                  <w:vAlign w:val="center"/>
                </w:tcPr>
                <w:p w14:paraId="6182DC4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cs="宋体"/>
                      <w:color w:val="auto"/>
                      <w:sz w:val="21"/>
                      <w:szCs w:val="21"/>
                      <w:lang w:val="en-US" w:eastAsia="zh-CN"/>
                    </w:rPr>
                    <w:t>3</w:t>
                  </w:r>
                </w:p>
              </w:tc>
            </w:tr>
            <w:tr w14:paraId="6FF5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482" w:type="pct"/>
                  <w:vMerge w:val="continue"/>
                  <w:tcBorders>
                    <w:tl2br w:val="nil"/>
                    <w:tr2bl w:val="nil"/>
                  </w:tcBorders>
                  <w:noWrap w:val="0"/>
                  <w:vAlign w:val="center"/>
                </w:tcPr>
                <w:p w14:paraId="7338D09C">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1361" w:type="pct"/>
                  <w:tcBorders>
                    <w:tl2br w:val="nil"/>
                    <w:tr2bl w:val="nil"/>
                  </w:tcBorders>
                  <w:shd w:val="clear" w:color="auto" w:fill="auto"/>
                  <w:noWrap w:val="0"/>
                  <w:vAlign w:val="center"/>
                </w:tcPr>
                <w:p w14:paraId="7C35831B">
                  <w:pPr>
                    <w:pStyle w:val="44"/>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宋体" w:cs="宋体"/>
                      <w:color w:val="auto"/>
                      <w:kern w:val="2"/>
                      <w:sz w:val="21"/>
                      <w:szCs w:val="21"/>
                      <w:lang w:val="zh-CN" w:eastAsia="zh-CN" w:bidi="zh-CN"/>
                    </w:rPr>
                  </w:pPr>
                  <w:r>
                    <w:rPr>
                      <w:rFonts w:ascii="Times New Roman" w:hAnsi="Times New Roman" w:eastAsia="宋体" w:cs="宋体"/>
                      <w:color w:val="auto"/>
                      <w:sz w:val="21"/>
                      <w:szCs w:val="21"/>
                    </w:rPr>
                    <w:t>软水制备系统浓水</w:t>
                  </w:r>
                </w:p>
              </w:tc>
              <w:tc>
                <w:tcPr>
                  <w:tcW w:w="1900" w:type="pct"/>
                  <w:vMerge w:val="continue"/>
                  <w:tcBorders>
                    <w:tl2br w:val="nil"/>
                    <w:tr2bl w:val="nil"/>
                  </w:tcBorders>
                  <w:noWrap w:val="0"/>
                  <w:vAlign w:val="center"/>
                </w:tcPr>
                <w:p w14:paraId="30F3A910">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585" w:type="pct"/>
                  <w:vMerge w:val="continue"/>
                  <w:tcBorders>
                    <w:tl2br w:val="nil"/>
                    <w:tr2bl w:val="nil"/>
                  </w:tcBorders>
                  <w:noWrap w:val="0"/>
                  <w:vAlign w:val="center"/>
                </w:tcPr>
                <w:p w14:paraId="7668050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670" w:type="pct"/>
                  <w:vMerge w:val="continue"/>
                  <w:tcBorders>
                    <w:tl2br w:val="nil"/>
                    <w:tr2bl w:val="nil"/>
                  </w:tcBorders>
                  <w:noWrap w:val="0"/>
                  <w:vAlign w:val="center"/>
                </w:tcPr>
                <w:p w14:paraId="423F6ED0">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r>
            <w:tr w14:paraId="1C9E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482" w:type="pct"/>
                  <w:vMerge w:val="continue"/>
                  <w:tcBorders>
                    <w:tl2br w:val="nil"/>
                    <w:tr2bl w:val="nil"/>
                  </w:tcBorders>
                  <w:noWrap w:val="0"/>
                  <w:vAlign w:val="center"/>
                </w:tcPr>
                <w:p w14:paraId="683247A2">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1361" w:type="pct"/>
                  <w:tcBorders>
                    <w:tl2br w:val="nil"/>
                    <w:tr2bl w:val="nil"/>
                  </w:tcBorders>
                  <w:shd w:val="clear" w:color="auto" w:fill="auto"/>
                  <w:noWrap w:val="0"/>
                  <w:vAlign w:val="center"/>
                </w:tcPr>
                <w:p w14:paraId="06B390DF">
                  <w:pPr>
                    <w:pStyle w:val="44"/>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宋体" w:cs="宋体"/>
                      <w:color w:val="auto"/>
                      <w:kern w:val="2"/>
                      <w:sz w:val="21"/>
                      <w:szCs w:val="21"/>
                      <w:lang w:val="zh-CN" w:eastAsia="zh-CN" w:bidi="zh-CN"/>
                    </w:rPr>
                  </w:pPr>
                  <w:r>
                    <w:rPr>
                      <w:rFonts w:ascii="Times New Roman" w:hAnsi="Times New Roman" w:eastAsia="宋体" w:cs="宋体"/>
                      <w:color w:val="auto"/>
                      <w:sz w:val="21"/>
                      <w:szCs w:val="21"/>
                    </w:rPr>
                    <w:t>锅炉排污水</w:t>
                  </w:r>
                </w:p>
              </w:tc>
              <w:tc>
                <w:tcPr>
                  <w:tcW w:w="1900" w:type="pct"/>
                  <w:vMerge w:val="continue"/>
                  <w:tcBorders>
                    <w:tl2br w:val="nil"/>
                    <w:tr2bl w:val="nil"/>
                  </w:tcBorders>
                  <w:noWrap w:val="0"/>
                  <w:vAlign w:val="center"/>
                </w:tcPr>
                <w:p w14:paraId="4A75087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585" w:type="pct"/>
                  <w:vMerge w:val="continue"/>
                  <w:tcBorders>
                    <w:tl2br w:val="nil"/>
                    <w:tr2bl w:val="nil"/>
                  </w:tcBorders>
                  <w:noWrap w:val="0"/>
                  <w:vAlign w:val="center"/>
                </w:tcPr>
                <w:p w14:paraId="59EFD16F">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c>
                <w:tcPr>
                  <w:tcW w:w="670" w:type="pct"/>
                  <w:vMerge w:val="continue"/>
                  <w:tcBorders>
                    <w:tl2br w:val="nil"/>
                    <w:tr2bl w:val="nil"/>
                  </w:tcBorders>
                  <w:noWrap w:val="0"/>
                  <w:vAlign w:val="center"/>
                </w:tcPr>
                <w:p w14:paraId="040DBE3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p>
              </w:tc>
            </w:tr>
            <w:tr w14:paraId="10A1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482" w:type="pct"/>
                  <w:tcBorders>
                    <w:tl2br w:val="nil"/>
                    <w:tr2bl w:val="nil"/>
                  </w:tcBorders>
                  <w:noWrap w:val="0"/>
                  <w:vAlign w:val="center"/>
                </w:tcPr>
                <w:p w14:paraId="571D47DD">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噪声</w:t>
                  </w:r>
                </w:p>
              </w:tc>
              <w:tc>
                <w:tcPr>
                  <w:tcW w:w="1361" w:type="pct"/>
                  <w:tcBorders>
                    <w:tl2br w:val="nil"/>
                    <w:tr2bl w:val="nil"/>
                  </w:tcBorders>
                  <w:noWrap w:val="0"/>
                  <w:vAlign w:val="center"/>
                </w:tcPr>
                <w:p w14:paraId="6D78D647">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机械设备噪声</w:t>
                  </w:r>
                </w:p>
              </w:tc>
              <w:tc>
                <w:tcPr>
                  <w:tcW w:w="1900" w:type="pct"/>
                  <w:tcBorders>
                    <w:tl2br w:val="nil"/>
                    <w:tr2bl w:val="nil"/>
                  </w:tcBorders>
                  <w:noWrap w:val="0"/>
                  <w:vAlign w:val="center"/>
                </w:tcPr>
                <w:p w14:paraId="0DE344EF">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隔声、减振、消声</w:t>
                  </w:r>
                </w:p>
              </w:tc>
              <w:tc>
                <w:tcPr>
                  <w:tcW w:w="585" w:type="pct"/>
                  <w:tcBorders>
                    <w:tl2br w:val="nil"/>
                    <w:tr2bl w:val="nil"/>
                  </w:tcBorders>
                  <w:noWrap w:val="0"/>
                  <w:vAlign w:val="center"/>
                </w:tcPr>
                <w:p w14:paraId="1036CDD1">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若干</w:t>
                  </w:r>
                </w:p>
              </w:tc>
              <w:tc>
                <w:tcPr>
                  <w:tcW w:w="670" w:type="pct"/>
                  <w:tcBorders>
                    <w:tl2br w:val="nil"/>
                    <w:tr2bl w:val="nil"/>
                  </w:tcBorders>
                  <w:noWrap w:val="0"/>
                  <w:vAlign w:val="center"/>
                </w:tcPr>
                <w:p w14:paraId="1E368BB1">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10</w:t>
                  </w:r>
                </w:p>
              </w:tc>
            </w:tr>
            <w:tr w14:paraId="4DCB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482" w:type="pct"/>
                  <w:tcBorders>
                    <w:tl2br w:val="nil"/>
                    <w:tr2bl w:val="nil"/>
                  </w:tcBorders>
                  <w:noWrap w:val="0"/>
                  <w:vAlign w:val="center"/>
                </w:tcPr>
                <w:p w14:paraId="31F35548">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固废</w:t>
                  </w:r>
                </w:p>
              </w:tc>
              <w:tc>
                <w:tcPr>
                  <w:tcW w:w="1361" w:type="pct"/>
                  <w:tcBorders>
                    <w:tl2br w:val="nil"/>
                    <w:tr2bl w:val="nil"/>
                  </w:tcBorders>
                  <w:noWrap w:val="0"/>
                  <w:vAlign w:val="center"/>
                </w:tcPr>
                <w:p w14:paraId="7743ACF0">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cs="宋体"/>
                      <w:color w:val="auto"/>
                      <w:sz w:val="21"/>
                      <w:szCs w:val="21"/>
                      <w:lang w:eastAsia="zh-CN"/>
                    </w:rPr>
                  </w:pPr>
                  <w:r>
                    <w:rPr>
                      <w:rFonts w:ascii="Times New Roman" w:hAnsi="Times New Roman" w:eastAsia="宋体" w:cs="宋体"/>
                      <w:color w:val="auto"/>
                      <w:sz w:val="21"/>
                      <w:szCs w:val="21"/>
                    </w:rPr>
                    <w:t>废离子交换树脂</w:t>
                  </w:r>
                </w:p>
              </w:tc>
              <w:tc>
                <w:tcPr>
                  <w:tcW w:w="1900" w:type="pct"/>
                  <w:tcBorders>
                    <w:tl2br w:val="nil"/>
                    <w:tr2bl w:val="nil"/>
                  </w:tcBorders>
                  <w:noWrap w:val="0"/>
                  <w:vAlign w:val="center"/>
                </w:tcPr>
                <w:p w14:paraId="4F6DBDA9">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更换后厂家带走</w:t>
                  </w:r>
                </w:p>
              </w:tc>
              <w:tc>
                <w:tcPr>
                  <w:tcW w:w="585" w:type="pct"/>
                  <w:tcBorders>
                    <w:tl2br w:val="nil"/>
                    <w:tr2bl w:val="nil"/>
                  </w:tcBorders>
                  <w:noWrap w:val="0"/>
                  <w:vAlign w:val="center"/>
                </w:tcPr>
                <w:p w14:paraId="557CCF93">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w:t>
                  </w:r>
                </w:p>
              </w:tc>
              <w:tc>
                <w:tcPr>
                  <w:tcW w:w="670" w:type="pct"/>
                  <w:tcBorders>
                    <w:tl2br w:val="nil"/>
                    <w:tr2bl w:val="nil"/>
                  </w:tcBorders>
                  <w:noWrap w:val="0"/>
                  <w:vAlign w:val="center"/>
                </w:tcPr>
                <w:p w14:paraId="55BD445F">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1</w:t>
                  </w:r>
                </w:p>
              </w:tc>
            </w:tr>
            <w:tr w14:paraId="74FA1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329" w:type="pct"/>
                  <w:gridSpan w:val="4"/>
                  <w:tcBorders>
                    <w:tl2br w:val="nil"/>
                    <w:tr2bl w:val="nil"/>
                  </w:tcBorders>
                  <w:noWrap w:val="0"/>
                  <w:vAlign w:val="center"/>
                </w:tcPr>
                <w:p w14:paraId="3A0D5A1B">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合计</w:t>
                  </w:r>
                </w:p>
              </w:tc>
              <w:tc>
                <w:tcPr>
                  <w:tcW w:w="670" w:type="pct"/>
                  <w:tcBorders>
                    <w:tl2br w:val="nil"/>
                    <w:tr2bl w:val="nil"/>
                  </w:tcBorders>
                  <w:noWrap w:val="0"/>
                  <w:vAlign w:val="center"/>
                </w:tcPr>
                <w:p w14:paraId="66A17B0E">
                  <w:pPr>
                    <w:pStyle w:val="44"/>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19</w:t>
                  </w:r>
                </w:p>
              </w:tc>
            </w:tr>
          </w:tbl>
          <w:p w14:paraId="57362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val="en-US" w:eastAsia="zh-CN" w:bidi="ar"/>
              </w:rPr>
              <w:t xml:space="preserve">环境管理制度 </w:t>
            </w:r>
          </w:p>
          <w:p w14:paraId="71B13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建设方领导必须重视环境保护工作，应制定一系列规章制度以促进治理项目的环境保护工作。制定的环境保护工作条例有：</w:t>
            </w:r>
          </w:p>
          <w:p w14:paraId="5D241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①环境保护职责管理条例</w:t>
            </w:r>
          </w:p>
          <w:p w14:paraId="33393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②废气排放管理制度</w:t>
            </w:r>
          </w:p>
          <w:p w14:paraId="6F654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③固废的管理与处置制度</w:t>
            </w:r>
          </w:p>
          <w:p w14:paraId="77AB3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④环保教育制度</w:t>
            </w:r>
          </w:p>
          <w:p w14:paraId="7AFB7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3、</w:t>
            </w:r>
            <w:r>
              <w:rPr>
                <w:rFonts w:hint="default" w:ascii="Times New Roman" w:hAnsi="Times New Roman" w:eastAsia="宋体" w:cs="Times New Roman"/>
                <w:color w:val="000000"/>
                <w:kern w:val="0"/>
                <w:sz w:val="21"/>
                <w:szCs w:val="21"/>
                <w:highlight w:val="none"/>
                <w:lang w:val="en-US" w:eastAsia="zh-CN" w:bidi="ar"/>
              </w:rPr>
              <w:t>环境管理机构设置与职责</w:t>
            </w:r>
          </w:p>
          <w:p w14:paraId="03645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根据《建设项目环境保护设计规范》等要求，本项目需设立专门的环境管理机构及专职负责人员一名，管理负责全厂环保相关工作。环保专职管理人员的职能是：</w:t>
            </w:r>
          </w:p>
          <w:p w14:paraId="769F5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①负责贯彻实施国家环保法规和有关地方环保法令。 </w:t>
            </w:r>
          </w:p>
          <w:p w14:paraId="380BA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②加强环保管理，建立健全企业的环境管理制度，确保污染治理和生态环境保护工作顺利实施，并实施检查和监督。 </w:t>
            </w:r>
          </w:p>
          <w:p w14:paraId="107BE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③组织开展环境监测，及时了解施工区及工程运行后环境质量状况及生态恢复状况。</w:t>
            </w:r>
          </w:p>
          <w:p w14:paraId="274B6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4、</w:t>
            </w:r>
            <w:r>
              <w:rPr>
                <w:rFonts w:hint="default" w:ascii="Times New Roman" w:hAnsi="Times New Roman" w:eastAsia="宋体" w:cs="Times New Roman"/>
                <w:color w:val="000000"/>
                <w:kern w:val="0"/>
                <w:sz w:val="21"/>
                <w:szCs w:val="21"/>
                <w:highlight w:val="none"/>
                <w:lang w:val="en-US" w:eastAsia="zh-CN" w:bidi="ar"/>
              </w:rPr>
              <w:t>环境监测计划</w:t>
            </w:r>
          </w:p>
          <w:p w14:paraId="01C13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企业应当严格执行本次评价提出的监测要求，应定期委托有环境监测资质的单位进行环境监测工作，监测时必须保证所有装置稳定运行，并记录操作工况。环境监测计划的制定依据项目内容和企业实际情况，制定相应切实可行的方案，向有关环境保护主管部门上报监测结果。</w:t>
            </w:r>
          </w:p>
          <w:p w14:paraId="0CB4A9C5">
            <w:pPr>
              <w:keepNext w:val="0"/>
              <w:keepLines w:val="0"/>
              <w:suppressLineNumbers w:val="0"/>
              <w:adjustRightInd w:val="0"/>
              <w:snapToGrid w:val="0"/>
              <w:spacing w:before="0" w:beforeAutospacing="0" w:after="0" w:afterAutospacing="0" w:line="240" w:lineRule="auto"/>
              <w:ind w:left="0" w:right="0" w:firstLine="420" w:firstLineChars="200"/>
              <w:jc w:val="left"/>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lang w:val="en-US" w:eastAsia="zh-CN"/>
              </w:rPr>
              <w:t>5、</w:t>
            </w:r>
            <w:r>
              <w:rPr>
                <w:rFonts w:hint="default" w:ascii="Times New Roman" w:hAnsi="Times New Roman" w:cs="Times New Roman"/>
                <w:color w:val="000000"/>
                <w:highlight w:val="none"/>
              </w:rPr>
              <w:t>排污许可</w:t>
            </w:r>
            <w:r>
              <w:rPr>
                <w:rFonts w:hint="eastAsia" w:ascii="Times New Roman" w:hAnsi="Times New Roman" w:cs="Times New Roman"/>
                <w:color w:val="000000"/>
                <w:highlight w:val="none"/>
                <w:lang w:val="en-US" w:eastAsia="zh-CN"/>
              </w:rPr>
              <w:t>及排污口管理要求</w:t>
            </w:r>
          </w:p>
          <w:p w14:paraId="421FE450">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（1）排污口规范化管理的基本原则</w:t>
            </w:r>
          </w:p>
          <w:p w14:paraId="7349D909">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①向环境排放污染物的排污口必须规范化。</w:t>
            </w:r>
          </w:p>
          <w:p w14:paraId="0515BDE9">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②根据本工程排放污染物的特点，考虑废气排气筒为管理的重点。</w:t>
            </w:r>
          </w:p>
          <w:p w14:paraId="4273CC0F">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③排污口应便于采样与计量监测，便于日常现场监督检查。</w:t>
            </w:r>
          </w:p>
          <w:p w14:paraId="234C4B3E">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（2）排污口的技术要求</w:t>
            </w:r>
          </w:p>
          <w:p w14:paraId="0D0C1F2A">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①排污口的位置必须合理确定，按《排污口规范化整治技术要求》（环监</w:t>
            </w:r>
            <w:r>
              <w:rPr>
                <w:rFonts w:hint="eastAsia" w:ascii="Times New Roman" w:hAnsi="Times New Roman" w:eastAsia="宋体" w:cs="Times New Roman"/>
                <w:color w:val="auto"/>
                <w:sz w:val="21"/>
                <w:szCs w:val="21"/>
                <w:highlight w:val="none"/>
                <w:lang w:eastAsia="zh-CN"/>
              </w:rPr>
              <w:t>〔1996〕470号</w:t>
            </w:r>
            <w:r>
              <w:rPr>
                <w:rFonts w:hint="default" w:ascii="Times New Roman" w:hAnsi="Times New Roman" w:eastAsia="宋体" w:cs="Times New Roman"/>
                <w:color w:val="auto"/>
                <w:sz w:val="21"/>
                <w:szCs w:val="21"/>
                <w:highlight w:val="none"/>
              </w:rPr>
              <w:t>）文件要求，进行规范化管理；</w:t>
            </w:r>
          </w:p>
          <w:p w14:paraId="1C967545">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②排放废气的排气筒</w:t>
            </w:r>
            <w:r>
              <w:rPr>
                <w:rFonts w:hint="eastAsia"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设置应符合《污染源监测技术规范》的采样口。</w:t>
            </w:r>
          </w:p>
          <w:p w14:paraId="25BED64E">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（3）排污口立标管理</w:t>
            </w:r>
          </w:p>
          <w:p w14:paraId="12B58504">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①各污染物排放口应按国家《环境保护图形标志》（15562.1-95）与GB15562.2-95的规定，设置国家环保局统一制作的环境保护图形标志牌；</w:t>
            </w:r>
          </w:p>
          <w:p w14:paraId="36054340">
            <w:pPr>
              <w:keepNext w:val="0"/>
              <w:keepLines w:val="0"/>
              <w:pageBreakBefore w:val="0"/>
              <w:suppressLineNumbers w:val="0"/>
              <w:kinsoku/>
              <w:wordWrap/>
              <w:overflowPunct/>
              <w:topLinePunct w:val="0"/>
              <w:autoSpaceDE w:val="0"/>
              <w:autoSpaceDN w:val="0"/>
              <w:bidi w:val="0"/>
              <w:spacing w:before="157" w:beforeLines="5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表5-</w:t>
            </w:r>
            <w:r>
              <w:rPr>
                <w:rFonts w:hint="eastAsia" w:ascii="Times New Roman" w:hAnsi="Times New Roman"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rPr>
              <w:t xml:space="preserve">  排污口图形标志一览表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45"/>
              <w:gridCol w:w="3647"/>
            </w:tblGrid>
            <w:tr w14:paraId="288C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2"/>
                  <w:noWrap w:val="0"/>
                  <w:vAlign w:val="center"/>
                </w:tcPr>
                <w:p w14:paraId="54BE7369">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图形标志设置部位</w:t>
                  </w:r>
                </w:p>
              </w:tc>
            </w:tr>
            <w:tr w14:paraId="6E5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499" w:type="pct"/>
                  <w:noWrap w:val="0"/>
                  <w:vAlign w:val="center"/>
                </w:tcPr>
                <w:p w14:paraId="371A483D">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废气排放口</w:t>
                  </w:r>
                </w:p>
              </w:tc>
              <w:tc>
                <w:tcPr>
                  <w:tcW w:w="2500" w:type="pct"/>
                  <w:noWrap w:val="0"/>
                  <w:vAlign w:val="center"/>
                </w:tcPr>
                <w:p w14:paraId="4C24ED79">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噪声源</w:t>
                  </w:r>
                </w:p>
              </w:tc>
            </w:tr>
            <w:tr w14:paraId="4C4B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2499" w:type="pct"/>
                  <w:tcBorders>
                    <w:bottom w:val="single" w:color="auto" w:sz="4" w:space="0"/>
                  </w:tcBorders>
                  <w:noWrap w:val="0"/>
                  <w:vAlign w:val="center"/>
                </w:tcPr>
                <w:p w14:paraId="0E6A1C68">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drawing>
                      <wp:inline distT="0" distB="0" distL="114300" distR="114300">
                        <wp:extent cx="859155" cy="809625"/>
                        <wp:effectExtent l="0" t="0" r="0" b="0"/>
                        <wp:docPr id="6" name="图片 32" descr="说明: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2" descr="说明: 002"/>
                                <pic:cNvPicPr>
                                  <a:picLocks noChangeAspect="1"/>
                                </pic:cNvPicPr>
                              </pic:nvPicPr>
                              <pic:blipFill>
                                <a:blip r:embed="rId26"/>
                                <a:stretch>
                                  <a:fillRect/>
                                </a:stretch>
                              </pic:blipFill>
                              <pic:spPr>
                                <a:xfrm>
                                  <a:off x="0" y="0"/>
                                  <a:ext cx="859155" cy="809625"/>
                                </a:xfrm>
                                <a:prstGeom prst="rect">
                                  <a:avLst/>
                                </a:prstGeom>
                                <a:noFill/>
                                <a:ln w="15875" cap="flat" cmpd="sng">
                                  <a:solidFill>
                                    <a:srgbClr val="000000"/>
                                  </a:solidFill>
                                  <a:prstDash val="solid"/>
                                  <a:miter/>
                                  <a:headEnd type="none" w="med" len="med"/>
                                  <a:tailEnd type="none" w="med" len="med"/>
                                </a:ln>
                              </pic:spPr>
                            </pic:pic>
                          </a:graphicData>
                        </a:graphic>
                      </wp:inline>
                    </w:drawing>
                  </w:r>
                </w:p>
              </w:tc>
              <w:tc>
                <w:tcPr>
                  <w:tcW w:w="2500" w:type="pct"/>
                  <w:tcBorders>
                    <w:bottom w:val="single" w:color="auto" w:sz="4" w:space="0"/>
                  </w:tcBorders>
                  <w:noWrap w:val="0"/>
                  <w:vAlign w:val="center"/>
                </w:tcPr>
                <w:p w14:paraId="5F6B61D2">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drawing>
                      <wp:inline distT="0" distB="0" distL="114300" distR="114300">
                        <wp:extent cx="859790" cy="810260"/>
                        <wp:effectExtent l="0" t="0" r="0" b="0"/>
                        <wp:docPr id="7" name="图片 33" descr="说明: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3" descr="说明: 003"/>
                                <pic:cNvPicPr>
                                  <a:picLocks noChangeAspect="1"/>
                                </pic:cNvPicPr>
                              </pic:nvPicPr>
                              <pic:blipFill>
                                <a:blip r:embed="rId27"/>
                                <a:stretch>
                                  <a:fillRect/>
                                </a:stretch>
                              </pic:blipFill>
                              <pic:spPr>
                                <a:xfrm>
                                  <a:off x="0" y="0"/>
                                  <a:ext cx="859790" cy="810260"/>
                                </a:xfrm>
                                <a:prstGeom prst="rect">
                                  <a:avLst/>
                                </a:prstGeom>
                                <a:noFill/>
                                <a:ln w="15875" cap="flat" cmpd="sng">
                                  <a:solidFill>
                                    <a:srgbClr val="000000"/>
                                  </a:solidFill>
                                  <a:prstDash val="solid"/>
                                  <a:miter/>
                                  <a:headEnd type="none" w="med" len="med"/>
                                  <a:tailEnd type="none" w="med" len="med"/>
                                </a:ln>
                              </pic:spPr>
                            </pic:pic>
                          </a:graphicData>
                        </a:graphic>
                      </wp:inline>
                    </w:drawing>
                  </w:r>
                </w:p>
              </w:tc>
            </w:tr>
            <w:tr w14:paraId="0C9D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000" w:type="pct"/>
                  <w:gridSpan w:val="2"/>
                  <w:noWrap w:val="0"/>
                  <w:vAlign w:val="center"/>
                </w:tcPr>
                <w:p w14:paraId="70EB4134">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b/>
                      <w:color w:val="auto"/>
                      <w:sz w:val="21"/>
                      <w:szCs w:val="21"/>
                      <w:highlight w:val="none"/>
                    </w:rPr>
                    <w:t>废水排放口</w:t>
                  </w:r>
                </w:p>
              </w:tc>
            </w:tr>
            <w:tr w14:paraId="3E8F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5000" w:type="pct"/>
                  <w:gridSpan w:val="2"/>
                  <w:noWrap w:val="0"/>
                  <w:vAlign w:val="center"/>
                </w:tcPr>
                <w:p w14:paraId="2636E8CB">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drawing>
                      <wp:inline distT="0" distB="0" distL="114300" distR="114300">
                        <wp:extent cx="855980" cy="812165"/>
                        <wp:effectExtent l="0" t="0" r="0" b="0"/>
                        <wp:docPr id="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pic:cNvPicPr>
                                  <a:picLocks noChangeAspect="1"/>
                                </pic:cNvPicPr>
                              </pic:nvPicPr>
                              <pic:blipFill>
                                <a:blip r:embed="rId28"/>
                                <a:stretch>
                                  <a:fillRect/>
                                </a:stretch>
                              </pic:blipFill>
                              <pic:spPr>
                                <a:xfrm>
                                  <a:off x="0" y="0"/>
                                  <a:ext cx="855980" cy="812165"/>
                                </a:xfrm>
                                <a:prstGeom prst="rect">
                                  <a:avLst/>
                                </a:prstGeom>
                                <a:noFill/>
                                <a:ln w="15875" cap="flat" cmpd="sng">
                                  <a:solidFill>
                                    <a:srgbClr val="000000"/>
                                  </a:solidFill>
                                  <a:prstDash val="solid"/>
                                  <a:miter/>
                                  <a:headEnd type="none" w="med" len="med"/>
                                  <a:tailEnd type="none" w="med" len="med"/>
                                </a:ln>
                              </pic:spPr>
                            </pic:pic>
                          </a:graphicData>
                        </a:graphic>
                      </wp:inline>
                    </w:drawing>
                  </w:r>
                </w:p>
              </w:tc>
            </w:tr>
          </w:tbl>
          <w:p w14:paraId="10DCD773">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②污染物排放口的环保图形标志牌应设置在靠近采样点的醒目处，标志牌设置高度为其上缘距地面约2m。</w:t>
            </w:r>
          </w:p>
          <w:p w14:paraId="76BBDA9C">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（4）排污口建档管理</w:t>
            </w:r>
          </w:p>
          <w:p w14:paraId="7D40CE85">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①要求使用国家环保总局统一印制的《中华人民共和国规范化排污口标志登记证》，并按要求填写有关内容。</w:t>
            </w:r>
          </w:p>
          <w:p w14:paraId="764DC6FB">
            <w:pPr>
              <w:pStyle w:val="57"/>
              <w:keepNext w:val="0"/>
              <w:keepLines w:val="0"/>
              <w:suppressLineNumbers w:val="0"/>
              <w:spacing w:before="78" w:beforeLines="25" w:beforeAutospacing="0" w:after="0" w:afterAutospacing="0" w:line="240" w:lineRule="auto"/>
              <w:ind w:left="0" w:right="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②根据排污口管理档案内容要求，项目投产后，将主要污染物种类、数量、浓度、排放去向、达标情况及设施运行情况记录于档案。</w:t>
            </w:r>
          </w:p>
          <w:p w14:paraId="3561A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6.</w:t>
            </w:r>
            <w:r>
              <w:rPr>
                <w:rFonts w:hint="default" w:ascii="Times New Roman" w:hAnsi="Times New Roman" w:eastAsia="宋体" w:cs="Times New Roman"/>
                <w:color w:val="000000"/>
                <w:kern w:val="0"/>
                <w:sz w:val="21"/>
                <w:szCs w:val="21"/>
                <w:highlight w:val="none"/>
                <w:lang w:val="en-US" w:eastAsia="zh-CN" w:bidi="ar"/>
              </w:rPr>
              <w:t>应急预案</w:t>
            </w:r>
          </w:p>
          <w:p w14:paraId="4E565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根据《企事业单位突发环境事件应急预案编制备案管理办法（试行）》 （环发〔2015〕4号），建设单位须制定环境突发事故应急预案，并到当地受理部门进行备案，一旦突发环境风险事故，必须立即按应急预案提到的紧急处理、救援、监测方案等进行紧急救援，救援人员采取相应的防护措施，以避免造成人员伤亡事故。</w:t>
            </w:r>
          </w:p>
          <w:p w14:paraId="49D57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 w:val="21"/>
                <w:szCs w:val="21"/>
                <w:highlight w:val="none"/>
                <w:lang w:val="en-US" w:eastAsia="zh-CN" w:bidi="ar"/>
              </w:rPr>
              <w:t>6</w:t>
            </w:r>
            <w:r>
              <w:rPr>
                <w:rFonts w:hint="default" w:ascii="Times New Roman" w:hAnsi="Times New Roman" w:eastAsia="宋体" w:cs="Times New Roman"/>
                <w:color w:val="000000"/>
                <w:kern w:val="0"/>
                <w:sz w:val="21"/>
                <w:szCs w:val="21"/>
                <w:highlight w:val="none"/>
                <w:lang w:val="en-US" w:eastAsia="zh-CN" w:bidi="ar"/>
              </w:rPr>
              <w:t>）项目竣工环境保护验收</w:t>
            </w:r>
          </w:p>
          <w:p w14:paraId="33F3F2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Times New Roman" w:hAnsi="Times New Roman" w:eastAsia="宋体" w:cs="宋体"/>
                <w:color w:val="auto"/>
                <w:kern w:val="0"/>
                <w:sz w:val="21"/>
                <w:szCs w:val="21"/>
              </w:rPr>
            </w:pPr>
            <w:r>
              <w:rPr>
                <w:rFonts w:hint="default" w:ascii="Times New Roman" w:hAnsi="Times New Roman" w:eastAsia="宋体" w:cs="Times New Roman"/>
                <w:color w:val="000000"/>
                <w:kern w:val="0"/>
                <w:sz w:val="21"/>
                <w:szCs w:val="21"/>
                <w:highlight w:val="none"/>
                <w:lang w:val="en-US" w:eastAsia="zh-CN" w:bidi="ar"/>
              </w:rPr>
              <w:t>建设项目需要配套</w:t>
            </w:r>
            <w:r>
              <w:rPr>
                <w:rFonts w:hint="eastAsia" w:ascii="Times New Roman" w:hAnsi="Times New Roman" w:eastAsia="宋体" w:cs="Times New Roman"/>
                <w:color w:val="000000"/>
                <w:kern w:val="0"/>
                <w:sz w:val="21"/>
                <w:szCs w:val="21"/>
                <w:highlight w:val="none"/>
                <w:lang w:val="en-US" w:eastAsia="zh-CN" w:bidi="ar"/>
              </w:rPr>
              <w:t>建设</w:t>
            </w:r>
            <w:r>
              <w:rPr>
                <w:rFonts w:hint="default" w:ascii="Times New Roman" w:hAnsi="Times New Roman" w:eastAsia="宋体" w:cs="Times New Roman"/>
                <w:color w:val="000000"/>
                <w:kern w:val="0"/>
                <w:sz w:val="21"/>
                <w:szCs w:val="21"/>
                <w:highlight w:val="none"/>
                <w:lang w:val="en-US" w:eastAsia="zh-CN" w:bidi="ar"/>
              </w:rPr>
              <w:t>环境保护设施，必须与主体工程同时设计、同时施工、同步投产使用。建设单位应按照环境保护行政主管部门规定的标准和程序，对配套建设的环境保护设施进行验收，编制验收报告。除按照国家规定需要保密的情形外，建设单位应当依法向社会公开验收报告。建设项目配套建设的环境保护设施经验收合格，方可投入生产或者使用；未经验收或者验收不合格的，不得投入生产或者使用。</w:t>
            </w:r>
          </w:p>
        </w:tc>
      </w:tr>
    </w:tbl>
    <w:p w14:paraId="03787FB1">
      <w:pPr>
        <w:pStyle w:val="16"/>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E5AD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noWrap w:val="0"/>
            <w:vAlign w:val="center"/>
          </w:tcPr>
          <w:p w14:paraId="4E8FD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Times New Roman" w:cs="宋体"/>
                <w:color w:val="auto"/>
                <w:sz w:val="24"/>
              </w:rPr>
            </w:pPr>
            <w:r>
              <w:rPr>
                <w:rFonts w:hint="eastAsia" w:ascii="宋体" w:hAnsi="Times New Roman" w:cs="宋体"/>
                <w:color w:val="auto"/>
                <w:sz w:val="24"/>
              </w:rPr>
              <w:t>本</w:t>
            </w:r>
            <w:r>
              <w:rPr>
                <w:rFonts w:hint="eastAsia" w:ascii="宋体" w:hAnsi="Times New Roman" w:cs="宋体"/>
                <w:color w:val="auto"/>
                <w:sz w:val="24"/>
                <w:lang w:eastAsia="zh-CN"/>
              </w:rPr>
              <w:t>技改</w:t>
            </w:r>
            <w:r>
              <w:rPr>
                <w:rFonts w:hint="eastAsia" w:ascii="宋体" w:hAnsi="Times New Roman" w:cs="宋体"/>
                <w:color w:val="auto"/>
                <w:sz w:val="24"/>
              </w:rPr>
              <w:t>项目建设符合产业政策和相关规划要求；选址合理；各项污染物能够达标排放，项目运行后对周围环境影响较轻；项目严格落实设计和环评报告提出的污染防治措施和环境保护措施，并加强环保设施的运行维护和管理，保证各种环保设施的正常运行和污染物长期稳定达标排放。从环境保护角度分析，该项目建设是可行的。</w:t>
            </w:r>
          </w:p>
        </w:tc>
      </w:tr>
    </w:tbl>
    <w:p w14:paraId="1C82B517">
      <w:pPr>
        <w:rPr>
          <w:rFonts w:ascii="宋体"/>
          <w:color w:val="auto"/>
        </w:rPr>
        <w:sect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11836018">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14:paraId="30ABBE84">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598"/>
        <w:gridCol w:w="1701"/>
        <w:gridCol w:w="1276"/>
        <w:gridCol w:w="1701"/>
        <w:gridCol w:w="1559"/>
        <w:gridCol w:w="1761"/>
        <w:gridCol w:w="1823"/>
        <w:gridCol w:w="1474"/>
      </w:tblGrid>
      <w:tr w14:paraId="212CF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07" w:type="dxa"/>
            <w:tcBorders>
              <w:tl2br w:val="single" w:color="auto" w:sz="4" w:space="0"/>
            </w:tcBorders>
            <w:noWrap w:val="0"/>
            <w:tcMar>
              <w:left w:w="28" w:type="dxa"/>
              <w:right w:w="28" w:type="dxa"/>
            </w:tcMar>
            <w:vAlign w:val="center"/>
          </w:tcPr>
          <w:p w14:paraId="63F4111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spacing w:val="-6"/>
                <w:kern w:val="21"/>
                <w:sz w:val="21"/>
                <w:szCs w:val="21"/>
              </w:rPr>
            </w:pPr>
            <w:r>
              <w:rPr>
                <w:rFonts w:hint="eastAsia" w:ascii="Times New Roman" w:hAnsi="Times New Roman" w:eastAsia="宋体" w:cs="宋体"/>
                <w:snapToGrid w:val="0"/>
                <w:color w:val="auto"/>
                <w:spacing w:val="-6"/>
                <w:kern w:val="21"/>
                <w:sz w:val="21"/>
                <w:szCs w:val="21"/>
              </w:rPr>
              <w:t>项目</w:t>
            </w:r>
          </w:p>
          <w:p w14:paraId="3C334D7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spacing w:val="-6"/>
                <w:kern w:val="21"/>
                <w:sz w:val="21"/>
                <w:szCs w:val="21"/>
              </w:rPr>
            </w:pPr>
            <w:r>
              <w:rPr>
                <w:rFonts w:hint="eastAsia" w:ascii="Times New Roman" w:hAnsi="Times New Roman" w:eastAsia="宋体" w:cs="宋体"/>
                <w:snapToGrid w:val="0"/>
                <w:color w:val="auto"/>
                <w:spacing w:val="-6"/>
                <w:kern w:val="21"/>
                <w:sz w:val="21"/>
                <w:szCs w:val="21"/>
              </w:rPr>
              <w:t>分类</w:t>
            </w:r>
          </w:p>
        </w:tc>
        <w:tc>
          <w:tcPr>
            <w:tcW w:w="1598" w:type="dxa"/>
            <w:noWrap w:val="0"/>
            <w:tcMar>
              <w:left w:w="28" w:type="dxa"/>
              <w:right w:w="28" w:type="dxa"/>
            </w:tcMar>
            <w:vAlign w:val="center"/>
          </w:tcPr>
          <w:p w14:paraId="2F4AB1D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spacing w:val="-6"/>
                <w:kern w:val="21"/>
                <w:sz w:val="21"/>
                <w:szCs w:val="21"/>
              </w:rPr>
            </w:pPr>
            <w:r>
              <w:rPr>
                <w:rFonts w:hint="eastAsia" w:ascii="Times New Roman" w:hAnsi="Times New Roman" w:eastAsia="宋体" w:cs="宋体"/>
                <w:snapToGrid w:val="0"/>
                <w:color w:val="auto"/>
                <w:spacing w:val="-6"/>
                <w:kern w:val="21"/>
                <w:sz w:val="21"/>
                <w:szCs w:val="21"/>
              </w:rPr>
              <w:t>污染物名称</w:t>
            </w:r>
          </w:p>
        </w:tc>
        <w:tc>
          <w:tcPr>
            <w:tcW w:w="1701" w:type="dxa"/>
            <w:noWrap w:val="0"/>
            <w:tcMar>
              <w:left w:w="28" w:type="dxa"/>
              <w:right w:w="28" w:type="dxa"/>
            </w:tcMar>
            <w:vAlign w:val="center"/>
          </w:tcPr>
          <w:p w14:paraId="26DCE50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现有工程</w:t>
            </w:r>
          </w:p>
          <w:p w14:paraId="1269ABD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排放量（固</w:t>
            </w:r>
            <w:r>
              <w:rPr>
                <w:rFonts w:hint="eastAsia" w:ascii="Times New Roman" w:hAnsi="Times New Roman" w:eastAsia="宋体"/>
                <w:snapToGrid w:val="0"/>
                <w:color w:val="auto"/>
                <w:spacing w:val="0"/>
                <w:kern w:val="21"/>
                <w:sz w:val="21"/>
                <w:szCs w:val="21"/>
              </w:rPr>
              <w:t>体</w:t>
            </w:r>
            <w:r>
              <w:rPr>
                <w:rFonts w:hint="default" w:ascii="Times New Roman" w:hAnsi="Times New Roman" w:eastAsia="宋体"/>
                <w:snapToGrid w:val="0"/>
                <w:color w:val="auto"/>
                <w:spacing w:val="0"/>
                <w:kern w:val="21"/>
                <w:sz w:val="21"/>
                <w:szCs w:val="21"/>
              </w:rPr>
              <w:t>废</w:t>
            </w:r>
            <w:r>
              <w:rPr>
                <w:rFonts w:hint="eastAsia" w:ascii="Times New Roman" w:hAnsi="Times New Roman" w:eastAsia="宋体"/>
                <w:snapToGrid w:val="0"/>
                <w:color w:val="auto"/>
                <w:spacing w:val="0"/>
                <w:kern w:val="21"/>
                <w:sz w:val="21"/>
                <w:szCs w:val="21"/>
              </w:rPr>
              <w:t>物</w:t>
            </w:r>
            <w:r>
              <w:rPr>
                <w:rFonts w:hint="default" w:ascii="Times New Roman" w:hAnsi="Times New Roman" w:eastAsia="宋体"/>
                <w:snapToGrid w:val="0"/>
                <w:color w:val="auto"/>
                <w:spacing w:val="0"/>
                <w:kern w:val="21"/>
                <w:sz w:val="21"/>
                <w:szCs w:val="21"/>
              </w:rPr>
              <w:t>产生量）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1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①</w:t>
            </w:r>
            <w:r>
              <w:rPr>
                <w:rFonts w:hint="default" w:ascii="Times New Roman" w:hAnsi="Times New Roman" w:eastAsia="宋体"/>
                <w:snapToGrid w:val="0"/>
                <w:color w:val="auto"/>
                <w:spacing w:val="0"/>
                <w:kern w:val="21"/>
                <w:sz w:val="21"/>
                <w:szCs w:val="21"/>
              </w:rPr>
              <w:fldChar w:fldCharType="end"/>
            </w:r>
          </w:p>
        </w:tc>
        <w:tc>
          <w:tcPr>
            <w:tcW w:w="1276" w:type="dxa"/>
            <w:noWrap w:val="0"/>
            <w:tcMar>
              <w:left w:w="28" w:type="dxa"/>
              <w:right w:w="28" w:type="dxa"/>
            </w:tcMar>
            <w:vAlign w:val="center"/>
          </w:tcPr>
          <w:p w14:paraId="69F5A86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现有工程</w:t>
            </w:r>
          </w:p>
          <w:p w14:paraId="2502982B">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许可排放量</w:t>
            </w:r>
          </w:p>
          <w:p w14:paraId="2DBE937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2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snapToGrid w:val="0"/>
                <w:color w:val="auto"/>
                <w:spacing w:val="0"/>
                <w:kern w:val="21"/>
                <w:sz w:val="21"/>
                <w:szCs w:val="21"/>
              </w:rPr>
              <w:t>②</w:t>
            </w:r>
            <w:r>
              <w:rPr>
                <w:rFonts w:hint="default" w:ascii="Times New Roman" w:hAnsi="Times New Roman" w:eastAsia="宋体"/>
                <w:snapToGrid w:val="0"/>
                <w:color w:val="auto"/>
                <w:spacing w:val="0"/>
                <w:kern w:val="21"/>
                <w:sz w:val="21"/>
                <w:szCs w:val="21"/>
              </w:rPr>
              <w:fldChar w:fldCharType="end"/>
            </w:r>
          </w:p>
        </w:tc>
        <w:tc>
          <w:tcPr>
            <w:tcW w:w="1701" w:type="dxa"/>
            <w:noWrap w:val="0"/>
            <w:tcMar>
              <w:left w:w="28" w:type="dxa"/>
              <w:right w:w="28" w:type="dxa"/>
            </w:tcMar>
            <w:vAlign w:val="center"/>
          </w:tcPr>
          <w:p w14:paraId="195A4F2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在建工程</w:t>
            </w:r>
          </w:p>
          <w:p w14:paraId="273417F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排放量（固</w:t>
            </w:r>
            <w:r>
              <w:rPr>
                <w:rFonts w:hint="eastAsia" w:ascii="Times New Roman" w:hAnsi="Times New Roman" w:eastAsia="宋体"/>
                <w:snapToGrid w:val="0"/>
                <w:color w:val="auto"/>
                <w:spacing w:val="0"/>
                <w:kern w:val="21"/>
                <w:sz w:val="21"/>
                <w:szCs w:val="21"/>
              </w:rPr>
              <w:t>体</w:t>
            </w:r>
            <w:r>
              <w:rPr>
                <w:rFonts w:hint="default" w:ascii="Times New Roman" w:hAnsi="Times New Roman" w:eastAsia="宋体"/>
                <w:snapToGrid w:val="0"/>
                <w:color w:val="auto"/>
                <w:spacing w:val="0"/>
                <w:kern w:val="21"/>
                <w:sz w:val="21"/>
                <w:szCs w:val="21"/>
              </w:rPr>
              <w:t>废</w:t>
            </w:r>
            <w:r>
              <w:rPr>
                <w:rFonts w:hint="eastAsia" w:ascii="Times New Roman" w:hAnsi="Times New Roman" w:eastAsia="宋体"/>
                <w:snapToGrid w:val="0"/>
                <w:color w:val="auto"/>
                <w:spacing w:val="0"/>
                <w:kern w:val="21"/>
                <w:sz w:val="21"/>
                <w:szCs w:val="21"/>
              </w:rPr>
              <w:t>物</w:t>
            </w:r>
            <w:r>
              <w:rPr>
                <w:rFonts w:hint="default" w:ascii="Times New Roman" w:hAnsi="Times New Roman" w:eastAsia="宋体"/>
                <w:snapToGrid w:val="0"/>
                <w:color w:val="auto"/>
                <w:spacing w:val="0"/>
                <w:kern w:val="21"/>
                <w:sz w:val="21"/>
                <w:szCs w:val="21"/>
              </w:rPr>
              <w:t>产生量）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3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③</w:t>
            </w:r>
            <w:r>
              <w:rPr>
                <w:rFonts w:hint="default" w:ascii="Times New Roman" w:hAnsi="Times New Roman" w:eastAsia="宋体"/>
                <w:snapToGrid w:val="0"/>
                <w:color w:val="auto"/>
                <w:spacing w:val="0"/>
                <w:kern w:val="21"/>
                <w:sz w:val="21"/>
                <w:szCs w:val="21"/>
              </w:rPr>
              <w:fldChar w:fldCharType="end"/>
            </w:r>
          </w:p>
        </w:tc>
        <w:tc>
          <w:tcPr>
            <w:tcW w:w="1559" w:type="dxa"/>
            <w:noWrap w:val="0"/>
            <w:tcMar>
              <w:left w:w="28" w:type="dxa"/>
              <w:right w:w="28" w:type="dxa"/>
            </w:tcMar>
            <w:vAlign w:val="center"/>
          </w:tcPr>
          <w:p w14:paraId="6309B5D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本项目</w:t>
            </w:r>
          </w:p>
          <w:p w14:paraId="4921E77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排放量（固</w:t>
            </w:r>
            <w:r>
              <w:rPr>
                <w:rFonts w:hint="eastAsia" w:ascii="Times New Roman" w:hAnsi="Times New Roman" w:eastAsia="宋体"/>
                <w:snapToGrid w:val="0"/>
                <w:color w:val="auto"/>
                <w:spacing w:val="0"/>
                <w:kern w:val="21"/>
                <w:sz w:val="21"/>
                <w:szCs w:val="21"/>
              </w:rPr>
              <w:t>体</w:t>
            </w:r>
            <w:r>
              <w:rPr>
                <w:rFonts w:hint="default" w:ascii="Times New Roman" w:hAnsi="Times New Roman" w:eastAsia="宋体"/>
                <w:snapToGrid w:val="0"/>
                <w:color w:val="auto"/>
                <w:spacing w:val="0"/>
                <w:kern w:val="21"/>
                <w:sz w:val="21"/>
                <w:szCs w:val="21"/>
              </w:rPr>
              <w:t>废</w:t>
            </w:r>
            <w:r>
              <w:rPr>
                <w:rFonts w:hint="eastAsia" w:ascii="Times New Roman" w:hAnsi="Times New Roman" w:eastAsia="宋体"/>
                <w:snapToGrid w:val="0"/>
                <w:color w:val="auto"/>
                <w:spacing w:val="0"/>
                <w:kern w:val="21"/>
                <w:sz w:val="21"/>
                <w:szCs w:val="21"/>
              </w:rPr>
              <w:t>物</w:t>
            </w:r>
            <w:r>
              <w:rPr>
                <w:rFonts w:hint="default" w:ascii="Times New Roman" w:hAnsi="Times New Roman" w:eastAsia="宋体"/>
                <w:snapToGrid w:val="0"/>
                <w:color w:val="auto"/>
                <w:spacing w:val="0"/>
                <w:kern w:val="21"/>
                <w:sz w:val="21"/>
                <w:szCs w:val="21"/>
              </w:rPr>
              <w:t>产生量）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4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④</w:t>
            </w:r>
            <w:r>
              <w:rPr>
                <w:rFonts w:hint="default" w:ascii="Times New Roman" w:hAnsi="Times New Roman" w:eastAsia="宋体"/>
                <w:snapToGrid w:val="0"/>
                <w:color w:val="auto"/>
                <w:spacing w:val="0"/>
                <w:kern w:val="21"/>
                <w:sz w:val="21"/>
                <w:szCs w:val="21"/>
              </w:rPr>
              <w:fldChar w:fldCharType="end"/>
            </w:r>
          </w:p>
        </w:tc>
        <w:tc>
          <w:tcPr>
            <w:tcW w:w="1761" w:type="dxa"/>
            <w:noWrap w:val="0"/>
            <w:tcMar>
              <w:left w:w="28" w:type="dxa"/>
              <w:right w:w="28" w:type="dxa"/>
            </w:tcMar>
            <w:vAlign w:val="center"/>
          </w:tcPr>
          <w:p w14:paraId="564B63CA">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以新带老削减量</w:t>
            </w:r>
          </w:p>
          <w:p w14:paraId="710E3EA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（新建项目不填）</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5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⑤</w:t>
            </w:r>
            <w:r>
              <w:rPr>
                <w:rFonts w:hint="default" w:ascii="Times New Roman" w:hAnsi="Times New Roman" w:eastAsia="宋体"/>
                <w:snapToGrid w:val="0"/>
                <w:color w:val="auto"/>
                <w:spacing w:val="0"/>
                <w:kern w:val="21"/>
                <w:sz w:val="21"/>
                <w:szCs w:val="21"/>
              </w:rPr>
              <w:fldChar w:fldCharType="end"/>
            </w:r>
          </w:p>
        </w:tc>
        <w:tc>
          <w:tcPr>
            <w:tcW w:w="1823" w:type="dxa"/>
            <w:noWrap w:val="0"/>
            <w:tcMar>
              <w:left w:w="28" w:type="dxa"/>
              <w:right w:w="28" w:type="dxa"/>
            </w:tcMar>
            <w:vAlign w:val="center"/>
          </w:tcPr>
          <w:p w14:paraId="61297A6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本项目建成后</w:t>
            </w:r>
          </w:p>
          <w:p w14:paraId="0877518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eastAsia" w:ascii="Times New Roman" w:hAnsi="Times New Roman" w:eastAsia="宋体"/>
                <w:snapToGrid w:val="0"/>
                <w:color w:val="auto"/>
                <w:spacing w:val="0"/>
                <w:kern w:val="21"/>
                <w:sz w:val="21"/>
                <w:szCs w:val="21"/>
              </w:rPr>
              <w:t>全厂</w:t>
            </w:r>
            <w:r>
              <w:rPr>
                <w:rFonts w:hint="default" w:ascii="Times New Roman" w:hAnsi="Times New Roman" w:eastAsia="宋体"/>
                <w:snapToGrid w:val="0"/>
                <w:color w:val="auto"/>
                <w:spacing w:val="0"/>
                <w:kern w:val="21"/>
                <w:sz w:val="21"/>
                <w:szCs w:val="21"/>
              </w:rPr>
              <w:t>排放量（固</w:t>
            </w:r>
            <w:r>
              <w:rPr>
                <w:rFonts w:hint="eastAsia" w:ascii="Times New Roman" w:hAnsi="Times New Roman" w:eastAsia="宋体"/>
                <w:snapToGrid w:val="0"/>
                <w:color w:val="auto"/>
                <w:spacing w:val="0"/>
                <w:kern w:val="21"/>
                <w:sz w:val="21"/>
                <w:szCs w:val="21"/>
              </w:rPr>
              <w:t>体</w:t>
            </w:r>
            <w:r>
              <w:rPr>
                <w:rFonts w:hint="default" w:ascii="Times New Roman" w:hAnsi="Times New Roman" w:eastAsia="宋体"/>
                <w:snapToGrid w:val="0"/>
                <w:color w:val="auto"/>
                <w:spacing w:val="0"/>
                <w:kern w:val="21"/>
                <w:sz w:val="21"/>
                <w:szCs w:val="21"/>
              </w:rPr>
              <w:t>废</w:t>
            </w:r>
            <w:r>
              <w:rPr>
                <w:rFonts w:hint="eastAsia" w:ascii="Times New Roman" w:hAnsi="Times New Roman" w:eastAsia="宋体"/>
                <w:snapToGrid w:val="0"/>
                <w:color w:val="auto"/>
                <w:spacing w:val="0"/>
                <w:kern w:val="21"/>
                <w:sz w:val="21"/>
                <w:szCs w:val="21"/>
              </w:rPr>
              <w:t>物</w:t>
            </w:r>
            <w:r>
              <w:rPr>
                <w:rFonts w:hint="default" w:ascii="Times New Roman" w:hAnsi="Times New Roman" w:eastAsia="宋体"/>
                <w:snapToGrid w:val="0"/>
                <w:color w:val="auto"/>
                <w:spacing w:val="0"/>
                <w:kern w:val="21"/>
                <w:sz w:val="21"/>
                <w:szCs w:val="21"/>
              </w:rPr>
              <w:t>产生量）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6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⑥</w:t>
            </w:r>
            <w:r>
              <w:rPr>
                <w:rFonts w:hint="default" w:ascii="Times New Roman" w:hAnsi="Times New Roman" w:eastAsia="宋体"/>
                <w:snapToGrid w:val="0"/>
                <w:color w:val="auto"/>
                <w:spacing w:val="0"/>
                <w:kern w:val="21"/>
                <w:sz w:val="21"/>
                <w:szCs w:val="21"/>
              </w:rPr>
              <w:fldChar w:fldCharType="end"/>
            </w:r>
          </w:p>
        </w:tc>
        <w:tc>
          <w:tcPr>
            <w:tcW w:w="1474" w:type="dxa"/>
            <w:noWrap w:val="0"/>
            <w:tcMar>
              <w:left w:w="28" w:type="dxa"/>
              <w:right w:w="28" w:type="dxa"/>
            </w:tcMar>
            <w:vAlign w:val="center"/>
          </w:tcPr>
          <w:p w14:paraId="0AC1F1E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snapToGrid w:val="0"/>
                <w:color w:val="auto"/>
                <w:spacing w:val="0"/>
                <w:kern w:val="21"/>
                <w:sz w:val="21"/>
                <w:szCs w:val="21"/>
              </w:rPr>
            </w:pPr>
            <w:r>
              <w:rPr>
                <w:rFonts w:hint="default" w:ascii="Times New Roman" w:hAnsi="Times New Roman" w:eastAsia="宋体"/>
                <w:snapToGrid w:val="0"/>
                <w:color w:val="auto"/>
                <w:spacing w:val="0"/>
                <w:kern w:val="21"/>
                <w:sz w:val="21"/>
                <w:szCs w:val="21"/>
              </w:rPr>
              <w:t>变化量</w:t>
            </w:r>
            <w:r>
              <w:rPr>
                <w:rFonts w:hint="default" w:ascii="Times New Roman" w:hAnsi="Times New Roman" w:eastAsia="宋体"/>
                <w:snapToGrid w:val="0"/>
                <w:color w:val="auto"/>
                <w:spacing w:val="0"/>
                <w:kern w:val="21"/>
                <w:sz w:val="21"/>
                <w:szCs w:val="21"/>
              </w:rPr>
              <w:fldChar w:fldCharType="begin"/>
            </w:r>
            <w:r>
              <w:rPr>
                <w:rFonts w:hint="default" w:ascii="Times New Roman" w:hAnsi="Times New Roman" w:eastAsia="宋体"/>
                <w:snapToGrid w:val="0"/>
                <w:color w:val="auto"/>
                <w:spacing w:val="0"/>
                <w:kern w:val="21"/>
                <w:sz w:val="21"/>
                <w:szCs w:val="21"/>
              </w:rPr>
              <w:instrText xml:space="preserve"> = 7 \* GB3 \* MERGEFORMAT </w:instrText>
            </w:r>
            <w:r>
              <w:rPr>
                <w:rFonts w:hint="default" w:ascii="Times New Roman" w:hAnsi="Times New Roman" w:eastAsia="宋体"/>
                <w:snapToGrid w:val="0"/>
                <w:color w:val="auto"/>
                <w:spacing w:val="0"/>
                <w:kern w:val="21"/>
                <w:sz w:val="21"/>
                <w:szCs w:val="21"/>
              </w:rPr>
              <w:fldChar w:fldCharType="separate"/>
            </w:r>
            <w:r>
              <w:rPr>
                <w:rFonts w:hint="eastAsia" w:ascii="Times New Roman" w:hAnsi="Times New Roman" w:eastAsia="宋体" w:cs="宋体"/>
                <w:color w:val="auto"/>
                <w:spacing w:val="0"/>
                <w:kern w:val="2"/>
                <w:sz w:val="21"/>
                <w:szCs w:val="21"/>
              </w:rPr>
              <w:t>⑦</w:t>
            </w:r>
            <w:r>
              <w:rPr>
                <w:rFonts w:hint="default" w:ascii="Times New Roman" w:hAnsi="Times New Roman" w:eastAsia="宋体"/>
                <w:snapToGrid w:val="0"/>
                <w:color w:val="auto"/>
                <w:spacing w:val="0"/>
                <w:kern w:val="21"/>
                <w:sz w:val="21"/>
                <w:szCs w:val="21"/>
              </w:rPr>
              <w:fldChar w:fldCharType="end"/>
            </w:r>
          </w:p>
        </w:tc>
      </w:tr>
      <w:tr w14:paraId="6B959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07" w:type="dxa"/>
            <w:vMerge w:val="restart"/>
            <w:noWrap w:val="0"/>
            <w:vAlign w:val="center"/>
          </w:tcPr>
          <w:p w14:paraId="32E14EE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废气</w:t>
            </w:r>
          </w:p>
        </w:tc>
        <w:tc>
          <w:tcPr>
            <w:tcW w:w="1598" w:type="dxa"/>
            <w:noWrap w:val="0"/>
            <w:vAlign w:val="center"/>
          </w:tcPr>
          <w:p w14:paraId="36305CBB">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颗粒物</w:t>
            </w:r>
          </w:p>
        </w:tc>
        <w:tc>
          <w:tcPr>
            <w:tcW w:w="1701" w:type="dxa"/>
            <w:shd w:val="clear" w:color="auto" w:fill="auto"/>
            <w:noWrap w:val="0"/>
            <w:vAlign w:val="center"/>
          </w:tcPr>
          <w:p w14:paraId="555BDE0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noWrap w:val="0"/>
            <w:vAlign w:val="center"/>
          </w:tcPr>
          <w:p w14:paraId="133E22E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66AA95A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shd w:val="clear" w:color="auto" w:fill="auto"/>
            <w:noWrap w:val="0"/>
            <w:vAlign w:val="center"/>
          </w:tcPr>
          <w:p w14:paraId="0611C66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0.117t/a</w:t>
            </w:r>
          </w:p>
        </w:tc>
        <w:tc>
          <w:tcPr>
            <w:tcW w:w="1761" w:type="dxa"/>
            <w:shd w:val="clear" w:color="auto" w:fill="auto"/>
            <w:noWrap w:val="0"/>
            <w:vAlign w:val="center"/>
          </w:tcPr>
          <w:p w14:paraId="7A7B49A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70ABDAB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0.117t/a</w:t>
            </w:r>
          </w:p>
        </w:tc>
        <w:tc>
          <w:tcPr>
            <w:tcW w:w="1474" w:type="dxa"/>
            <w:shd w:val="clear" w:color="auto" w:fill="auto"/>
            <w:noWrap w:val="0"/>
            <w:vAlign w:val="center"/>
          </w:tcPr>
          <w:p w14:paraId="0B5FBD8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+0.117t/a</w:t>
            </w:r>
          </w:p>
        </w:tc>
      </w:tr>
      <w:tr w14:paraId="1D8B9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07" w:type="dxa"/>
            <w:vMerge w:val="continue"/>
            <w:noWrap w:val="0"/>
            <w:vAlign w:val="center"/>
          </w:tcPr>
          <w:p w14:paraId="43EE62D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center"/>
          </w:tcPr>
          <w:p w14:paraId="1AE8891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SO</w:t>
            </w:r>
            <w:r>
              <w:rPr>
                <w:rFonts w:hint="eastAsia" w:ascii="Times New Roman" w:hAnsi="Times New Roman" w:eastAsia="宋体" w:cs="宋体"/>
                <w:snapToGrid w:val="0"/>
                <w:color w:val="auto"/>
                <w:kern w:val="21"/>
                <w:sz w:val="21"/>
                <w:szCs w:val="21"/>
                <w:vertAlign w:val="subscript"/>
                <w:lang w:val="en-US" w:eastAsia="zh-CN"/>
              </w:rPr>
              <w:t>2</w:t>
            </w:r>
          </w:p>
        </w:tc>
        <w:tc>
          <w:tcPr>
            <w:tcW w:w="1701" w:type="dxa"/>
            <w:shd w:val="clear" w:color="auto" w:fill="auto"/>
            <w:noWrap w:val="0"/>
            <w:vAlign w:val="center"/>
          </w:tcPr>
          <w:p w14:paraId="0CD60A3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noWrap w:val="0"/>
            <w:vAlign w:val="center"/>
          </w:tcPr>
          <w:p w14:paraId="2086C6C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186A5CF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shd w:val="clear" w:color="auto" w:fill="auto"/>
            <w:noWrap w:val="0"/>
            <w:vAlign w:val="center"/>
          </w:tcPr>
          <w:p w14:paraId="7DE5302A">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0.443t/a</w:t>
            </w:r>
          </w:p>
        </w:tc>
        <w:tc>
          <w:tcPr>
            <w:tcW w:w="1761" w:type="dxa"/>
            <w:shd w:val="clear" w:color="auto" w:fill="auto"/>
            <w:noWrap w:val="0"/>
            <w:vAlign w:val="center"/>
          </w:tcPr>
          <w:p w14:paraId="568BF69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146A3E6A">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0.443t/a</w:t>
            </w:r>
          </w:p>
        </w:tc>
        <w:tc>
          <w:tcPr>
            <w:tcW w:w="1474" w:type="dxa"/>
            <w:shd w:val="clear" w:color="auto" w:fill="auto"/>
            <w:noWrap w:val="0"/>
            <w:vAlign w:val="center"/>
          </w:tcPr>
          <w:p w14:paraId="685E272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+0.443t/a</w:t>
            </w:r>
          </w:p>
        </w:tc>
      </w:tr>
      <w:tr w14:paraId="04BC9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407" w:type="dxa"/>
            <w:vMerge w:val="continue"/>
            <w:noWrap w:val="0"/>
            <w:vAlign w:val="center"/>
          </w:tcPr>
          <w:p w14:paraId="6F327D6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center"/>
          </w:tcPr>
          <w:p w14:paraId="2D863B1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NO</w:t>
            </w:r>
            <w:r>
              <w:rPr>
                <w:rFonts w:hint="eastAsia" w:ascii="Times New Roman" w:hAnsi="Times New Roman" w:eastAsia="宋体" w:cs="宋体"/>
                <w:snapToGrid w:val="0"/>
                <w:color w:val="auto"/>
                <w:kern w:val="21"/>
                <w:sz w:val="21"/>
                <w:szCs w:val="21"/>
                <w:vertAlign w:val="subscript"/>
                <w:lang w:val="en-US" w:eastAsia="zh-CN"/>
              </w:rPr>
              <w:t>X</w:t>
            </w:r>
          </w:p>
        </w:tc>
        <w:tc>
          <w:tcPr>
            <w:tcW w:w="1701" w:type="dxa"/>
            <w:shd w:val="clear" w:color="auto" w:fill="auto"/>
            <w:noWrap w:val="0"/>
            <w:vAlign w:val="center"/>
          </w:tcPr>
          <w:p w14:paraId="74C068C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noWrap w:val="0"/>
            <w:vAlign w:val="center"/>
          </w:tcPr>
          <w:p w14:paraId="260C42E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5084F1E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shd w:val="clear" w:color="auto" w:fill="auto"/>
            <w:noWrap w:val="0"/>
            <w:vAlign w:val="center"/>
          </w:tcPr>
          <w:p w14:paraId="7103C8B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0.058t/a</w:t>
            </w:r>
          </w:p>
        </w:tc>
        <w:tc>
          <w:tcPr>
            <w:tcW w:w="1761" w:type="dxa"/>
            <w:shd w:val="clear" w:color="auto" w:fill="auto"/>
            <w:noWrap w:val="0"/>
            <w:vAlign w:val="center"/>
          </w:tcPr>
          <w:p w14:paraId="5A7319F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792EB17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0.058t/a</w:t>
            </w:r>
          </w:p>
        </w:tc>
        <w:tc>
          <w:tcPr>
            <w:tcW w:w="1474" w:type="dxa"/>
            <w:shd w:val="clear" w:color="auto" w:fill="auto"/>
            <w:noWrap w:val="0"/>
            <w:vAlign w:val="center"/>
          </w:tcPr>
          <w:p w14:paraId="40995CD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+0.058t/a</w:t>
            </w:r>
          </w:p>
        </w:tc>
      </w:tr>
      <w:tr w14:paraId="3452A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vMerge w:val="restart"/>
            <w:noWrap w:val="0"/>
            <w:vAlign w:val="center"/>
          </w:tcPr>
          <w:p w14:paraId="23A688E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废水</w:t>
            </w:r>
          </w:p>
        </w:tc>
        <w:tc>
          <w:tcPr>
            <w:tcW w:w="1598" w:type="dxa"/>
            <w:noWrap w:val="0"/>
            <w:vAlign w:val="top"/>
          </w:tcPr>
          <w:p w14:paraId="4310BEB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cs="宋体"/>
                <w:snapToGrid w:val="0"/>
                <w:color w:val="auto"/>
                <w:kern w:val="21"/>
                <w:sz w:val="21"/>
                <w:szCs w:val="21"/>
                <w:lang w:val="en-US" w:eastAsia="zh-CN"/>
              </w:rPr>
              <w:t>COD</w:t>
            </w:r>
          </w:p>
        </w:tc>
        <w:tc>
          <w:tcPr>
            <w:tcW w:w="1701" w:type="dxa"/>
            <w:shd w:val="clear" w:color="auto" w:fill="auto"/>
            <w:noWrap w:val="0"/>
            <w:vAlign w:val="center"/>
          </w:tcPr>
          <w:p w14:paraId="77D827C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noWrap w:val="0"/>
            <w:vAlign w:val="center"/>
          </w:tcPr>
          <w:p w14:paraId="42DAD36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37C4B34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noWrap w:val="0"/>
            <w:vAlign w:val="center"/>
          </w:tcPr>
          <w:p w14:paraId="305E450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0.1606t/a</w:t>
            </w:r>
          </w:p>
        </w:tc>
        <w:tc>
          <w:tcPr>
            <w:tcW w:w="1761" w:type="dxa"/>
            <w:noWrap w:val="0"/>
            <w:vAlign w:val="center"/>
          </w:tcPr>
          <w:p w14:paraId="730055D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3EFA441E">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lang w:val="en-US" w:eastAsia="zh-CN" w:bidi="ar-SA"/>
              </w:rPr>
            </w:pPr>
            <w:r>
              <w:rPr>
                <w:rFonts w:hint="eastAsia" w:ascii="Times New Roman" w:hAnsi="Times New Roman" w:eastAsia="宋体" w:cs="宋体"/>
                <w:snapToGrid w:val="0"/>
                <w:color w:val="auto"/>
                <w:kern w:val="21"/>
                <w:sz w:val="21"/>
                <w:szCs w:val="21"/>
                <w:lang w:val="en-US" w:eastAsia="zh-CN"/>
              </w:rPr>
              <w:t>0.1606t/a</w:t>
            </w:r>
          </w:p>
        </w:tc>
        <w:tc>
          <w:tcPr>
            <w:tcW w:w="1474" w:type="dxa"/>
            <w:shd w:val="clear" w:color="auto" w:fill="auto"/>
            <w:noWrap w:val="0"/>
            <w:vAlign w:val="center"/>
          </w:tcPr>
          <w:p w14:paraId="203951EA">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+0.1606t/a</w:t>
            </w:r>
          </w:p>
        </w:tc>
      </w:tr>
      <w:tr w14:paraId="4F68D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vMerge w:val="continue"/>
            <w:noWrap w:val="0"/>
            <w:vAlign w:val="center"/>
          </w:tcPr>
          <w:p w14:paraId="696E4AB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top"/>
          </w:tcPr>
          <w:p w14:paraId="15F471BC">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vertAlign w:val="subscript"/>
                <w:lang w:val="en-US" w:eastAsia="zh-CN"/>
              </w:rPr>
            </w:pPr>
            <w:r>
              <w:rPr>
                <w:rFonts w:hint="eastAsia" w:ascii="Times New Roman" w:cs="宋体"/>
                <w:snapToGrid w:val="0"/>
                <w:color w:val="auto"/>
                <w:kern w:val="21"/>
                <w:sz w:val="21"/>
                <w:szCs w:val="21"/>
                <w:lang w:val="en-US" w:eastAsia="zh-CN"/>
              </w:rPr>
              <w:t>BOD</w:t>
            </w:r>
            <w:r>
              <w:rPr>
                <w:rFonts w:hint="eastAsia" w:ascii="Times New Roman" w:cs="宋体"/>
                <w:snapToGrid w:val="0"/>
                <w:color w:val="auto"/>
                <w:kern w:val="21"/>
                <w:sz w:val="21"/>
                <w:szCs w:val="21"/>
                <w:vertAlign w:val="subscript"/>
                <w:lang w:val="en-US" w:eastAsia="zh-CN"/>
              </w:rPr>
              <w:t>5</w:t>
            </w:r>
          </w:p>
        </w:tc>
        <w:tc>
          <w:tcPr>
            <w:tcW w:w="1701" w:type="dxa"/>
            <w:shd w:val="clear" w:color="auto" w:fill="auto"/>
            <w:noWrap w:val="0"/>
            <w:vAlign w:val="center"/>
          </w:tcPr>
          <w:p w14:paraId="614AF3B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08363EC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shd w:val="clear" w:color="auto" w:fill="auto"/>
            <w:noWrap w:val="0"/>
            <w:vAlign w:val="center"/>
          </w:tcPr>
          <w:p w14:paraId="2B17B89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noWrap w:val="0"/>
            <w:vAlign w:val="center"/>
          </w:tcPr>
          <w:p w14:paraId="05CFDBA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0.0007t/a</w:t>
            </w:r>
          </w:p>
        </w:tc>
        <w:tc>
          <w:tcPr>
            <w:tcW w:w="1761" w:type="dxa"/>
            <w:noWrap w:val="0"/>
            <w:vAlign w:val="center"/>
          </w:tcPr>
          <w:p w14:paraId="68FCE1B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1AF2472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lang w:val="en-US" w:eastAsia="zh-CN" w:bidi="ar-SA"/>
              </w:rPr>
            </w:pPr>
            <w:r>
              <w:rPr>
                <w:rFonts w:hint="eastAsia" w:ascii="Times New Roman" w:hAnsi="Times New Roman" w:eastAsia="宋体" w:cs="宋体"/>
                <w:snapToGrid w:val="0"/>
                <w:color w:val="auto"/>
                <w:kern w:val="21"/>
                <w:sz w:val="21"/>
                <w:szCs w:val="21"/>
                <w:lang w:val="en-US" w:eastAsia="zh-CN"/>
              </w:rPr>
              <w:t>0.0007t/a</w:t>
            </w:r>
          </w:p>
        </w:tc>
        <w:tc>
          <w:tcPr>
            <w:tcW w:w="1474" w:type="dxa"/>
            <w:shd w:val="clear" w:color="auto" w:fill="auto"/>
            <w:noWrap w:val="0"/>
            <w:vAlign w:val="center"/>
          </w:tcPr>
          <w:p w14:paraId="1DD6FBA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+0.0007t/a</w:t>
            </w:r>
          </w:p>
        </w:tc>
      </w:tr>
      <w:tr w14:paraId="671E1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vMerge w:val="continue"/>
            <w:noWrap w:val="0"/>
            <w:vAlign w:val="center"/>
          </w:tcPr>
          <w:p w14:paraId="4209E99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top"/>
          </w:tcPr>
          <w:p w14:paraId="7E10391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cs="宋体"/>
                <w:snapToGrid w:val="0"/>
                <w:color w:val="auto"/>
                <w:kern w:val="21"/>
                <w:sz w:val="21"/>
                <w:szCs w:val="21"/>
                <w:lang w:val="en-US" w:eastAsia="zh-CN"/>
              </w:rPr>
              <w:t>SS</w:t>
            </w:r>
          </w:p>
        </w:tc>
        <w:tc>
          <w:tcPr>
            <w:tcW w:w="1701" w:type="dxa"/>
            <w:shd w:val="clear" w:color="auto" w:fill="auto"/>
            <w:noWrap w:val="0"/>
            <w:vAlign w:val="center"/>
          </w:tcPr>
          <w:p w14:paraId="13BC428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695B373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shd w:val="clear" w:color="auto" w:fill="auto"/>
            <w:noWrap w:val="0"/>
            <w:vAlign w:val="center"/>
          </w:tcPr>
          <w:p w14:paraId="3381682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noWrap w:val="0"/>
            <w:vAlign w:val="center"/>
          </w:tcPr>
          <w:p w14:paraId="4B5A9163">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0.0013t/a</w:t>
            </w:r>
          </w:p>
        </w:tc>
        <w:tc>
          <w:tcPr>
            <w:tcW w:w="1761" w:type="dxa"/>
            <w:noWrap w:val="0"/>
            <w:vAlign w:val="center"/>
          </w:tcPr>
          <w:p w14:paraId="0D988635">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30B603E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lang w:val="en-US" w:eastAsia="zh-CN" w:bidi="ar-SA"/>
              </w:rPr>
            </w:pPr>
            <w:r>
              <w:rPr>
                <w:rFonts w:hint="eastAsia" w:ascii="Times New Roman" w:hAnsi="Times New Roman" w:eastAsia="宋体" w:cs="宋体"/>
                <w:snapToGrid w:val="0"/>
                <w:color w:val="auto"/>
                <w:kern w:val="21"/>
                <w:sz w:val="21"/>
                <w:szCs w:val="21"/>
                <w:lang w:val="en-US" w:eastAsia="zh-CN"/>
              </w:rPr>
              <w:t>0.0013t/a</w:t>
            </w:r>
          </w:p>
        </w:tc>
        <w:tc>
          <w:tcPr>
            <w:tcW w:w="1474" w:type="dxa"/>
            <w:shd w:val="clear" w:color="auto" w:fill="auto"/>
            <w:noWrap w:val="0"/>
            <w:vAlign w:val="center"/>
          </w:tcPr>
          <w:p w14:paraId="054CA13B">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+0.0013t/a</w:t>
            </w:r>
          </w:p>
        </w:tc>
      </w:tr>
      <w:tr w14:paraId="1C703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vMerge w:val="continue"/>
            <w:noWrap w:val="0"/>
            <w:vAlign w:val="center"/>
          </w:tcPr>
          <w:p w14:paraId="152DF8A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p>
        </w:tc>
        <w:tc>
          <w:tcPr>
            <w:tcW w:w="1598" w:type="dxa"/>
            <w:noWrap w:val="0"/>
            <w:vAlign w:val="top"/>
          </w:tcPr>
          <w:p w14:paraId="463E908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cs="宋体"/>
                <w:snapToGrid w:val="0"/>
                <w:color w:val="auto"/>
                <w:kern w:val="21"/>
                <w:sz w:val="21"/>
                <w:szCs w:val="21"/>
                <w:lang w:val="en-US" w:eastAsia="zh-CN"/>
              </w:rPr>
              <w:t>氨氮</w:t>
            </w:r>
          </w:p>
        </w:tc>
        <w:tc>
          <w:tcPr>
            <w:tcW w:w="1701" w:type="dxa"/>
            <w:shd w:val="clear" w:color="auto" w:fill="auto"/>
            <w:noWrap w:val="0"/>
            <w:vAlign w:val="center"/>
          </w:tcPr>
          <w:p w14:paraId="46FFF15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3B3DF94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shd w:val="clear" w:color="auto" w:fill="auto"/>
            <w:noWrap w:val="0"/>
            <w:vAlign w:val="center"/>
          </w:tcPr>
          <w:p w14:paraId="62601B7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noWrap w:val="0"/>
            <w:vAlign w:val="center"/>
          </w:tcPr>
          <w:p w14:paraId="69E37F96">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0.0002t/a</w:t>
            </w:r>
          </w:p>
        </w:tc>
        <w:tc>
          <w:tcPr>
            <w:tcW w:w="1761" w:type="dxa"/>
            <w:noWrap w:val="0"/>
            <w:vAlign w:val="center"/>
          </w:tcPr>
          <w:p w14:paraId="5F8EE9B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1DA415A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lang w:val="en-US" w:eastAsia="zh-CN" w:bidi="ar-SA"/>
              </w:rPr>
            </w:pPr>
            <w:r>
              <w:rPr>
                <w:rFonts w:hint="eastAsia" w:ascii="Times New Roman" w:hAnsi="Times New Roman" w:eastAsia="宋体" w:cs="宋体"/>
                <w:snapToGrid w:val="0"/>
                <w:color w:val="auto"/>
                <w:kern w:val="21"/>
                <w:sz w:val="21"/>
                <w:szCs w:val="21"/>
                <w:lang w:val="en-US" w:eastAsia="zh-CN"/>
              </w:rPr>
              <w:t>0.0002t/a</w:t>
            </w:r>
          </w:p>
        </w:tc>
        <w:tc>
          <w:tcPr>
            <w:tcW w:w="1474" w:type="dxa"/>
            <w:shd w:val="clear" w:color="auto" w:fill="auto"/>
            <w:noWrap w:val="0"/>
            <w:vAlign w:val="center"/>
          </w:tcPr>
          <w:p w14:paraId="2D22428E">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+0.0002t/a</w:t>
            </w:r>
          </w:p>
        </w:tc>
      </w:tr>
      <w:tr w14:paraId="41EA6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noWrap w:val="0"/>
            <w:vAlign w:val="center"/>
          </w:tcPr>
          <w:p w14:paraId="3645AD00">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一般工业</w:t>
            </w:r>
          </w:p>
          <w:p w14:paraId="57F57FAB">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固体废物</w:t>
            </w:r>
          </w:p>
        </w:tc>
        <w:tc>
          <w:tcPr>
            <w:tcW w:w="1598" w:type="dxa"/>
            <w:shd w:val="clear" w:color="auto" w:fill="auto"/>
            <w:noWrap w:val="0"/>
            <w:vAlign w:val="center"/>
          </w:tcPr>
          <w:p w14:paraId="1B8DE189">
            <w:pPr>
              <w:keepNext w:val="0"/>
              <w:keepLines w:val="0"/>
              <w:suppressLineNumbers w:val="0"/>
              <w:spacing w:before="98" w:beforeAutospacing="0" w:after="0" w:afterAutospacing="0" w:line="226" w:lineRule="auto"/>
              <w:ind w:left="0" w:right="0"/>
              <w:jc w:val="center"/>
              <w:rPr>
                <w:rFonts w:hint="default" w:ascii="Times New Roman" w:hAnsi="Times New Roman" w:eastAsia="Times New Roman" w:cs="Times New Roman"/>
                <w:spacing w:val="-2"/>
                <w:kern w:val="2"/>
                <w:sz w:val="21"/>
                <w:szCs w:val="21"/>
                <w:lang w:val="en-US" w:eastAsia="zh-CN" w:bidi="ar-SA"/>
              </w:rPr>
            </w:pPr>
            <w:r>
              <w:rPr>
                <w:rFonts w:hint="default" w:ascii="Times New Roman" w:hAnsi="Times New Roman" w:eastAsia="Times New Roman" w:cs="Times New Roman"/>
                <w:spacing w:val="-2"/>
                <w:sz w:val="21"/>
                <w:szCs w:val="21"/>
              </w:rPr>
              <w:t>废离子交换树脂</w:t>
            </w:r>
          </w:p>
        </w:tc>
        <w:tc>
          <w:tcPr>
            <w:tcW w:w="1701" w:type="dxa"/>
            <w:shd w:val="clear" w:color="auto" w:fill="auto"/>
            <w:noWrap w:val="0"/>
            <w:vAlign w:val="center"/>
          </w:tcPr>
          <w:p w14:paraId="5046E21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784542F2">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shd w:val="clear" w:color="auto" w:fill="auto"/>
            <w:noWrap w:val="0"/>
            <w:vAlign w:val="center"/>
          </w:tcPr>
          <w:p w14:paraId="1ED1A4C7">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559" w:type="dxa"/>
            <w:shd w:val="clear" w:color="auto" w:fill="auto"/>
            <w:noWrap w:val="0"/>
            <w:vAlign w:val="center"/>
          </w:tcPr>
          <w:p w14:paraId="0CA562C1">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0.2t/at/a</w:t>
            </w:r>
          </w:p>
        </w:tc>
        <w:tc>
          <w:tcPr>
            <w:tcW w:w="1761" w:type="dxa"/>
            <w:shd w:val="clear" w:color="auto" w:fill="auto"/>
            <w:noWrap w:val="0"/>
            <w:vAlign w:val="center"/>
          </w:tcPr>
          <w:p w14:paraId="20CDC6CF">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823" w:type="dxa"/>
            <w:shd w:val="clear" w:color="auto" w:fill="auto"/>
            <w:noWrap w:val="0"/>
            <w:vAlign w:val="center"/>
          </w:tcPr>
          <w:p w14:paraId="1AC3DB74">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474" w:type="dxa"/>
            <w:shd w:val="clear" w:color="auto" w:fill="auto"/>
            <w:noWrap w:val="0"/>
            <w:vAlign w:val="center"/>
          </w:tcPr>
          <w:p w14:paraId="43BD33B9">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r>
      <w:tr w14:paraId="3985D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07" w:type="dxa"/>
            <w:noWrap w:val="0"/>
            <w:vAlign w:val="center"/>
          </w:tcPr>
          <w:p w14:paraId="37499AB7">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default"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危险废物</w:t>
            </w:r>
          </w:p>
        </w:tc>
        <w:tc>
          <w:tcPr>
            <w:tcW w:w="1598" w:type="dxa"/>
            <w:noWrap w:val="0"/>
            <w:vAlign w:val="center"/>
          </w:tcPr>
          <w:p w14:paraId="79362BE8">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701" w:type="dxa"/>
            <w:noWrap w:val="0"/>
            <w:vAlign w:val="center"/>
          </w:tcPr>
          <w:p w14:paraId="213A37DD">
            <w:pPr>
              <w:pStyle w:val="3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right="0" w:firstLine="0"/>
              <w:jc w:val="center"/>
              <w:textAlignment w:val="auto"/>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w:t>
            </w:r>
          </w:p>
        </w:tc>
        <w:tc>
          <w:tcPr>
            <w:tcW w:w="1276" w:type="dxa"/>
            <w:shd w:val="clear" w:color="auto" w:fill="auto"/>
            <w:noWrap w:val="0"/>
            <w:vAlign w:val="center"/>
          </w:tcPr>
          <w:p w14:paraId="3CF137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0000FF"/>
                <w:kern w:val="21"/>
                <w:sz w:val="21"/>
                <w:szCs w:val="21"/>
                <w:lang w:val="en-US" w:eastAsia="zh-CN" w:bidi="ar-SA"/>
              </w:rPr>
            </w:pPr>
            <w:r>
              <w:rPr>
                <w:rFonts w:hint="eastAsia" w:ascii="Times New Roman" w:hAnsi="Times New Roman" w:eastAsia="宋体" w:cs="宋体"/>
                <w:snapToGrid w:val="0"/>
                <w:color w:val="0000FF"/>
                <w:kern w:val="21"/>
                <w:sz w:val="21"/>
                <w:szCs w:val="21"/>
                <w:lang w:val="en-US" w:eastAsia="zh-CN"/>
              </w:rPr>
              <w:t>/</w:t>
            </w:r>
          </w:p>
        </w:tc>
        <w:tc>
          <w:tcPr>
            <w:tcW w:w="1701" w:type="dxa"/>
            <w:shd w:val="clear" w:color="auto" w:fill="auto"/>
            <w:noWrap w:val="0"/>
            <w:vAlign w:val="center"/>
          </w:tcPr>
          <w:p w14:paraId="621C61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宋体"/>
                <w:snapToGrid w:val="0"/>
                <w:color w:val="0000FF"/>
                <w:kern w:val="21"/>
                <w:sz w:val="21"/>
                <w:szCs w:val="21"/>
                <w:lang w:val="en-US" w:eastAsia="zh-CN" w:bidi="ar-SA"/>
              </w:rPr>
            </w:pPr>
            <w:r>
              <w:rPr>
                <w:rFonts w:hint="eastAsia" w:ascii="Times New Roman" w:hAnsi="Times New Roman" w:eastAsia="宋体" w:cs="宋体"/>
                <w:snapToGrid w:val="0"/>
                <w:color w:val="0000FF"/>
                <w:kern w:val="21"/>
                <w:sz w:val="21"/>
                <w:szCs w:val="21"/>
                <w:lang w:val="en-US" w:eastAsia="zh-CN"/>
              </w:rPr>
              <w:t>/</w:t>
            </w:r>
          </w:p>
        </w:tc>
        <w:tc>
          <w:tcPr>
            <w:tcW w:w="1559" w:type="dxa"/>
            <w:noWrap w:val="0"/>
            <w:vAlign w:val="center"/>
          </w:tcPr>
          <w:p w14:paraId="4D46F07B">
            <w:pPr>
              <w:pStyle w:val="4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firstLine="0"/>
              <w:jc w:val="center"/>
              <w:textAlignment w:val="auto"/>
              <w:rPr>
                <w:rFonts w:hint="default" w:ascii="Times New Roman" w:hAnsi="Times New Roman" w:eastAsia="宋体" w:cs="宋体"/>
                <w:snapToGrid w:val="0"/>
                <w:color w:val="auto"/>
                <w:kern w:val="21"/>
                <w:sz w:val="21"/>
                <w:szCs w:val="21"/>
              </w:rPr>
            </w:pPr>
            <w:r>
              <w:rPr>
                <w:rFonts w:hint="default" w:ascii="Times New Roman" w:hAnsi="Times New Roman" w:eastAsia="宋体"/>
                <w:color w:val="auto"/>
                <w:w w:val="99"/>
                <w:sz w:val="21"/>
              </w:rPr>
              <w:t>/</w:t>
            </w:r>
          </w:p>
        </w:tc>
        <w:tc>
          <w:tcPr>
            <w:tcW w:w="1761" w:type="dxa"/>
            <w:noWrap w:val="0"/>
            <w:vAlign w:val="center"/>
          </w:tcPr>
          <w:p w14:paraId="13915713">
            <w:pPr>
              <w:pStyle w:val="4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firstLine="0"/>
              <w:jc w:val="center"/>
              <w:textAlignment w:val="auto"/>
              <w:rPr>
                <w:rFonts w:hint="default" w:ascii="Times New Roman" w:hAnsi="Times New Roman" w:eastAsia="宋体" w:cs="宋体"/>
                <w:snapToGrid w:val="0"/>
                <w:color w:val="auto"/>
                <w:kern w:val="21"/>
                <w:sz w:val="21"/>
                <w:szCs w:val="21"/>
              </w:rPr>
            </w:pPr>
            <w:r>
              <w:rPr>
                <w:rFonts w:hint="default" w:ascii="Times New Roman" w:hAnsi="Times New Roman" w:eastAsia="宋体"/>
                <w:color w:val="auto"/>
                <w:w w:val="99"/>
                <w:sz w:val="21"/>
              </w:rPr>
              <w:t>/</w:t>
            </w:r>
          </w:p>
        </w:tc>
        <w:tc>
          <w:tcPr>
            <w:tcW w:w="1823" w:type="dxa"/>
            <w:noWrap w:val="0"/>
            <w:vAlign w:val="center"/>
          </w:tcPr>
          <w:p w14:paraId="42369821">
            <w:pPr>
              <w:pStyle w:val="4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firstLine="0"/>
              <w:jc w:val="center"/>
              <w:textAlignment w:val="auto"/>
              <w:rPr>
                <w:rFonts w:hint="default" w:ascii="Times New Roman" w:hAnsi="Times New Roman" w:eastAsia="宋体" w:cs="宋体"/>
                <w:snapToGrid w:val="0"/>
                <w:color w:val="auto"/>
                <w:kern w:val="21"/>
                <w:sz w:val="21"/>
                <w:szCs w:val="21"/>
              </w:rPr>
            </w:pPr>
            <w:r>
              <w:rPr>
                <w:rFonts w:hint="default" w:ascii="Times New Roman" w:hAnsi="Times New Roman" w:eastAsia="宋体"/>
                <w:color w:val="auto"/>
                <w:w w:val="99"/>
                <w:sz w:val="21"/>
              </w:rPr>
              <w:t>/</w:t>
            </w:r>
          </w:p>
        </w:tc>
        <w:tc>
          <w:tcPr>
            <w:tcW w:w="1474" w:type="dxa"/>
            <w:noWrap w:val="0"/>
            <w:vAlign w:val="center"/>
          </w:tcPr>
          <w:p w14:paraId="5D8C55D9">
            <w:pPr>
              <w:pStyle w:val="4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firstLine="0"/>
              <w:jc w:val="center"/>
              <w:textAlignment w:val="auto"/>
              <w:rPr>
                <w:rFonts w:hint="default" w:ascii="Times New Roman" w:hAnsi="Times New Roman" w:eastAsia="宋体" w:cs="宋体"/>
                <w:snapToGrid w:val="0"/>
                <w:color w:val="auto"/>
                <w:kern w:val="21"/>
                <w:sz w:val="21"/>
                <w:szCs w:val="21"/>
              </w:rPr>
            </w:pPr>
            <w:r>
              <w:rPr>
                <w:rFonts w:hint="default" w:ascii="Times New Roman" w:hAnsi="Times New Roman" w:eastAsia="宋体"/>
                <w:color w:val="auto"/>
                <w:w w:val="99"/>
                <w:sz w:val="21"/>
              </w:rPr>
              <w:t>/</w:t>
            </w:r>
          </w:p>
        </w:tc>
      </w:tr>
    </w:tbl>
    <w:p w14:paraId="247691C9">
      <w:pPr>
        <w:pStyle w:val="39"/>
        <w:spacing w:before="192" w:beforeLines="80" w:after="24"/>
        <w:jc w:val="left"/>
        <w:rPr>
          <w:rFonts w:hint="eastAsia"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footerReference r:id="rId6" w:type="default"/>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Console">
    <w:panose1 w:val="020B0609040504020204"/>
    <w:charset w:val="00"/>
    <w:family w:val="modern"/>
    <w:pitch w:val="default"/>
    <w:sig w:usb0="8000028F" w:usb1="00001800" w:usb2="00000000" w:usb3="00000000" w:csb0="0000001F" w:csb1="D7D70000"/>
  </w:font>
  <w:font w:name="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C3885">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B75B">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FD14">
    <w:pPr>
      <w:pStyle w:val="14"/>
      <w:framePr w:wrap="around" w:vAnchor="text" w:hAnchor="margin" w:xAlign="outside" w:y="1"/>
      <w:rPr>
        <w:rStyle w:val="22"/>
        <w:rFonts w:ascii="宋体" w:hAnsi="宋体"/>
        <w:sz w:val="28"/>
        <w:szCs w:val="28"/>
      </w:rPr>
    </w:pPr>
    <w:r>
      <w:rPr>
        <w:rStyle w:val="22"/>
        <w:rFonts w:hint="eastAsia" w:ascii="宋体" w:hAnsi="宋体"/>
        <w:sz w:val="28"/>
        <w:szCs w:val="28"/>
      </w:rPr>
      <w:t>—</w:t>
    </w:r>
    <w:r>
      <w:rPr>
        <w:rStyle w:val="22"/>
        <w:rFonts w:ascii="宋体" w:hAnsi="宋体"/>
        <w:sz w:val="26"/>
        <w:szCs w:val="26"/>
      </w:rPr>
      <w:fldChar w:fldCharType="begin"/>
    </w:r>
    <w:r>
      <w:rPr>
        <w:rStyle w:val="22"/>
        <w:rFonts w:ascii="宋体" w:hAnsi="宋体"/>
        <w:sz w:val="26"/>
        <w:szCs w:val="26"/>
      </w:rPr>
      <w:instrText xml:space="preserve">PAGE  </w:instrText>
    </w:r>
    <w:r>
      <w:rPr>
        <w:rStyle w:val="22"/>
        <w:rFonts w:ascii="宋体" w:hAnsi="宋体"/>
        <w:sz w:val="26"/>
        <w:szCs w:val="26"/>
      </w:rPr>
      <w:fldChar w:fldCharType="separate"/>
    </w:r>
    <w:r>
      <w:rPr>
        <w:rStyle w:val="22"/>
        <w:rFonts w:ascii="宋体" w:hAnsi="宋体"/>
        <w:sz w:val="26"/>
        <w:szCs w:val="26"/>
      </w:rPr>
      <w:t>5</w:t>
    </w:r>
    <w:r>
      <w:rPr>
        <w:rStyle w:val="22"/>
        <w:rFonts w:ascii="宋体" w:hAnsi="宋体"/>
        <w:sz w:val="26"/>
        <w:szCs w:val="26"/>
      </w:rPr>
      <w:fldChar w:fldCharType="end"/>
    </w:r>
    <w:r>
      <w:rPr>
        <w:rStyle w:val="22"/>
        <w:rFonts w:hint="eastAsia" w:ascii="宋体" w:hAnsi="宋体"/>
        <w:sz w:val="28"/>
        <w:szCs w:val="28"/>
      </w:rPr>
      <w:t>—</w:t>
    </w:r>
  </w:p>
  <w:p w14:paraId="52CDDAD1">
    <w:pPr>
      <w:pStyle w:val="1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F53F">
    <w:pPr>
      <w:pStyle w:val="14"/>
      <w:framePr w:wrap="around" w:vAnchor="text" w:hAnchor="margin" w:xAlign="outside" w:y="1"/>
      <w:rPr>
        <w:rStyle w:val="22"/>
        <w:rFonts w:ascii="宋体" w:hAnsi="宋体"/>
        <w:sz w:val="28"/>
        <w:szCs w:val="28"/>
      </w:rPr>
    </w:pPr>
    <w:r>
      <w:rPr>
        <w:rStyle w:val="22"/>
        <w:rFonts w:hint="eastAsia" w:ascii="宋体" w:hAnsi="宋体"/>
        <w:sz w:val="28"/>
        <w:szCs w:val="28"/>
      </w:rPr>
      <w:t>—</w:t>
    </w:r>
    <w:r>
      <w:rPr>
        <w:rStyle w:val="22"/>
        <w:rFonts w:ascii="宋体" w:hAnsi="宋体"/>
        <w:sz w:val="26"/>
        <w:szCs w:val="26"/>
      </w:rPr>
      <w:fldChar w:fldCharType="begin"/>
    </w:r>
    <w:r>
      <w:rPr>
        <w:rStyle w:val="22"/>
        <w:rFonts w:ascii="宋体" w:hAnsi="宋体"/>
        <w:sz w:val="26"/>
        <w:szCs w:val="26"/>
      </w:rPr>
      <w:instrText xml:space="preserve">PAGE  </w:instrText>
    </w:r>
    <w:r>
      <w:rPr>
        <w:rStyle w:val="22"/>
        <w:rFonts w:ascii="宋体" w:hAnsi="宋体"/>
        <w:sz w:val="26"/>
        <w:szCs w:val="26"/>
      </w:rPr>
      <w:fldChar w:fldCharType="separate"/>
    </w:r>
    <w:r>
      <w:rPr>
        <w:rStyle w:val="22"/>
        <w:rFonts w:ascii="宋体" w:hAnsi="宋体"/>
        <w:sz w:val="26"/>
        <w:szCs w:val="26"/>
      </w:rPr>
      <w:t>12</w:t>
    </w:r>
    <w:r>
      <w:rPr>
        <w:rStyle w:val="22"/>
        <w:rFonts w:ascii="宋体" w:hAnsi="宋体"/>
        <w:sz w:val="26"/>
        <w:szCs w:val="26"/>
      </w:rPr>
      <w:fldChar w:fldCharType="end"/>
    </w:r>
    <w:r>
      <w:rPr>
        <w:rStyle w:val="22"/>
        <w:rFonts w:hint="eastAsia" w:ascii="宋体" w:hAnsi="宋体"/>
        <w:sz w:val="28"/>
        <w:szCs w:val="28"/>
      </w:rPr>
      <w:t>—</w:t>
    </w:r>
  </w:p>
  <w:p w14:paraId="1460A23E">
    <w:pPr>
      <w:pStyle w:val="14"/>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CF223"/>
    <w:multiLevelType w:val="singleLevel"/>
    <w:tmpl w:val="0EBCF223"/>
    <w:lvl w:ilvl="0" w:tentative="0">
      <w:start w:val="1"/>
      <w:numFmt w:val="decimal"/>
      <w:suff w:val="nothing"/>
      <w:lvlText w:val="%1、"/>
      <w:lvlJc w:val="left"/>
    </w:lvl>
  </w:abstractNum>
  <w:abstractNum w:abstractNumId="1">
    <w:nsid w:val="22861FF0"/>
    <w:multiLevelType w:val="multilevel"/>
    <w:tmpl w:val="22861FF0"/>
    <w:lvl w:ilvl="0" w:tentative="0">
      <w:start w:val="1"/>
      <w:numFmt w:val="decimal"/>
      <w:pStyle w:val="45"/>
      <w:lvlText w:val="表%1"/>
      <w:lvlJc w:val="left"/>
      <w:pPr>
        <w:ind w:left="1837" w:hanging="420"/>
      </w:pPr>
      <w:rPr>
        <w:rFonts w:hint="default" w:ascii="Times New Roman" w:hAnsi="Times New Roman" w:eastAsia="宋体"/>
        <w:b/>
        <w:bCs/>
        <w:lang w:val="en-US"/>
      </w:rPr>
    </w:lvl>
    <w:lvl w:ilvl="1" w:tentative="0">
      <w:start w:val="1"/>
      <w:numFmt w:val="lowerLetter"/>
      <w:lvlText w:val="%2)"/>
      <w:lvlJc w:val="left"/>
      <w:pPr>
        <w:ind w:left="-3413" w:hanging="420"/>
      </w:pPr>
    </w:lvl>
    <w:lvl w:ilvl="2" w:tentative="0">
      <w:start w:val="1"/>
      <w:numFmt w:val="lowerRoman"/>
      <w:lvlText w:val="%3."/>
      <w:lvlJc w:val="right"/>
      <w:pPr>
        <w:ind w:left="-2993" w:hanging="420"/>
      </w:pPr>
    </w:lvl>
    <w:lvl w:ilvl="3" w:tentative="0">
      <w:start w:val="1"/>
      <w:numFmt w:val="decimal"/>
      <w:lvlText w:val="%4."/>
      <w:lvlJc w:val="left"/>
      <w:pPr>
        <w:ind w:left="-2573" w:hanging="420"/>
      </w:pPr>
    </w:lvl>
    <w:lvl w:ilvl="4" w:tentative="0">
      <w:start w:val="1"/>
      <w:numFmt w:val="lowerLetter"/>
      <w:lvlText w:val="%5)"/>
      <w:lvlJc w:val="left"/>
      <w:pPr>
        <w:ind w:left="-2153" w:hanging="420"/>
      </w:pPr>
    </w:lvl>
    <w:lvl w:ilvl="5" w:tentative="0">
      <w:start w:val="1"/>
      <w:numFmt w:val="lowerRoman"/>
      <w:lvlText w:val="%6."/>
      <w:lvlJc w:val="right"/>
      <w:pPr>
        <w:ind w:left="-1733" w:hanging="420"/>
      </w:pPr>
    </w:lvl>
    <w:lvl w:ilvl="6" w:tentative="0">
      <w:start w:val="1"/>
      <w:numFmt w:val="decimal"/>
      <w:lvlText w:val="%7."/>
      <w:lvlJc w:val="left"/>
      <w:pPr>
        <w:ind w:left="-1313" w:hanging="420"/>
      </w:pPr>
    </w:lvl>
    <w:lvl w:ilvl="7" w:tentative="0">
      <w:start w:val="1"/>
      <w:numFmt w:val="lowerLetter"/>
      <w:lvlText w:val="%8)"/>
      <w:lvlJc w:val="left"/>
      <w:pPr>
        <w:ind w:left="-893" w:hanging="420"/>
      </w:pPr>
    </w:lvl>
    <w:lvl w:ilvl="8" w:tentative="0">
      <w:start w:val="1"/>
      <w:numFmt w:val="lowerRoman"/>
      <w:lvlText w:val="%9."/>
      <w:lvlJc w:val="right"/>
      <w:pPr>
        <w:ind w:left="-4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NTc2ZDJiZGE2OTE3Y2ZkM2JhMzFhNGY0Njc2NzkifQ=="/>
    <w:docVar w:name="KSO_WPS_MARK_KEY" w:val="0cbd3187-5e96-410a-ab34-d21e841aef20"/>
  </w:docVars>
  <w:rsids>
    <w:rsidRoot w:val="00172A27"/>
    <w:rsid w:val="000060B3"/>
    <w:rsid w:val="00021BC4"/>
    <w:rsid w:val="00025568"/>
    <w:rsid w:val="00033B7B"/>
    <w:rsid w:val="000426C5"/>
    <w:rsid w:val="0004364B"/>
    <w:rsid w:val="00061B1F"/>
    <w:rsid w:val="00066ACD"/>
    <w:rsid w:val="000733C4"/>
    <w:rsid w:val="00074783"/>
    <w:rsid w:val="000761BB"/>
    <w:rsid w:val="0008070B"/>
    <w:rsid w:val="000810AC"/>
    <w:rsid w:val="00081A00"/>
    <w:rsid w:val="00081A02"/>
    <w:rsid w:val="00082231"/>
    <w:rsid w:val="000853CE"/>
    <w:rsid w:val="00092D38"/>
    <w:rsid w:val="0009377B"/>
    <w:rsid w:val="000A20C9"/>
    <w:rsid w:val="000B058F"/>
    <w:rsid w:val="000B4467"/>
    <w:rsid w:val="000B4DB9"/>
    <w:rsid w:val="000C09AC"/>
    <w:rsid w:val="000C767F"/>
    <w:rsid w:val="000D25D1"/>
    <w:rsid w:val="000D5A44"/>
    <w:rsid w:val="000D6191"/>
    <w:rsid w:val="000E3ED2"/>
    <w:rsid w:val="000F0545"/>
    <w:rsid w:val="00115E07"/>
    <w:rsid w:val="001170B4"/>
    <w:rsid w:val="00131F42"/>
    <w:rsid w:val="001357F1"/>
    <w:rsid w:val="00140B7C"/>
    <w:rsid w:val="00140FA8"/>
    <w:rsid w:val="00142FEB"/>
    <w:rsid w:val="00143A2D"/>
    <w:rsid w:val="00145A41"/>
    <w:rsid w:val="00147AC4"/>
    <w:rsid w:val="00151675"/>
    <w:rsid w:val="00157435"/>
    <w:rsid w:val="00171207"/>
    <w:rsid w:val="0017504D"/>
    <w:rsid w:val="0017671A"/>
    <w:rsid w:val="00177422"/>
    <w:rsid w:val="00180F33"/>
    <w:rsid w:val="00184590"/>
    <w:rsid w:val="00184A64"/>
    <w:rsid w:val="001870D1"/>
    <w:rsid w:val="0018781E"/>
    <w:rsid w:val="00190A64"/>
    <w:rsid w:val="0019262D"/>
    <w:rsid w:val="001A1B35"/>
    <w:rsid w:val="001A48A2"/>
    <w:rsid w:val="001A6F61"/>
    <w:rsid w:val="001B2907"/>
    <w:rsid w:val="001B72B8"/>
    <w:rsid w:val="001C69B3"/>
    <w:rsid w:val="001D5595"/>
    <w:rsid w:val="001D7874"/>
    <w:rsid w:val="001D7F22"/>
    <w:rsid w:val="001E5304"/>
    <w:rsid w:val="001E6469"/>
    <w:rsid w:val="001F0F17"/>
    <w:rsid w:val="001F3347"/>
    <w:rsid w:val="001F4C57"/>
    <w:rsid w:val="001F69E4"/>
    <w:rsid w:val="002125B4"/>
    <w:rsid w:val="002155B8"/>
    <w:rsid w:val="00217D36"/>
    <w:rsid w:val="00220622"/>
    <w:rsid w:val="00220A03"/>
    <w:rsid w:val="00224839"/>
    <w:rsid w:val="002249B2"/>
    <w:rsid w:val="00226574"/>
    <w:rsid w:val="002278EC"/>
    <w:rsid w:val="0023280E"/>
    <w:rsid w:val="00236AF3"/>
    <w:rsid w:val="002377D1"/>
    <w:rsid w:val="00243010"/>
    <w:rsid w:val="002506BC"/>
    <w:rsid w:val="00254345"/>
    <w:rsid w:val="00255B12"/>
    <w:rsid w:val="00262C70"/>
    <w:rsid w:val="00264557"/>
    <w:rsid w:val="00277FD5"/>
    <w:rsid w:val="002805AB"/>
    <w:rsid w:val="00284204"/>
    <w:rsid w:val="00291773"/>
    <w:rsid w:val="002A168C"/>
    <w:rsid w:val="002A3DC7"/>
    <w:rsid w:val="002B49E2"/>
    <w:rsid w:val="002B7B00"/>
    <w:rsid w:val="002B7C44"/>
    <w:rsid w:val="002C2B17"/>
    <w:rsid w:val="002C6B9A"/>
    <w:rsid w:val="002D3DD0"/>
    <w:rsid w:val="002E1F3A"/>
    <w:rsid w:val="002E298A"/>
    <w:rsid w:val="00301978"/>
    <w:rsid w:val="0030332C"/>
    <w:rsid w:val="003051C2"/>
    <w:rsid w:val="00312296"/>
    <w:rsid w:val="00314F0E"/>
    <w:rsid w:val="00317C8B"/>
    <w:rsid w:val="00320B43"/>
    <w:rsid w:val="00321D8E"/>
    <w:rsid w:val="00325928"/>
    <w:rsid w:val="00332863"/>
    <w:rsid w:val="0033684D"/>
    <w:rsid w:val="00337B42"/>
    <w:rsid w:val="00341B42"/>
    <w:rsid w:val="0034348F"/>
    <w:rsid w:val="00356653"/>
    <w:rsid w:val="0035743F"/>
    <w:rsid w:val="00357BE2"/>
    <w:rsid w:val="0036170C"/>
    <w:rsid w:val="00366E0F"/>
    <w:rsid w:val="00373621"/>
    <w:rsid w:val="00381A72"/>
    <w:rsid w:val="003835B2"/>
    <w:rsid w:val="00384676"/>
    <w:rsid w:val="00386A49"/>
    <w:rsid w:val="00390857"/>
    <w:rsid w:val="003A4BF3"/>
    <w:rsid w:val="003B0E3D"/>
    <w:rsid w:val="003B420D"/>
    <w:rsid w:val="003C6C16"/>
    <w:rsid w:val="003D252A"/>
    <w:rsid w:val="003D499E"/>
    <w:rsid w:val="003D794D"/>
    <w:rsid w:val="003E3058"/>
    <w:rsid w:val="003E6B59"/>
    <w:rsid w:val="003E76A9"/>
    <w:rsid w:val="003F0809"/>
    <w:rsid w:val="003F6A8C"/>
    <w:rsid w:val="003F755C"/>
    <w:rsid w:val="00401330"/>
    <w:rsid w:val="004049B8"/>
    <w:rsid w:val="00406F01"/>
    <w:rsid w:val="00411F65"/>
    <w:rsid w:val="00416D50"/>
    <w:rsid w:val="00416FD5"/>
    <w:rsid w:val="00417772"/>
    <w:rsid w:val="00420E6A"/>
    <w:rsid w:val="00425A9E"/>
    <w:rsid w:val="00426D6B"/>
    <w:rsid w:val="00431E6C"/>
    <w:rsid w:val="00432B58"/>
    <w:rsid w:val="00433CE7"/>
    <w:rsid w:val="0044163B"/>
    <w:rsid w:val="00447183"/>
    <w:rsid w:val="00451483"/>
    <w:rsid w:val="00452738"/>
    <w:rsid w:val="004539D9"/>
    <w:rsid w:val="00456091"/>
    <w:rsid w:val="00464AE8"/>
    <w:rsid w:val="00466321"/>
    <w:rsid w:val="00467889"/>
    <w:rsid w:val="00484B9B"/>
    <w:rsid w:val="004855F6"/>
    <w:rsid w:val="0048661E"/>
    <w:rsid w:val="00494670"/>
    <w:rsid w:val="004A23D1"/>
    <w:rsid w:val="004A3823"/>
    <w:rsid w:val="004E6946"/>
    <w:rsid w:val="004F1AD8"/>
    <w:rsid w:val="004F3840"/>
    <w:rsid w:val="005039CB"/>
    <w:rsid w:val="0050558F"/>
    <w:rsid w:val="00506286"/>
    <w:rsid w:val="00510813"/>
    <w:rsid w:val="00511990"/>
    <w:rsid w:val="00511DE0"/>
    <w:rsid w:val="005146D2"/>
    <w:rsid w:val="00514870"/>
    <w:rsid w:val="00514B9B"/>
    <w:rsid w:val="00517F02"/>
    <w:rsid w:val="00524303"/>
    <w:rsid w:val="005258A2"/>
    <w:rsid w:val="00535351"/>
    <w:rsid w:val="005401AE"/>
    <w:rsid w:val="00542E07"/>
    <w:rsid w:val="00545424"/>
    <w:rsid w:val="00554A7B"/>
    <w:rsid w:val="00555385"/>
    <w:rsid w:val="0055572C"/>
    <w:rsid w:val="0056106A"/>
    <w:rsid w:val="005720AE"/>
    <w:rsid w:val="005776C0"/>
    <w:rsid w:val="00594D77"/>
    <w:rsid w:val="005969E4"/>
    <w:rsid w:val="005A06B7"/>
    <w:rsid w:val="005A1759"/>
    <w:rsid w:val="005A68A7"/>
    <w:rsid w:val="005B2DA9"/>
    <w:rsid w:val="005D36AB"/>
    <w:rsid w:val="005E0FEE"/>
    <w:rsid w:val="005E2C67"/>
    <w:rsid w:val="005E5F81"/>
    <w:rsid w:val="00617CC3"/>
    <w:rsid w:val="006377A6"/>
    <w:rsid w:val="00637A3D"/>
    <w:rsid w:val="006411EF"/>
    <w:rsid w:val="00657145"/>
    <w:rsid w:val="006748B8"/>
    <w:rsid w:val="006775C3"/>
    <w:rsid w:val="00680AA1"/>
    <w:rsid w:val="00683750"/>
    <w:rsid w:val="00684B1A"/>
    <w:rsid w:val="00691B14"/>
    <w:rsid w:val="0069290A"/>
    <w:rsid w:val="0069775A"/>
    <w:rsid w:val="00697813"/>
    <w:rsid w:val="006A3EE8"/>
    <w:rsid w:val="006A72BF"/>
    <w:rsid w:val="006A7548"/>
    <w:rsid w:val="006B03F2"/>
    <w:rsid w:val="006B37DC"/>
    <w:rsid w:val="006B4F68"/>
    <w:rsid w:val="006C0592"/>
    <w:rsid w:val="006C272E"/>
    <w:rsid w:val="006C5479"/>
    <w:rsid w:val="006D13B5"/>
    <w:rsid w:val="006D43F5"/>
    <w:rsid w:val="006D77C9"/>
    <w:rsid w:val="006E12FF"/>
    <w:rsid w:val="006E607E"/>
    <w:rsid w:val="006F42D2"/>
    <w:rsid w:val="00706C5D"/>
    <w:rsid w:val="00727987"/>
    <w:rsid w:val="00731E62"/>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4D74"/>
    <w:rsid w:val="007B72B8"/>
    <w:rsid w:val="007B7A58"/>
    <w:rsid w:val="007C21B5"/>
    <w:rsid w:val="007C232E"/>
    <w:rsid w:val="007E14FA"/>
    <w:rsid w:val="007E4BD2"/>
    <w:rsid w:val="007E591D"/>
    <w:rsid w:val="007E6779"/>
    <w:rsid w:val="00801393"/>
    <w:rsid w:val="00802F88"/>
    <w:rsid w:val="00804A02"/>
    <w:rsid w:val="00805D1B"/>
    <w:rsid w:val="0081293E"/>
    <w:rsid w:val="00812AA3"/>
    <w:rsid w:val="00815465"/>
    <w:rsid w:val="00817E9A"/>
    <w:rsid w:val="008306BD"/>
    <w:rsid w:val="00831A80"/>
    <w:rsid w:val="00833743"/>
    <w:rsid w:val="008340A4"/>
    <w:rsid w:val="00850B13"/>
    <w:rsid w:val="0087135F"/>
    <w:rsid w:val="00872D94"/>
    <w:rsid w:val="00880364"/>
    <w:rsid w:val="00891592"/>
    <w:rsid w:val="00891E9E"/>
    <w:rsid w:val="00895777"/>
    <w:rsid w:val="008A2F68"/>
    <w:rsid w:val="008B4FA6"/>
    <w:rsid w:val="008B5282"/>
    <w:rsid w:val="008B7C17"/>
    <w:rsid w:val="008C143C"/>
    <w:rsid w:val="008C2D01"/>
    <w:rsid w:val="008C40E6"/>
    <w:rsid w:val="008D0F7A"/>
    <w:rsid w:val="008D68E4"/>
    <w:rsid w:val="008D6A39"/>
    <w:rsid w:val="008E0506"/>
    <w:rsid w:val="008E0CFF"/>
    <w:rsid w:val="008E12E0"/>
    <w:rsid w:val="008E5D6B"/>
    <w:rsid w:val="008E76F0"/>
    <w:rsid w:val="008F15FE"/>
    <w:rsid w:val="008F2D29"/>
    <w:rsid w:val="008F3F08"/>
    <w:rsid w:val="008F5187"/>
    <w:rsid w:val="008F5DEA"/>
    <w:rsid w:val="008F60D8"/>
    <w:rsid w:val="00902086"/>
    <w:rsid w:val="00902727"/>
    <w:rsid w:val="0090312B"/>
    <w:rsid w:val="009040FA"/>
    <w:rsid w:val="0091736D"/>
    <w:rsid w:val="0093037A"/>
    <w:rsid w:val="0094154D"/>
    <w:rsid w:val="0095155F"/>
    <w:rsid w:val="00954429"/>
    <w:rsid w:val="009563CE"/>
    <w:rsid w:val="009649BA"/>
    <w:rsid w:val="00976328"/>
    <w:rsid w:val="00976735"/>
    <w:rsid w:val="0097680D"/>
    <w:rsid w:val="00982438"/>
    <w:rsid w:val="0098404C"/>
    <w:rsid w:val="00985283"/>
    <w:rsid w:val="00995992"/>
    <w:rsid w:val="009A03E5"/>
    <w:rsid w:val="009A0F3B"/>
    <w:rsid w:val="009A1BB4"/>
    <w:rsid w:val="009A2628"/>
    <w:rsid w:val="009A3200"/>
    <w:rsid w:val="009B0897"/>
    <w:rsid w:val="009B4466"/>
    <w:rsid w:val="009B4BFC"/>
    <w:rsid w:val="009B7BD9"/>
    <w:rsid w:val="009C7DD5"/>
    <w:rsid w:val="009E227D"/>
    <w:rsid w:val="009E5019"/>
    <w:rsid w:val="00A04F1B"/>
    <w:rsid w:val="00A0501B"/>
    <w:rsid w:val="00A14947"/>
    <w:rsid w:val="00A2557A"/>
    <w:rsid w:val="00A25E0F"/>
    <w:rsid w:val="00A32A83"/>
    <w:rsid w:val="00A368DB"/>
    <w:rsid w:val="00A423AA"/>
    <w:rsid w:val="00A4372D"/>
    <w:rsid w:val="00A46FE9"/>
    <w:rsid w:val="00A53EC6"/>
    <w:rsid w:val="00A55C0F"/>
    <w:rsid w:val="00A8713F"/>
    <w:rsid w:val="00A90BA1"/>
    <w:rsid w:val="00A97A9A"/>
    <w:rsid w:val="00AA0671"/>
    <w:rsid w:val="00AA2531"/>
    <w:rsid w:val="00AA73D0"/>
    <w:rsid w:val="00AB1E09"/>
    <w:rsid w:val="00AB5330"/>
    <w:rsid w:val="00AB7747"/>
    <w:rsid w:val="00AC14CE"/>
    <w:rsid w:val="00AC2A56"/>
    <w:rsid w:val="00AD055E"/>
    <w:rsid w:val="00AD47A7"/>
    <w:rsid w:val="00AE5A69"/>
    <w:rsid w:val="00AF0CBF"/>
    <w:rsid w:val="00AF1894"/>
    <w:rsid w:val="00AF257F"/>
    <w:rsid w:val="00AF33CF"/>
    <w:rsid w:val="00AF4D50"/>
    <w:rsid w:val="00AF6179"/>
    <w:rsid w:val="00B1295A"/>
    <w:rsid w:val="00B13A8F"/>
    <w:rsid w:val="00B20A45"/>
    <w:rsid w:val="00B22C5C"/>
    <w:rsid w:val="00B24F30"/>
    <w:rsid w:val="00B31ABF"/>
    <w:rsid w:val="00B31D18"/>
    <w:rsid w:val="00B33BE3"/>
    <w:rsid w:val="00B45112"/>
    <w:rsid w:val="00B53B5D"/>
    <w:rsid w:val="00B6055E"/>
    <w:rsid w:val="00B6317D"/>
    <w:rsid w:val="00B63C2E"/>
    <w:rsid w:val="00B73E3F"/>
    <w:rsid w:val="00B7723F"/>
    <w:rsid w:val="00B80534"/>
    <w:rsid w:val="00B8433C"/>
    <w:rsid w:val="00B87491"/>
    <w:rsid w:val="00BA29E9"/>
    <w:rsid w:val="00BA7142"/>
    <w:rsid w:val="00BB237C"/>
    <w:rsid w:val="00BB41A3"/>
    <w:rsid w:val="00BB43A7"/>
    <w:rsid w:val="00BC32DC"/>
    <w:rsid w:val="00BC35B6"/>
    <w:rsid w:val="00BD0B84"/>
    <w:rsid w:val="00BD1B51"/>
    <w:rsid w:val="00BD4596"/>
    <w:rsid w:val="00BE1405"/>
    <w:rsid w:val="00BE312D"/>
    <w:rsid w:val="00BE3ED8"/>
    <w:rsid w:val="00BF1C20"/>
    <w:rsid w:val="00C10578"/>
    <w:rsid w:val="00C135BC"/>
    <w:rsid w:val="00C13CE0"/>
    <w:rsid w:val="00C15C95"/>
    <w:rsid w:val="00C23431"/>
    <w:rsid w:val="00C2596A"/>
    <w:rsid w:val="00C27537"/>
    <w:rsid w:val="00C300EE"/>
    <w:rsid w:val="00C328FE"/>
    <w:rsid w:val="00C33507"/>
    <w:rsid w:val="00C35C9D"/>
    <w:rsid w:val="00C36433"/>
    <w:rsid w:val="00C4409D"/>
    <w:rsid w:val="00C44E72"/>
    <w:rsid w:val="00C45A06"/>
    <w:rsid w:val="00C47E5B"/>
    <w:rsid w:val="00C614BF"/>
    <w:rsid w:val="00C61E4B"/>
    <w:rsid w:val="00C642DD"/>
    <w:rsid w:val="00C64BFF"/>
    <w:rsid w:val="00C704E9"/>
    <w:rsid w:val="00C763C9"/>
    <w:rsid w:val="00C80057"/>
    <w:rsid w:val="00C82232"/>
    <w:rsid w:val="00C82913"/>
    <w:rsid w:val="00C972B1"/>
    <w:rsid w:val="00CA2CCE"/>
    <w:rsid w:val="00CA43FD"/>
    <w:rsid w:val="00CA7EF8"/>
    <w:rsid w:val="00CB2FFF"/>
    <w:rsid w:val="00CC489B"/>
    <w:rsid w:val="00CD2BCD"/>
    <w:rsid w:val="00CD3A4C"/>
    <w:rsid w:val="00CE10E9"/>
    <w:rsid w:val="00CE2910"/>
    <w:rsid w:val="00CE5393"/>
    <w:rsid w:val="00CF36BE"/>
    <w:rsid w:val="00CF6000"/>
    <w:rsid w:val="00D003F3"/>
    <w:rsid w:val="00D0364F"/>
    <w:rsid w:val="00D06834"/>
    <w:rsid w:val="00D22DFC"/>
    <w:rsid w:val="00D22FF7"/>
    <w:rsid w:val="00D308ED"/>
    <w:rsid w:val="00D36D86"/>
    <w:rsid w:val="00D40BE3"/>
    <w:rsid w:val="00D42770"/>
    <w:rsid w:val="00D428AA"/>
    <w:rsid w:val="00D50A34"/>
    <w:rsid w:val="00D53EFA"/>
    <w:rsid w:val="00D60CCA"/>
    <w:rsid w:val="00D667AE"/>
    <w:rsid w:val="00D67C51"/>
    <w:rsid w:val="00D91E79"/>
    <w:rsid w:val="00D94A7C"/>
    <w:rsid w:val="00D95896"/>
    <w:rsid w:val="00DB2983"/>
    <w:rsid w:val="00DC1257"/>
    <w:rsid w:val="00DC3DC0"/>
    <w:rsid w:val="00DC5B2B"/>
    <w:rsid w:val="00DC6932"/>
    <w:rsid w:val="00DD318D"/>
    <w:rsid w:val="00DD7C11"/>
    <w:rsid w:val="00DF2E12"/>
    <w:rsid w:val="00DF514A"/>
    <w:rsid w:val="00DF6690"/>
    <w:rsid w:val="00DF6804"/>
    <w:rsid w:val="00E01F00"/>
    <w:rsid w:val="00E0358D"/>
    <w:rsid w:val="00E04323"/>
    <w:rsid w:val="00E070A2"/>
    <w:rsid w:val="00E16BF0"/>
    <w:rsid w:val="00E2656A"/>
    <w:rsid w:val="00E2781F"/>
    <w:rsid w:val="00E412D0"/>
    <w:rsid w:val="00E56322"/>
    <w:rsid w:val="00E60982"/>
    <w:rsid w:val="00E62C62"/>
    <w:rsid w:val="00E654C1"/>
    <w:rsid w:val="00E65D97"/>
    <w:rsid w:val="00E72A5A"/>
    <w:rsid w:val="00E73354"/>
    <w:rsid w:val="00E9242D"/>
    <w:rsid w:val="00E9475E"/>
    <w:rsid w:val="00EB5255"/>
    <w:rsid w:val="00EB5C47"/>
    <w:rsid w:val="00EB6086"/>
    <w:rsid w:val="00EC4CDF"/>
    <w:rsid w:val="00ED0639"/>
    <w:rsid w:val="00EF4755"/>
    <w:rsid w:val="00EF7135"/>
    <w:rsid w:val="00F027DB"/>
    <w:rsid w:val="00F0434D"/>
    <w:rsid w:val="00F14940"/>
    <w:rsid w:val="00F14A7A"/>
    <w:rsid w:val="00F22985"/>
    <w:rsid w:val="00F24E42"/>
    <w:rsid w:val="00F3383E"/>
    <w:rsid w:val="00F465A7"/>
    <w:rsid w:val="00F50B7C"/>
    <w:rsid w:val="00F550E6"/>
    <w:rsid w:val="00F67DA0"/>
    <w:rsid w:val="00F74345"/>
    <w:rsid w:val="00F80A0A"/>
    <w:rsid w:val="00F82B19"/>
    <w:rsid w:val="00F9212D"/>
    <w:rsid w:val="00F965DA"/>
    <w:rsid w:val="00FA406A"/>
    <w:rsid w:val="00FB503A"/>
    <w:rsid w:val="00FB516C"/>
    <w:rsid w:val="00FC4CAC"/>
    <w:rsid w:val="00FD0236"/>
    <w:rsid w:val="00FD18F4"/>
    <w:rsid w:val="00FD243C"/>
    <w:rsid w:val="00FD54DB"/>
    <w:rsid w:val="00FD619F"/>
    <w:rsid w:val="01290F7E"/>
    <w:rsid w:val="015D1E09"/>
    <w:rsid w:val="01AF3608"/>
    <w:rsid w:val="02697903"/>
    <w:rsid w:val="02A209F3"/>
    <w:rsid w:val="02F96569"/>
    <w:rsid w:val="03A14A8C"/>
    <w:rsid w:val="03EA7B21"/>
    <w:rsid w:val="044A6593"/>
    <w:rsid w:val="05E731C1"/>
    <w:rsid w:val="05F83EAE"/>
    <w:rsid w:val="063E7D85"/>
    <w:rsid w:val="07293586"/>
    <w:rsid w:val="07295285"/>
    <w:rsid w:val="07636392"/>
    <w:rsid w:val="07770C56"/>
    <w:rsid w:val="08B71C5A"/>
    <w:rsid w:val="08F426EE"/>
    <w:rsid w:val="092217DD"/>
    <w:rsid w:val="093A7294"/>
    <w:rsid w:val="0A263993"/>
    <w:rsid w:val="0A2D3AC2"/>
    <w:rsid w:val="0AA755DF"/>
    <w:rsid w:val="0B120D44"/>
    <w:rsid w:val="0B61144B"/>
    <w:rsid w:val="0BD27BF6"/>
    <w:rsid w:val="0C3B3C7D"/>
    <w:rsid w:val="0CAB2EAE"/>
    <w:rsid w:val="0D621C7D"/>
    <w:rsid w:val="0D625804"/>
    <w:rsid w:val="0DE6334F"/>
    <w:rsid w:val="0E73034D"/>
    <w:rsid w:val="0F13775A"/>
    <w:rsid w:val="0F5F45FE"/>
    <w:rsid w:val="0F9A112B"/>
    <w:rsid w:val="106D2F64"/>
    <w:rsid w:val="10B63710"/>
    <w:rsid w:val="10BB2B4E"/>
    <w:rsid w:val="10F10820"/>
    <w:rsid w:val="111C2F7A"/>
    <w:rsid w:val="114C6C7D"/>
    <w:rsid w:val="11665CA1"/>
    <w:rsid w:val="11FF5458"/>
    <w:rsid w:val="13951726"/>
    <w:rsid w:val="141030C6"/>
    <w:rsid w:val="14396509"/>
    <w:rsid w:val="14DD2C3C"/>
    <w:rsid w:val="15C11A42"/>
    <w:rsid w:val="16087E1D"/>
    <w:rsid w:val="16F83D45"/>
    <w:rsid w:val="17701D14"/>
    <w:rsid w:val="17735226"/>
    <w:rsid w:val="18234FEF"/>
    <w:rsid w:val="189F624C"/>
    <w:rsid w:val="190C2A7F"/>
    <w:rsid w:val="191C7021"/>
    <w:rsid w:val="1A1C66C0"/>
    <w:rsid w:val="1A42393B"/>
    <w:rsid w:val="1AAD45DE"/>
    <w:rsid w:val="1B046F80"/>
    <w:rsid w:val="1B3267B5"/>
    <w:rsid w:val="1B40161D"/>
    <w:rsid w:val="1B441859"/>
    <w:rsid w:val="1B6606B1"/>
    <w:rsid w:val="1C2420B9"/>
    <w:rsid w:val="1C5E7925"/>
    <w:rsid w:val="1CDD5A09"/>
    <w:rsid w:val="1CFD070F"/>
    <w:rsid w:val="1D5F6196"/>
    <w:rsid w:val="1D6132A5"/>
    <w:rsid w:val="1D8E56D5"/>
    <w:rsid w:val="1E7A43DA"/>
    <w:rsid w:val="1EC02A9D"/>
    <w:rsid w:val="1FC901E8"/>
    <w:rsid w:val="1FE7539E"/>
    <w:rsid w:val="1FE87EC3"/>
    <w:rsid w:val="205545B2"/>
    <w:rsid w:val="205E5620"/>
    <w:rsid w:val="20671BE0"/>
    <w:rsid w:val="20963CB8"/>
    <w:rsid w:val="20A81A1B"/>
    <w:rsid w:val="20B07FB6"/>
    <w:rsid w:val="20B646FB"/>
    <w:rsid w:val="213B74B1"/>
    <w:rsid w:val="215A2310"/>
    <w:rsid w:val="21DE318A"/>
    <w:rsid w:val="21EF5B80"/>
    <w:rsid w:val="21F818E3"/>
    <w:rsid w:val="2253470D"/>
    <w:rsid w:val="22576990"/>
    <w:rsid w:val="22E646A2"/>
    <w:rsid w:val="22F47480"/>
    <w:rsid w:val="23DE1C48"/>
    <w:rsid w:val="23EE3640"/>
    <w:rsid w:val="240210CD"/>
    <w:rsid w:val="24293B63"/>
    <w:rsid w:val="24BF09F7"/>
    <w:rsid w:val="252D53FE"/>
    <w:rsid w:val="25D0549F"/>
    <w:rsid w:val="25EC2D81"/>
    <w:rsid w:val="26335498"/>
    <w:rsid w:val="26E8614E"/>
    <w:rsid w:val="277057A2"/>
    <w:rsid w:val="28C34C0A"/>
    <w:rsid w:val="29206EB8"/>
    <w:rsid w:val="29595666"/>
    <w:rsid w:val="29874881"/>
    <w:rsid w:val="29E325E0"/>
    <w:rsid w:val="2A452503"/>
    <w:rsid w:val="2A7669C6"/>
    <w:rsid w:val="2BA936A8"/>
    <w:rsid w:val="2C315A5A"/>
    <w:rsid w:val="2C4B1C25"/>
    <w:rsid w:val="2CD3702C"/>
    <w:rsid w:val="2D316324"/>
    <w:rsid w:val="2D9E56F5"/>
    <w:rsid w:val="2DC07B1E"/>
    <w:rsid w:val="2E667F96"/>
    <w:rsid w:val="2E8226AB"/>
    <w:rsid w:val="2FD065E6"/>
    <w:rsid w:val="2FD96870"/>
    <w:rsid w:val="30580BC9"/>
    <w:rsid w:val="311E2ED7"/>
    <w:rsid w:val="312366D0"/>
    <w:rsid w:val="31340032"/>
    <w:rsid w:val="315619EE"/>
    <w:rsid w:val="315C449C"/>
    <w:rsid w:val="31927029"/>
    <w:rsid w:val="31B82709"/>
    <w:rsid w:val="31D05482"/>
    <w:rsid w:val="31D8549D"/>
    <w:rsid w:val="32373CF1"/>
    <w:rsid w:val="32400B34"/>
    <w:rsid w:val="329E6876"/>
    <w:rsid w:val="333015F2"/>
    <w:rsid w:val="334B6320"/>
    <w:rsid w:val="33B679E6"/>
    <w:rsid w:val="33D934D4"/>
    <w:rsid w:val="33FE2F6A"/>
    <w:rsid w:val="340E07E5"/>
    <w:rsid w:val="34235BF7"/>
    <w:rsid w:val="343C3F54"/>
    <w:rsid w:val="35180728"/>
    <w:rsid w:val="358C5FA8"/>
    <w:rsid w:val="358E3F55"/>
    <w:rsid w:val="35C15DF1"/>
    <w:rsid w:val="36074A7F"/>
    <w:rsid w:val="36923549"/>
    <w:rsid w:val="36B75FBF"/>
    <w:rsid w:val="36BD0C45"/>
    <w:rsid w:val="377936E6"/>
    <w:rsid w:val="37E00298"/>
    <w:rsid w:val="38B302F9"/>
    <w:rsid w:val="38F12CD3"/>
    <w:rsid w:val="38F94775"/>
    <w:rsid w:val="392971ED"/>
    <w:rsid w:val="39325651"/>
    <w:rsid w:val="394C69E7"/>
    <w:rsid w:val="3964409F"/>
    <w:rsid w:val="3A285F4C"/>
    <w:rsid w:val="3A872856"/>
    <w:rsid w:val="3A9721AC"/>
    <w:rsid w:val="3AAD1FB2"/>
    <w:rsid w:val="3B3763D1"/>
    <w:rsid w:val="3C2F6E1E"/>
    <w:rsid w:val="3C4F64BA"/>
    <w:rsid w:val="3CDA245A"/>
    <w:rsid w:val="3D1E06B7"/>
    <w:rsid w:val="3D8B0C8C"/>
    <w:rsid w:val="3DB35286"/>
    <w:rsid w:val="3EC06BED"/>
    <w:rsid w:val="3EDA0523"/>
    <w:rsid w:val="3F9F61B3"/>
    <w:rsid w:val="3FBC1F86"/>
    <w:rsid w:val="3FC766E9"/>
    <w:rsid w:val="407A6407"/>
    <w:rsid w:val="414C3A28"/>
    <w:rsid w:val="4200449D"/>
    <w:rsid w:val="42156510"/>
    <w:rsid w:val="423A3BCC"/>
    <w:rsid w:val="424E1A22"/>
    <w:rsid w:val="424E57D2"/>
    <w:rsid w:val="42B26C49"/>
    <w:rsid w:val="433A6FE6"/>
    <w:rsid w:val="43480868"/>
    <w:rsid w:val="4350713C"/>
    <w:rsid w:val="436653E0"/>
    <w:rsid w:val="4372129E"/>
    <w:rsid w:val="43BB7B57"/>
    <w:rsid w:val="43C4431A"/>
    <w:rsid w:val="44B951CC"/>
    <w:rsid w:val="44CD14E0"/>
    <w:rsid w:val="44F20B0B"/>
    <w:rsid w:val="452E5F4C"/>
    <w:rsid w:val="45612018"/>
    <w:rsid w:val="458946E9"/>
    <w:rsid w:val="45A47C0E"/>
    <w:rsid w:val="464C395C"/>
    <w:rsid w:val="46577FD6"/>
    <w:rsid w:val="46C00FF1"/>
    <w:rsid w:val="46D955A7"/>
    <w:rsid w:val="47133957"/>
    <w:rsid w:val="47A07E0C"/>
    <w:rsid w:val="4870272E"/>
    <w:rsid w:val="49DC7715"/>
    <w:rsid w:val="4A023139"/>
    <w:rsid w:val="4A7B576F"/>
    <w:rsid w:val="4AF561A9"/>
    <w:rsid w:val="4B4C2860"/>
    <w:rsid w:val="4B7A3887"/>
    <w:rsid w:val="4C4A0649"/>
    <w:rsid w:val="4C7E5ECA"/>
    <w:rsid w:val="4C876AA5"/>
    <w:rsid w:val="4D0E00FB"/>
    <w:rsid w:val="4D176606"/>
    <w:rsid w:val="4DEC4FB0"/>
    <w:rsid w:val="4E014EF4"/>
    <w:rsid w:val="4E075D8A"/>
    <w:rsid w:val="4EC00FAD"/>
    <w:rsid w:val="4EFE59DB"/>
    <w:rsid w:val="4F1D7450"/>
    <w:rsid w:val="4F9843DC"/>
    <w:rsid w:val="4FC62A8C"/>
    <w:rsid w:val="4FE20F0D"/>
    <w:rsid w:val="4FE51552"/>
    <w:rsid w:val="50504C4B"/>
    <w:rsid w:val="509C6E7C"/>
    <w:rsid w:val="515C4053"/>
    <w:rsid w:val="5162104E"/>
    <w:rsid w:val="523013FB"/>
    <w:rsid w:val="52A728E1"/>
    <w:rsid w:val="53095076"/>
    <w:rsid w:val="530B47D1"/>
    <w:rsid w:val="53A039CC"/>
    <w:rsid w:val="53A1505A"/>
    <w:rsid w:val="54063E08"/>
    <w:rsid w:val="543437E8"/>
    <w:rsid w:val="5478253F"/>
    <w:rsid w:val="5496149C"/>
    <w:rsid w:val="54F73313"/>
    <w:rsid w:val="54F80955"/>
    <w:rsid w:val="555170A7"/>
    <w:rsid w:val="5587536D"/>
    <w:rsid w:val="559B174B"/>
    <w:rsid w:val="55CE0CF4"/>
    <w:rsid w:val="56B22A9C"/>
    <w:rsid w:val="57B72A76"/>
    <w:rsid w:val="57C3426C"/>
    <w:rsid w:val="57CE1F93"/>
    <w:rsid w:val="588743D1"/>
    <w:rsid w:val="5887701A"/>
    <w:rsid w:val="58C36919"/>
    <w:rsid w:val="59C0439F"/>
    <w:rsid w:val="59FF54EC"/>
    <w:rsid w:val="5ABE2233"/>
    <w:rsid w:val="5BDF5D95"/>
    <w:rsid w:val="5BFE7528"/>
    <w:rsid w:val="5C2E4535"/>
    <w:rsid w:val="5E2467F1"/>
    <w:rsid w:val="5F1A2B43"/>
    <w:rsid w:val="5F91757F"/>
    <w:rsid w:val="5FB837BB"/>
    <w:rsid w:val="604D2EC1"/>
    <w:rsid w:val="60CC405A"/>
    <w:rsid w:val="61E215D8"/>
    <w:rsid w:val="61F60E9A"/>
    <w:rsid w:val="621B3775"/>
    <w:rsid w:val="62364782"/>
    <w:rsid w:val="6394356A"/>
    <w:rsid w:val="63C61B2C"/>
    <w:rsid w:val="63D40BE9"/>
    <w:rsid w:val="64102431"/>
    <w:rsid w:val="6421269A"/>
    <w:rsid w:val="64A5243A"/>
    <w:rsid w:val="64C86B25"/>
    <w:rsid w:val="64F531DE"/>
    <w:rsid w:val="65373578"/>
    <w:rsid w:val="659D5176"/>
    <w:rsid w:val="671F124A"/>
    <w:rsid w:val="677A33C6"/>
    <w:rsid w:val="681F6961"/>
    <w:rsid w:val="68610A2F"/>
    <w:rsid w:val="68805514"/>
    <w:rsid w:val="68A97C4B"/>
    <w:rsid w:val="69316E2F"/>
    <w:rsid w:val="694E2071"/>
    <w:rsid w:val="69766163"/>
    <w:rsid w:val="697A3B33"/>
    <w:rsid w:val="69D44760"/>
    <w:rsid w:val="6A520EC7"/>
    <w:rsid w:val="6AF87E20"/>
    <w:rsid w:val="6B322639"/>
    <w:rsid w:val="6BEA281C"/>
    <w:rsid w:val="6C636C38"/>
    <w:rsid w:val="6D784267"/>
    <w:rsid w:val="6DB34098"/>
    <w:rsid w:val="6DB545B6"/>
    <w:rsid w:val="6DE02FB4"/>
    <w:rsid w:val="6E514CED"/>
    <w:rsid w:val="6EB563D5"/>
    <w:rsid w:val="6ED92677"/>
    <w:rsid w:val="6F225983"/>
    <w:rsid w:val="6FFC5590"/>
    <w:rsid w:val="700F07DA"/>
    <w:rsid w:val="706D1DD0"/>
    <w:rsid w:val="70856B87"/>
    <w:rsid w:val="70D527EE"/>
    <w:rsid w:val="70F50B48"/>
    <w:rsid w:val="715B5300"/>
    <w:rsid w:val="71C9610D"/>
    <w:rsid w:val="71D27F8A"/>
    <w:rsid w:val="72553024"/>
    <w:rsid w:val="73122968"/>
    <w:rsid w:val="731F5D5E"/>
    <w:rsid w:val="73C51AD5"/>
    <w:rsid w:val="741E793C"/>
    <w:rsid w:val="745E3944"/>
    <w:rsid w:val="74FB2F6F"/>
    <w:rsid w:val="7635099D"/>
    <w:rsid w:val="772B3324"/>
    <w:rsid w:val="77762421"/>
    <w:rsid w:val="77AC1580"/>
    <w:rsid w:val="77B56B1F"/>
    <w:rsid w:val="780F09F4"/>
    <w:rsid w:val="78A90480"/>
    <w:rsid w:val="7A364017"/>
    <w:rsid w:val="7A8265E1"/>
    <w:rsid w:val="7AAE54A0"/>
    <w:rsid w:val="7B0F1874"/>
    <w:rsid w:val="7B686D42"/>
    <w:rsid w:val="7B841746"/>
    <w:rsid w:val="7C6C5AC7"/>
    <w:rsid w:val="7CC6544B"/>
    <w:rsid w:val="7D0239FF"/>
    <w:rsid w:val="7D3E6279"/>
    <w:rsid w:val="7D5E40CD"/>
    <w:rsid w:val="7DCD56F2"/>
    <w:rsid w:val="7EB2746C"/>
    <w:rsid w:val="7F001CE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1"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99"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locked/>
    <w:uiPriority w:val="1"/>
    <w:pPr>
      <w:ind w:left="2503"/>
      <w:outlineLvl w:val="2"/>
    </w:pPr>
    <w:rPr>
      <w:rFonts w:ascii="宋体" w:hAnsi="宋体" w:eastAsia="宋体" w:cs="宋体"/>
      <w:b/>
      <w:bCs/>
      <w:sz w:val="21"/>
      <w:szCs w:val="21"/>
      <w:lang w:val="zh-CN" w:eastAsia="zh-CN" w:bidi="zh-CN"/>
    </w:rPr>
  </w:style>
  <w:style w:type="paragraph" w:styleId="4">
    <w:name w:val="heading 4"/>
    <w:basedOn w:val="1"/>
    <w:next w:val="1"/>
    <w:qFormat/>
    <w:locked/>
    <w:uiPriority w:val="0"/>
    <w:pPr>
      <w:keepNext/>
      <w:keepLines/>
      <w:tabs>
        <w:tab w:val="left" w:pos="2880"/>
      </w:tabs>
      <w:spacing w:before="280" w:beforeLines="0" w:after="290" w:afterLines="0" w:line="372" w:lineRule="auto"/>
      <w:ind w:left="2880" w:hanging="360"/>
      <w:outlineLvl w:val="3"/>
    </w:pPr>
    <w:rPr>
      <w:rFonts w:ascii="Arial" w:hAnsi="Arial" w:eastAsia="黑体" w:cs="宋体"/>
      <w:b/>
      <w:bCs/>
      <w:kern w:val="0"/>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4"/>
    <w:qFormat/>
    <w:locked/>
    <w:uiPriority w:val="0"/>
    <w:pPr>
      <w:ind w:firstLine="420"/>
    </w:pPr>
    <w:rPr>
      <w:rFonts w:cs="Lucida Console"/>
    </w:rPr>
  </w:style>
  <w:style w:type="paragraph" w:styleId="6">
    <w:name w:val="caption"/>
    <w:basedOn w:val="1"/>
    <w:next w:val="1"/>
    <w:qFormat/>
    <w:locked/>
    <w:uiPriority w:val="35"/>
    <w:pPr>
      <w:keepNext w:val="0"/>
      <w:keepLines w:val="0"/>
      <w:widowControl w:val="0"/>
      <w:suppressLineNumbers w:val="0"/>
      <w:spacing w:before="0" w:beforeAutospacing="0" w:after="0" w:afterAutospacing="0" w:line="240" w:lineRule="auto"/>
      <w:ind w:left="0" w:right="0"/>
      <w:jc w:val="center"/>
    </w:pPr>
    <w:rPr>
      <w:rFonts w:hint="default" w:ascii="Calibri" w:hAnsi="Calibri" w:eastAsia="宋体" w:cs="Arial"/>
      <w:b/>
      <w:kern w:val="2"/>
      <w:sz w:val="24"/>
      <w:szCs w:val="24"/>
      <w:lang w:val="en-US" w:eastAsia="zh-CN" w:bidi="ar"/>
    </w:rPr>
  </w:style>
  <w:style w:type="paragraph" w:styleId="7">
    <w:name w:val="annotation text"/>
    <w:basedOn w:val="1"/>
    <w:link w:val="24"/>
    <w:semiHidden/>
    <w:qFormat/>
    <w:uiPriority w:val="0"/>
    <w:pPr>
      <w:jc w:val="left"/>
    </w:pPr>
    <w:rPr>
      <w:kern w:val="0"/>
      <w:sz w:val="24"/>
      <w:szCs w:val="20"/>
    </w:rPr>
  </w:style>
  <w:style w:type="paragraph" w:styleId="8">
    <w:name w:val="Body Text"/>
    <w:basedOn w:val="1"/>
    <w:link w:val="25"/>
    <w:qFormat/>
    <w:uiPriority w:val="0"/>
    <w:pPr>
      <w:widowControl/>
      <w:snapToGrid w:val="0"/>
      <w:spacing w:before="60" w:after="160" w:line="259" w:lineRule="auto"/>
      <w:ind w:right="113"/>
    </w:pPr>
    <w:rPr>
      <w:kern w:val="0"/>
      <w:sz w:val="18"/>
      <w:szCs w:val="20"/>
    </w:rPr>
  </w:style>
  <w:style w:type="paragraph" w:styleId="9">
    <w:name w:val="Body Text Indent"/>
    <w:basedOn w:val="1"/>
    <w:link w:val="26"/>
    <w:qFormat/>
    <w:uiPriority w:val="0"/>
    <w:pPr>
      <w:spacing w:after="120"/>
      <w:ind w:left="420" w:leftChars="200"/>
    </w:pPr>
    <w:rPr>
      <w:kern w:val="0"/>
      <w:sz w:val="24"/>
      <w:szCs w:val="20"/>
    </w:rPr>
  </w:style>
  <w:style w:type="paragraph" w:styleId="10">
    <w:name w:val="Block Text"/>
    <w:basedOn w:val="1"/>
    <w:qFormat/>
    <w:locked/>
    <w:uiPriority w:val="99"/>
    <w:pPr>
      <w:spacing w:after="120"/>
      <w:ind w:left="1440" w:leftChars="700" w:right="1440" w:rightChars="700"/>
    </w:pPr>
  </w:style>
  <w:style w:type="paragraph" w:styleId="11">
    <w:name w:val="Plain Text"/>
    <w:basedOn w:val="1"/>
    <w:qFormat/>
    <w:locked/>
    <w:uiPriority w:val="0"/>
    <w:rPr>
      <w:rFonts w:ascii="宋体" w:hAnsi="Courier New" w:cs="宋体"/>
      <w:sz w:val="20"/>
      <w:szCs w:val="20"/>
    </w:rPr>
  </w:style>
  <w:style w:type="paragraph" w:styleId="12">
    <w:name w:val="Date"/>
    <w:basedOn w:val="1"/>
    <w:next w:val="1"/>
    <w:link w:val="27"/>
    <w:qFormat/>
    <w:uiPriority w:val="0"/>
    <w:pPr>
      <w:ind w:left="100" w:leftChars="2500"/>
    </w:pPr>
    <w:rPr>
      <w:kern w:val="0"/>
      <w:sz w:val="24"/>
      <w:szCs w:val="20"/>
    </w:rPr>
  </w:style>
  <w:style w:type="paragraph" w:styleId="13">
    <w:name w:val="Balloon Text"/>
    <w:basedOn w:val="1"/>
    <w:link w:val="28"/>
    <w:semiHidden/>
    <w:qFormat/>
    <w:uiPriority w:val="0"/>
    <w:rPr>
      <w:kern w:val="0"/>
      <w:sz w:val="18"/>
      <w:szCs w:val="20"/>
    </w:rPr>
  </w:style>
  <w:style w:type="paragraph" w:styleId="14">
    <w:name w:val="footer"/>
    <w:basedOn w:val="1"/>
    <w:link w:val="29"/>
    <w:qFormat/>
    <w:uiPriority w:val="99"/>
    <w:pPr>
      <w:tabs>
        <w:tab w:val="center" w:pos="4153"/>
        <w:tab w:val="right" w:pos="8306"/>
      </w:tabs>
      <w:snapToGrid w:val="0"/>
      <w:jc w:val="left"/>
    </w:pPr>
    <w:rPr>
      <w:kern w:val="0"/>
      <w:sz w:val="18"/>
      <w:szCs w:val="20"/>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Normal (Web)"/>
    <w:basedOn w:val="1"/>
    <w:link w:val="31"/>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7"/>
    <w:next w:val="7"/>
    <w:link w:val="32"/>
    <w:semiHidden/>
    <w:qFormat/>
    <w:uiPriority w:val="0"/>
    <w:rPr>
      <w:b/>
      <w:sz w:val="24"/>
      <w:szCs w:val="20"/>
    </w:rPr>
  </w:style>
  <w:style w:type="paragraph" w:styleId="18">
    <w:name w:val="Body Text First Indent 2"/>
    <w:basedOn w:val="1"/>
    <w:next w:val="1"/>
    <w:qFormat/>
    <w:locked/>
    <w:uiPriority w:val="99"/>
    <w:pPr>
      <w:spacing w:after="120"/>
      <w:ind w:left="420" w:leftChars="200" w:firstLine="420" w:firstLineChars="200"/>
    </w:pPr>
  </w:style>
  <w:style w:type="table" w:styleId="20">
    <w:name w:val="Table Grid"/>
    <w:basedOn w:val="1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locked/>
    <w:uiPriority w:val="0"/>
  </w:style>
  <w:style w:type="character" w:styleId="23">
    <w:name w:val="annotation reference"/>
    <w:semiHidden/>
    <w:qFormat/>
    <w:uiPriority w:val="0"/>
    <w:rPr>
      <w:sz w:val="21"/>
    </w:rPr>
  </w:style>
  <w:style w:type="character" w:customStyle="1" w:styleId="24">
    <w:name w:val="批注文字 Char"/>
    <w:link w:val="7"/>
    <w:qFormat/>
    <w:locked/>
    <w:uiPriority w:val="0"/>
    <w:rPr>
      <w:rFonts w:ascii="Times New Roman" w:hAnsi="Times New Roman" w:eastAsia="宋体"/>
      <w:sz w:val="24"/>
    </w:rPr>
  </w:style>
  <w:style w:type="character" w:customStyle="1" w:styleId="25">
    <w:name w:val="正文文本 Char"/>
    <w:link w:val="8"/>
    <w:qFormat/>
    <w:locked/>
    <w:uiPriority w:val="0"/>
    <w:rPr>
      <w:sz w:val="18"/>
    </w:rPr>
  </w:style>
  <w:style w:type="character" w:customStyle="1" w:styleId="26">
    <w:name w:val="正文文本缩进 Char"/>
    <w:link w:val="9"/>
    <w:semiHidden/>
    <w:qFormat/>
    <w:locked/>
    <w:uiPriority w:val="0"/>
    <w:rPr>
      <w:rFonts w:ascii="Times New Roman" w:hAnsi="Times New Roman" w:eastAsia="宋体"/>
      <w:sz w:val="24"/>
    </w:rPr>
  </w:style>
  <w:style w:type="character" w:customStyle="1" w:styleId="27">
    <w:name w:val="日期 Char"/>
    <w:link w:val="12"/>
    <w:qFormat/>
    <w:locked/>
    <w:uiPriority w:val="0"/>
    <w:rPr>
      <w:rFonts w:ascii="Times New Roman" w:hAnsi="Times New Roman" w:eastAsia="宋体"/>
      <w:sz w:val="24"/>
    </w:rPr>
  </w:style>
  <w:style w:type="character" w:customStyle="1" w:styleId="28">
    <w:name w:val="批注框文本 Char"/>
    <w:link w:val="13"/>
    <w:semiHidden/>
    <w:qFormat/>
    <w:locked/>
    <w:uiPriority w:val="0"/>
    <w:rPr>
      <w:rFonts w:ascii="Times New Roman" w:hAnsi="Times New Roman" w:eastAsia="宋体"/>
      <w:sz w:val="18"/>
    </w:rPr>
  </w:style>
  <w:style w:type="character" w:customStyle="1" w:styleId="29">
    <w:name w:val="页脚 Char"/>
    <w:link w:val="14"/>
    <w:qFormat/>
    <w:locked/>
    <w:uiPriority w:val="99"/>
    <w:rPr>
      <w:sz w:val="18"/>
    </w:rPr>
  </w:style>
  <w:style w:type="character" w:customStyle="1" w:styleId="30">
    <w:name w:val="页眉 Char"/>
    <w:link w:val="15"/>
    <w:qFormat/>
    <w:locked/>
    <w:uiPriority w:val="0"/>
    <w:rPr>
      <w:sz w:val="18"/>
    </w:rPr>
  </w:style>
  <w:style w:type="character" w:customStyle="1" w:styleId="31">
    <w:name w:val="普通(网站) Char"/>
    <w:link w:val="16"/>
    <w:qFormat/>
    <w:locked/>
    <w:uiPriority w:val="0"/>
    <w:rPr>
      <w:rFonts w:ascii="宋体" w:hAnsi="宋体" w:eastAsia="宋体"/>
      <w:sz w:val="24"/>
    </w:rPr>
  </w:style>
  <w:style w:type="character" w:customStyle="1" w:styleId="32">
    <w:name w:val="批注主题 Char"/>
    <w:link w:val="17"/>
    <w:semiHidden/>
    <w:qFormat/>
    <w:locked/>
    <w:uiPriority w:val="0"/>
    <w:rPr>
      <w:rFonts w:ascii="Times New Roman" w:hAnsi="Times New Roman" w:eastAsia="宋体"/>
      <w:b/>
      <w:kern w:val="2"/>
      <w:sz w:val="24"/>
    </w:rPr>
  </w:style>
  <w:style w:type="paragraph" w:customStyle="1" w:styleId="33">
    <w:name w:val="Default"/>
    <w:basedOn w:val="3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qFormat/>
    <w:uiPriority w:val="0"/>
    <w:pPr>
      <w:adjustRightInd w:val="0"/>
    </w:pPr>
    <w:rPr>
      <w:rFonts w:ascii="宋体" w:hAnsi="Courier New"/>
      <w:szCs w:val="20"/>
    </w:rPr>
  </w:style>
  <w:style w:type="paragraph" w:customStyle="1" w:styleId="3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页脚 字符"/>
    <w:basedOn w:val="21"/>
    <w:qFormat/>
    <w:uiPriority w:val="99"/>
  </w:style>
  <w:style w:type="character" w:customStyle="1" w:styleId="37">
    <w:name w:val="正文文本 字符1"/>
    <w:semiHidden/>
    <w:qFormat/>
    <w:uiPriority w:val="0"/>
    <w:rPr>
      <w:rFonts w:ascii="Times New Roman" w:hAnsi="Times New Roman" w:eastAsia="宋体"/>
      <w:sz w:val="24"/>
    </w:rPr>
  </w:style>
  <w:style w:type="character" w:customStyle="1" w:styleId="38">
    <w:name w:val="表格 Char"/>
    <w:link w:val="39"/>
    <w:qFormat/>
    <w:locked/>
    <w:uiPriority w:val="0"/>
    <w:rPr>
      <w:rFonts w:ascii="宋体"/>
      <w:sz w:val="21"/>
    </w:rPr>
  </w:style>
  <w:style w:type="paragraph" w:customStyle="1" w:styleId="39">
    <w:name w:val="表格"/>
    <w:basedOn w:val="5"/>
    <w:next w:val="1"/>
    <w:link w:val="38"/>
    <w:qFormat/>
    <w:uiPriority w:val="0"/>
    <w:pPr>
      <w:adjustRightInd w:val="0"/>
      <w:snapToGrid w:val="0"/>
      <w:spacing w:beforeLines="10" w:afterLines="10" w:line="259" w:lineRule="auto"/>
      <w:jc w:val="center"/>
    </w:pPr>
    <w:rPr>
      <w:rFonts w:ascii="宋体"/>
      <w:kern w:val="0"/>
      <w:szCs w:val="20"/>
    </w:rPr>
  </w:style>
  <w:style w:type="character" w:customStyle="1" w:styleId="40">
    <w:name w:val="日期 字符"/>
    <w:semiHidden/>
    <w:qFormat/>
    <w:uiPriority w:val="0"/>
    <w:rPr>
      <w:rFonts w:ascii="Times New Roman" w:hAnsi="Times New Roman" w:eastAsia="宋体"/>
      <w:sz w:val="24"/>
    </w:rPr>
  </w:style>
  <w:style w:type="character" w:customStyle="1" w:styleId="41">
    <w:name w:val="批注文字 字符1"/>
    <w:semiHidden/>
    <w:qFormat/>
    <w:uiPriority w:val="0"/>
    <w:rPr>
      <w:rFonts w:ascii="Times New Roman" w:hAnsi="Times New Roman" w:eastAsia="宋体"/>
      <w:sz w:val="24"/>
    </w:rPr>
  </w:style>
  <w:style w:type="paragraph" w:customStyle="1" w:styleId="4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4">
    <w:name w:val="Table Paragraph"/>
    <w:basedOn w:val="1"/>
    <w:qFormat/>
    <w:uiPriority w:val="1"/>
    <w:pPr>
      <w:jc w:val="center"/>
    </w:pPr>
    <w:rPr>
      <w:rFonts w:ascii="宋体" w:hAnsi="宋体" w:eastAsia="宋体" w:cs="宋体"/>
      <w:lang w:val="zh-CN" w:eastAsia="zh-CN" w:bidi="zh-CN"/>
    </w:rPr>
  </w:style>
  <w:style w:type="paragraph" w:customStyle="1" w:styleId="45">
    <w:name w:val="+表头"/>
    <w:basedOn w:val="1"/>
    <w:next w:val="46"/>
    <w:qFormat/>
    <w:uiPriority w:val="0"/>
    <w:pPr>
      <w:numPr>
        <w:ilvl w:val="0"/>
        <w:numId w:val="1"/>
      </w:numPr>
      <w:adjustRightInd w:val="0"/>
      <w:snapToGrid w:val="0"/>
      <w:spacing w:line="240" w:lineRule="auto"/>
      <w:jc w:val="center"/>
    </w:pPr>
    <w:rPr>
      <w:b/>
      <w:szCs w:val="21"/>
    </w:rPr>
  </w:style>
  <w:style w:type="paragraph" w:customStyle="1" w:styleId="46">
    <w:name w:val="+正文"/>
    <w:basedOn w:val="1"/>
    <w:qFormat/>
    <w:uiPriority w:val="0"/>
    <w:pPr>
      <w:adjustRightInd w:val="0"/>
      <w:snapToGrid w:val="0"/>
      <w:ind w:firstLine="200" w:firstLineChars="200"/>
      <w:jc w:val="both"/>
    </w:pPr>
  </w:style>
  <w:style w:type="paragraph" w:customStyle="1" w:styleId="47">
    <w:name w:val="表格内容"/>
    <w:basedOn w:val="48"/>
    <w:qFormat/>
    <w:uiPriority w:val="0"/>
    <w:pPr>
      <w:topLinePunct w:val="0"/>
      <w:spacing w:line="240" w:lineRule="auto"/>
      <w:ind w:firstLine="0" w:firstLineChars="0"/>
      <w:jc w:val="center"/>
      <w:textAlignment w:val="center"/>
    </w:pPr>
    <w:rPr>
      <w:kern w:val="2"/>
      <w:szCs w:val="24"/>
    </w:rPr>
  </w:style>
  <w:style w:type="paragraph" w:customStyle="1" w:styleId="48">
    <w:name w:val="表头"/>
    <w:basedOn w:val="49"/>
    <w:next w:val="11"/>
    <w:qFormat/>
    <w:uiPriority w:val="0"/>
    <w:pPr>
      <w:spacing w:line="240" w:lineRule="auto"/>
      <w:ind w:firstLine="0" w:firstLineChars="0"/>
      <w:jc w:val="center"/>
    </w:pPr>
    <w:rPr>
      <w:b/>
      <w:sz w:val="21"/>
    </w:rPr>
  </w:style>
  <w:style w:type="paragraph" w:customStyle="1" w:styleId="49">
    <w:name w:val="正文1"/>
    <w:basedOn w:val="50"/>
    <w:next w:val="1"/>
    <w:qFormat/>
    <w:uiPriority w:val="0"/>
    <w:pPr>
      <w:ind w:firstLine="200" w:firstLineChars="200"/>
      <w:jc w:val="both"/>
    </w:pPr>
    <w:rPr>
      <w:b w:val="0"/>
    </w:rPr>
  </w:style>
  <w:style w:type="paragraph" w:customStyle="1" w:styleId="50">
    <w:name w:val="标题1"/>
    <w:basedOn w:val="1"/>
    <w:qFormat/>
    <w:uiPriority w:val="0"/>
    <w:pPr>
      <w:adjustRightInd w:val="0"/>
      <w:snapToGrid w:val="0"/>
      <w:spacing w:line="360" w:lineRule="auto"/>
      <w:jc w:val="left"/>
    </w:pPr>
    <w:rPr>
      <w:rFonts w:cs="宋体"/>
      <w:b/>
      <w:kern w:val="0"/>
      <w:sz w:val="24"/>
      <w:szCs w:val="21"/>
    </w:rPr>
  </w:style>
  <w:style w:type="paragraph" w:customStyle="1" w:styleId="51">
    <w:name w:val="1正文"/>
    <w:basedOn w:val="1"/>
    <w:qFormat/>
    <w:uiPriority w:val="0"/>
    <w:pPr>
      <w:widowControl/>
      <w:spacing w:line="360" w:lineRule="auto"/>
      <w:ind w:firstLine="200" w:firstLineChars="200"/>
    </w:pPr>
    <w:rPr>
      <w:kern w:val="0"/>
      <w:sz w:val="24"/>
      <w:szCs w:val="20"/>
      <w:lang w:val="en-GB"/>
    </w:rPr>
  </w:style>
  <w:style w:type="paragraph" w:customStyle="1" w:styleId="52">
    <w:name w:val="正文(首行缩进)"/>
    <w:basedOn w:val="1"/>
    <w:qFormat/>
    <w:uiPriority w:val="99"/>
    <w:pPr>
      <w:tabs>
        <w:tab w:val="left" w:pos="4584"/>
      </w:tabs>
      <w:adjustRightInd w:val="0"/>
      <w:snapToGrid w:val="0"/>
      <w:spacing w:line="360" w:lineRule="auto"/>
      <w:ind w:firstLine="200"/>
    </w:pPr>
    <w:rPr>
      <w:bCs/>
    </w:rPr>
  </w:style>
  <w:style w:type="paragraph" w:customStyle="1" w:styleId="53">
    <w:name w:val="图表"/>
    <w:basedOn w:val="1"/>
    <w:qFormat/>
    <w:uiPriority w:val="0"/>
    <w:pPr>
      <w:autoSpaceDE w:val="0"/>
      <w:autoSpaceDN w:val="0"/>
      <w:adjustRightInd w:val="0"/>
      <w:snapToGrid w:val="0"/>
      <w:jc w:val="center"/>
    </w:pPr>
    <w:rPr>
      <w:kern w:val="0"/>
      <w:sz w:val="20"/>
      <w:szCs w:val="24"/>
    </w:rPr>
  </w:style>
  <w:style w:type="paragraph" w:customStyle="1" w:styleId="54">
    <w:name w:val="Table Text"/>
    <w:basedOn w:val="1"/>
    <w:semiHidden/>
    <w:qFormat/>
    <w:uiPriority w:val="0"/>
    <w:rPr>
      <w:rFonts w:ascii="宋体" w:hAnsi="宋体" w:eastAsia="宋体" w:cs="宋体"/>
      <w:sz w:val="21"/>
      <w:szCs w:val="21"/>
      <w:lang w:val="en-US" w:eastAsia="en-US" w:bidi="ar-SA"/>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666666-表中文字"/>
    <w:basedOn w:val="1"/>
    <w:qFormat/>
    <w:uiPriority w:val="0"/>
    <w:pPr>
      <w:jc w:val="center"/>
    </w:pPr>
    <w:rPr>
      <w:rFonts w:ascii="Times New Roman" w:hAnsi="Times New Roman"/>
      <w:szCs w:val="20"/>
    </w:rPr>
  </w:style>
  <w:style w:type="paragraph" w:customStyle="1" w:styleId="57">
    <w:name w:val="4正文"/>
    <w:basedOn w:val="1"/>
    <w:qFormat/>
    <w:uiPriority w:val="0"/>
    <w:pPr>
      <w:ind w:firstLine="480"/>
    </w:pPr>
    <w:rPr>
      <w:szCs w:val="20"/>
    </w:rPr>
  </w:style>
  <w:style w:type="paragraph" w:customStyle="1" w:styleId="58">
    <w:name w:val="WPS Plain"/>
    <w:qFormat/>
    <w:uiPriority w:val="0"/>
    <w:rPr>
      <w:rFonts w:ascii="Times New Roman" w:hAnsi="Times New Roman" w:eastAsia="宋体" w:cs="Times New Roman"/>
      <w:lang w:val="en-US" w:eastAsia="zh-CN" w:bidi="ar-SA"/>
    </w:rPr>
  </w:style>
  <w:style w:type="paragraph" w:customStyle="1" w:styleId="59">
    <w:name w:val="Heading2"/>
    <w:basedOn w:val="1"/>
    <w:next w:val="1"/>
    <w:qFormat/>
    <w:uiPriority w:val="0"/>
    <w:pPr>
      <w:keepNext/>
      <w:keepLines/>
      <w:spacing w:before="260" w:after="260" w:line="413" w:lineRule="auto"/>
      <w:jc w:val="both"/>
      <w:textAlignment w:val="baseline"/>
    </w:pPr>
    <w:rPr>
      <w:rFonts w:ascii="Arial" w:hAnsi="Arial" w:eastAsia="黑体"/>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1.png"/><Relationship Id="rId27" Type="http://schemas.openxmlformats.org/officeDocument/2006/relationships/image" Target="media/image20.jpeg"/><Relationship Id="rId26" Type="http://schemas.openxmlformats.org/officeDocument/2006/relationships/image" Target="media/image19.jpeg"/><Relationship Id="rId25" Type="http://schemas.openxmlformats.org/officeDocument/2006/relationships/image" Target="media/image18.png"/><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png"/><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37</Pages>
  <Words>20656</Words>
  <Characters>23071</Characters>
  <Lines>1</Lines>
  <Paragraphs>1</Paragraphs>
  <TotalTime>10</TotalTime>
  <ScaleCrop>false</ScaleCrop>
  <LinksUpToDate>false</LinksUpToDate>
  <CharactersWithSpaces>23292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J</cp:lastModifiedBy>
  <cp:lastPrinted>2020-12-29T02:43:00Z</cp:lastPrinted>
  <dcterms:modified xsi:type="dcterms:W3CDTF">2025-09-30T01:19:50Z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FBF5939DCB5D4D1981D7989AEF458C05_13</vt:lpwstr>
  </property>
  <property fmtid="{D5CDD505-2E9C-101B-9397-08002B2CF9AE}" pid="4" name="KSOTemplateDocerSaveRecord">
    <vt:lpwstr>eyJoZGlkIjoiM2ZjYmU4NDllZTI5ZWYwMzBlN2I4ZTc4M2M0MWQ5ODUiLCJ1c2VySWQiOiI2NzI5Nzg1MzEifQ==</vt:lpwstr>
  </property>
</Properties>
</file>