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27138">
      <w:pPr>
        <w:spacing w:line="560" w:lineRule="exact"/>
        <w:jc w:val="left"/>
        <w:rPr>
          <w:rFonts w:ascii="黑体" w:hAnsi="黑体" w:eastAsia="黑体"/>
          <w:color w:val="auto"/>
          <w:sz w:val="32"/>
          <w:szCs w:val="32"/>
        </w:rPr>
      </w:pPr>
      <w:r>
        <w:rPr>
          <w:rFonts w:hint="eastAsia" w:ascii="黑体" w:hAnsi="黑体" w:eastAsia="黑体"/>
          <w:color w:val="auto"/>
          <w:sz w:val="32"/>
          <w:szCs w:val="32"/>
        </w:rPr>
        <w:t>附件</w:t>
      </w:r>
      <w:r>
        <w:rPr>
          <w:rFonts w:ascii="黑体" w:hAnsi="黑体" w:eastAsia="黑体"/>
          <w:color w:val="auto"/>
          <w:sz w:val="32"/>
          <w:szCs w:val="32"/>
        </w:rPr>
        <w:t>1</w:t>
      </w:r>
    </w:p>
    <w:p w14:paraId="46D87A26">
      <w:pPr>
        <w:tabs>
          <w:tab w:val="left" w:pos="2255"/>
          <w:tab w:val="center" w:pos="4593"/>
        </w:tabs>
        <w:spacing w:line="560" w:lineRule="exact"/>
        <w:jc w:val="left"/>
        <w:rPr>
          <w:rFonts w:ascii="微软雅黑" w:eastAsia="微软雅黑"/>
          <w:b/>
          <w:color w:val="auto"/>
          <w:sz w:val="44"/>
          <w:szCs w:val="44"/>
        </w:rPr>
      </w:pPr>
    </w:p>
    <w:p w14:paraId="4D53A704">
      <w:pPr>
        <w:keepNext w:val="0"/>
        <w:keepLines w:val="0"/>
        <w:pageBreakBefore w:val="0"/>
        <w:widowControl w:val="0"/>
        <w:kinsoku/>
        <w:wordWrap/>
        <w:overflowPunct/>
        <w:topLinePunct w:val="0"/>
        <w:autoSpaceDE/>
        <w:autoSpaceDN/>
        <w:bidi w:val="0"/>
        <w:adjustRightInd w:val="0"/>
        <w:snapToGrid/>
        <w:spacing w:line="560" w:lineRule="exact"/>
        <w:jc w:val="center"/>
        <w:textAlignment w:val="auto"/>
        <w:rPr>
          <w:rFonts w:hint="eastAsia" w:ascii="微软雅黑" w:hAnsi="微软雅黑" w:eastAsia="微软雅黑" w:cs="微软雅黑"/>
          <w:b w:val="0"/>
          <w:bCs w:val="0"/>
          <w:color w:val="auto"/>
          <w:sz w:val="44"/>
          <w:szCs w:val="44"/>
        </w:rPr>
      </w:pPr>
      <w:r>
        <w:rPr>
          <w:rFonts w:hint="eastAsia" w:ascii="微软雅黑" w:hAnsi="微软雅黑" w:eastAsia="微软雅黑" w:cs="微软雅黑"/>
          <w:b w:val="0"/>
          <w:bCs w:val="0"/>
          <w:color w:val="auto"/>
          <w:sz w:val="44"/>
          <w:szCs w:val="44"/>
        </w:rPr>
        <w:t>本次检验项目</w:t>
      </w:r>
    </w:p>
    <w:p w14:paraId="16BAAE29">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default" w:ascii="黑体" w:hAnsi="Times New Roman"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一</w:t>
      </w:r>
      <w:r>
        <w:rPr>
          <w:rFonts w:hint="eastAsia" w:ascii="黑体" w:hAnsi="Times New Roman" w:eastAsia="黑体" w:cs="黑体"/>
          <w:b w:val="0"/>
          <w:bCs w:val="0"/>
          <w:color w:val="auto"/>
          <w:sz w:val="32"/>
          <w:szCs w:val="32"/>
          <w:lang w:val="en-US" w:eastAsia="zh-CN"/>
        </w:rPr>
        <w:t>、</w:t>
      </w:r>
      <w:r>
        <w:rPr>
          <w:rFonts w:hint="eastAsia" w:ascii="黑体" w:eastAsia="黑体" w:cs="黑体"/>
          <w:b w:val="0"/>
          <w:bCs w:val="0"/>
          <w:color w:val="auto"/>
          <w:sz w:val="32"/>
          <w:szCs w:val="32"/>
          <w:lang w:val="en-US" w:eastAsia="zh-CN"/>
        </w:rPr>
        <w:t>餐饮食品</w:t>
      </w:r>
    </w:p>
    <w:p w14:paraId="19F0ACCD">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67F4D81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2760-2024《食品安全国家标准 食品添加剂使用标准》、GB 2762-2022《食品安全国家标准 食品中污染物限量》、《市场监管总局关于进一步规范餐饮服务提供者食品添加剂管理的公告》(2023年第8号)、GB 7099-2015《食品安全国家标准 糕点、面包》、整顿办函[2011]1号《食品中可能违法添加的非食用物质和易滥用的食品添加剂品种名单(第五批)》等标准和指标的要求。</w:t>
      </w:r>
    </w:p>
    <w:p w14:paraId="78973856">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29ED4E89">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1.焙烤食品(自制)的检验项目酸价(以脂肪计)(KOH)、过氧化值(以脂肪计)、山梨酸及其钾盐(以山梨酸计)、脱氢乙酸及其钠盐(以脱氢乙酸计)、铝的残留量(干样品、以Al计)。</w:t>
      </w:r>
    </w:p>
    <w:p w14:paraId="1658D9E7">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2.调味料(自制)的检验项目罂粟碱、吗啡、可待因、那可丁。</w:t>
      </w:r>
    </w:p>
    <w:p w14:paraId="0E6AC2A8">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3.熟肉制品(自制)的检验项目N-二甲基亚硝胺、苯甲酸及其钠盐(以苯甲酸计)、山梨酸及其钾盐(以山梨酸计)、亚硝酸盐(以亚硝酸钠计)。</w:t>
      </w:r>
    </w:p>
    <w:p w14:paraId="24D4AE92">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4.小麦粉制品(自制)的检验项目苯甲酸及其钠盐(以苯甲酸计)、山梨酸及其钾盐(以山梨酸计)、糖精钠(以糖精计)、甜蜜素(以环己基氨基磺酸计)、日落黄、柠檬黄、铝的残留量(干样品、以Al计)、铅(以Pb计)、胭脂红、苋菜红、亮蓝、脱氢乙酸及其钠盐(以脱氢乙酸计)。</w:t>
      </w:r>
    </w:p>
    <w:p w14:paraId="29FCD598">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4.饮料(自制)的检验项目苯甲酸及其钠盐(以苯甲酸计)、山梨酸及其钾盐(以山梨酸计)、脱氢乙酸及其钠盐(以脱氢乙酸计)、防腐剂混合使用时各自用量占其最大使用量的比例之和、糖精钠(以糖精计)、安赛蜜、甜蜜素(以环己基氨基磺酸计)、阿斯巴甜、胭脂红、诱惑红、铅(以Pb计)、纳他霉素。</w:t>
      </w:r>
    </w:p>
    <w:p w14:paraId="024D613C">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default" w:ascii="黑体" w:hAnsi="Times New Roman"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二</w:t>
      </w:r>
      <w:r>
        <w:rPr>
          <w:rFonts w:hint="eastAsia" w:ascii="黑体" w:hAnsi="Times New Roman" w:eastAsia="黑体" w:cs="黑体"/>
          <w:b w:val="0"/>
          <w:bCs w:val="0"/>
          <w:color w:val="auto"/>
          <w:sz w:val="32"/>
          <w:szCs w:val="32"/>
          <w:lang w:val="en-US" w:eastAsia="zh-CN"/>
        </w:rPr>
        <w:t>、淀粉及淀粉制品</w:t>
      </w:r>
    </w:p>
    <w:p w14:paraId="5128E02D">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6A558B8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2760-2024《食品安全国家标准 食品添加剂使用标准》等标准和指标的要求。</w:t>
      </w:r>
    </w:p>
    <w:p w14:paraId="30B99443">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36C73870">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淀粉及淀粉制品的检验项目包括苯甲酸及其钠盐(以苯甲酸计)、山梨酸及其钾盐(以山梨酸计)、脱氢乙酸及其钠盐(以脱氢乙酸计)、二氧化硫残留量、日落黄、柠檬黄、相同色泽着色剂混合使用时各自用量占其最大使用量的比例之和。</w:t>
      </w:r>
    </w:p>
    <w:p w14:paraId="44C587B7">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eastAsia" w:ascii="黑体" w:hAnsi="Times New Roman"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三</w:t>
      </w:r>
      <w:r>
        <w:rPr>
          <w:rFonts w:hint="eastAsia" w:ascii="黑体" w:hAnsi="Times New Roman" w:eastAsia="黑体" w:cs="黑体"/>
          <w:b w:val="0"/>
          <w:bCs w:val="0"/>
          <w:color w:val="auto"/>
          <w:sz w:val="32"/>
          <w:szCs w:val="32"/>
          <w:lang w:val="en-US" w:eastAsia="zh-CN"/>
        </w:rPr>
        <w:t>、调味品</w:t>
      </w:r>
    </w:p>
    <w:p w14:paraId="5CB87579">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1397B0B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抽检依据是陇县市场监督管理局食品安全抽检工作计划、整顿办函[2011]1号《食品中可能违法添加的非食用物质和易滥用的食品添加剂品种名单(第五批)》、GB 2760-2024《食品安全国家标准 食品添加剂使用标准》等标准和指标的要求。</w:t>
      </w:r>
    </w:p>
    <w:p w14:paraId="277B490C">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6C304B2C">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半固体复合调味料的检验项目包括罂粟碱、吗啡、可待因、那可丁、苯甲酸及其钠盐(以苯甲酸计)、山梨酸及其钾盐(以山梨酸计)、脱氢乙酸及其钠盐(以脱氢乙酸计)、防腐剂混合使用时各自用量占其最大使用量的比例之和。</w:t>
      </w:r>
    </w:p>
    <w:p w14:paraId="226E613B">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default" w:ascii="黑体" w:hAnsi="Times New Roman"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四</w:t>
      </w:r>
      <w:r>
        <w:rPr>
          <w:rFonts w:hint="eastAsia" w:ascii="黑体" w:hAnsi="Times New Roman" w:eastAsia="黑体" w:cs="黑体"/>
          <w:b w:val="0"/>
          <w:bCs w:val="0"/>
          <w:color w:val="auto"/>
          <w:sz w:val="32"/>
          <w:szCs w:val="32"/>
          <w:lang w:val="en-US" w:eastAsia="zh-CN"/>
        </w:rPr>
        <w:t>、</w:t>
      </w:r>
      <w:r>
        <w:rPr>
          <w:rFonts w:hint="eastAsia" w:ascii="黑体" w:eastAsia="黑体" w:cs="黑体"/>
          <w:b w:val="0"/>
          <w:bCs w:val="0"/>
          <w:color w:val="auto"/>
          <w:sz w:val="32"/>
          <w:szCs w:val="32"/>
          <w:lang w:val="en-US" w:eastAsia="zh-CN"/>
        </w:rPr>
        <w:t>冷冻饮品</w:t>
      </w:r>
    </w:p>
    <w:p w14:paraId="3A270BCA">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206B317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2760-2024《食品安全国家标准 食品添加剂使用标准》、GB 2759-2015《食品安全国家标准 冷冻饮品和制作料》、GB 29921-2021《食品安全国家标准 预包装食品中致病菌限量》、GB/T 31114-2014《冷冻饮品 冰淇淋》、GB/T 31119-2014《冷冻饮品 雪糕》等标准和指标的要求。</w:t>
      </w:r>
    </w:p>
    <w:p w14:paraId="6783859B">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6CB06898">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冷冻饮品的检验项目包括亮蓝、靛蓝、相同色泽着色剂混合使用时各自用量占其最大使用量的比例之和、蛋白质、糖精钠(以糖精计)、诱惑红、柠檬黄、日落黄、安赛蜜、胭脂红、相同色泽着色剂混合使用时各自用量占其最大使用量的比例之和（红色）、相同色泽着色剂混合使用时各自用量占其最大使用量的比例之和（黄色）、甜蜜素(以环己基氨基磺酸计)、三氯蔗糖、菌落总数、大肠菌群、沙门氏菌、单核细胞增生李斯特氏菌。</w:t>
      </w:r>
    </w:p>
    <w:p w14:paraId="1BB4428C">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default" w:ascii="黑体"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五、</w:t>
      </w:r>
      <w:r>
        <w:rPr>
          <w:rFonts w:hint="default" w:ascii="黑体" w:eastAsia="黑体" w:cs="黑体"/>
          <w:b w:val="0"/>
          <w:bCs w:val="0"/>
          <w:color w:val="auto"/>
          <w:sz w:val="32"/>
          <w:szCs w:val="32"/>
          <w:lang w:val="en-US" w:eastAsia="zh-CN"/>
        </w:rPr>
        <w:t>粮食加工品</w:t>
      </w:r>
    </w:p>
    <w:p w14:paraId="34AC4DBC">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3B03713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2760-2024《食品安全国家标准 食品添加剂使用标准》、GB 2762-2022《食品安全国家标准 食品中污染物限量》、GB 2761-2017《食品安全国家标准 食品中真菌毒素限量》、GB 2760-2024《食品安全国家标准 食品添加剂使用标准》、《关于撤销食品添加剂过氧化苯甲酰、过氧化钙的公告》等标准和指标的要求。</w:t>
      </w:r>
    </w:p>
    <w:p w14:paraId="7282622E">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25BF0A88">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1.谷物粉类制成品的检验项目包括苯甲酸及其钠盐(以苯甲酸计)、山梨酸及其钾盐(以山梨酸计)、脱氢乙酸及其钠盐(以脱氢乙酸计)、日落黄、柠檬黄。</w:t>
      </w:r>
    </w:p>
    <w:p w14:paraId="6685D5F1">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2.小麦粉的检验项目包括铅(以Pb计)、镉(以Cd计)、苯并[a]芘、玉米赤霉烯酮、脱氧雪腐镰刀菌烯醇、赭曲霉毒素A、黄曲霉毒素B₁、偶氮甲酰胺、过氧化苯甲酰。</w:t>
      </w:r>
    </w:p>
    <w:p w14:paraId="38EEA641">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eastAsia" w:ascii="黑体"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六、食用油、油脂及其制品</w:t>
      </w:r>
    </w:p>
    <w:p w14:paraId="6E28FAB4">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573EBA8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2762-2022《食品安全国家标准 食品中污染物限量》、GB/T 1535-2017《大豆油》、GB 2760-2024《食品安全国家标准 食品添加剂使用标准》等标准和指标的要求。</w:t>
      </w:r>
    </w:p>
    <w:p w14:paraId="49858F0A">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5AE08F14">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食用植物油的检验项目包括铅(以Pb计)、酸价(KOH)、过氧化值、苯并[a]芘、溶剂残留量、特丁基对苯二酚(TBHQ)。</w:t>
      </w:r>
    </w:p>
    <w:p w14:paraId="75582FD3">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eastAsia" w:ascii="黑体"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七、食用农产品</w:t>
      </w:r>
    </w:p>
    <w:p w14:paraId="68A7FBB2">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722BE77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w:t>
      </w:r>
      <w:bookmarkStart w:id="0" w:name="_GoBack"/>
      <w:bookmarkEnd w:id="0"/>
      <w:r>
        <w:rPr>
          <w:rFonts w:hint="eastAsia" w:ascii="仿宋" w:hAnsi="仿宋" w:eastAsia="仿宋" w:cs="仿宋"/>
          <w:b w:val="0"/>
          <w:bCs w:val="0"/>
          <w:color w:val="auto"/>
          <w:kern w:val="2"/>
          <w:sz w:val="32"/>
          <w:szCs w:val="32"/>
          <w:lang w:val="en-US" w:eastAsia="zh-CN" w:bidi="ar-SA"/>
        </w:rPr>
        <w:t>GB 31650.1-2022《食品安全国家标准 食品中41种兽药最大残留限量》、GB 31650-2019《食品安全国家标准 食品中兽药最大残留限量》、第250号《食品动物中禁止使用的药品及其他化合物清单》、GB 2763-2026《食品安全国家标准 食品中农药最大残留限量》、GB 2762-2022《食品安全国家标准 食品中污染物限量》、关于豆芽生产过程中禁止使用6-苄基腺嘌呤等物质的公告(2015 年第 11 号)、GB 22556-2008《豆芽卫生标准》等标准和指标的要求。</w:t>
      </w:r>
    </w:p>
    <w:p w14:paraId="63466B93">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423A0C46">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1.豆芽的检验项目包括亚硫酸盐(以SO₂计)、铅(以Pb计)、总汞(以Hg计)、4-氯苯氧乙酸钠(以4-氯苯氧乙酸计)、6-苄基腺嘌呤(6-BA)。</w:t>
      </w:r>
    </w:p>
    <w:p w14:paraId="4F2DF370">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鲜蛋的检验项目包括多西环素、甲氧苄啶、磺胺类(总量)、甲硝唑、氟苯尼考、地美硝唑、恩诺沙星、托曲珠利、呋喃唑酮代谢物、呋喃西林代谢物、氯霉素、氟苯尼考胺、恩诺沙星(辅助)、环丙沙星(辅助)、磺胺甲基嘧啶、磺胺甲恶唑、磺胺二甲嘧啶、磺胺间二甲氧嘧啶、磺胺间甲氧嘧啶、磺胺喹恶啉、磺胺嘧啶、磺胺甲氧哒嗪、托曲珠利砜、托曲珠利亚砜、氟虫腈、氟甲腈、氟虫腈砜、氟虫腈硫醚、甲砜霉素、氧氟沙星、沙拉沙星、地克珠利。</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F2790E-7034-439D-A400-C074A16CE8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99AFEB11-7132-451A-AE8A-9476EC8216FA}"/>
  </w:font>
  <w:font w:name="楷体_GB2312">
    <w:panose1 w:val="02010609030101010101"/>
    <w:charset w:val="86"/>
    <w:family w:val="modern"/>
    <w:pitch w:val="default"/>
    <w:sig w:usb0="00000001" w:usb1="080E0000" w:usb2="00000000" w:usb3="00000000" w:csb0="00040000" w:csb1="00000000"/>
    <w:embedRegular r:id="rId3" w:fontKey="{1A899451-DB19-4BD2-BC2D-2F503AB1A63D}"/>
  </w:font>
  <w:font w:name="楷体">
    <w:panose1 w:val="02010609060101010101"/>
    <w:charset w:val="86"/>
    <w:family w:val="auto"/>
    <w:pitch w:val="default"/>
    <w:sig w:usb0="800002BF" w:usb1="38CF7CFA" w:usb2="00000016" w:usb3="00000000" w:csb0="00040001" w:csb1="00000000"/>
    <w:embedRegular r:id="rId4" w:fontKey="{D4AD4A0C-F8C8-4857-96CE-6018D1CDACC2}"/>
  </w:font>
  <w:font w:name="仿宋_GB2312">
    <w:panose1 w:val="02010609030101010101"/>
    <w:charset w:val="86"/>
    <w:family w:val="modern"/>
    <w:pitch w:val="default"/>
    <w:sig w:usb0="00000001" w:usb1="080E0000" w:usb2="00000000" w:usb3="00000000" w:csb0="00040000" w:csb1="00000000"/>
    <w:embedRegular r:id="rId5" w:fontKey="{1E061305-D4F0-4834-B021-C764A9ABA2F1}"/>
  </w:font>
  <w:font w:name="仿宋">
    <w:panose1 w:val="02010609060101010101"/>
    <w:charset w:val="86"/>
    <w:family w:val="auto"/>
    <w:pitch w:val="default"/>
    <w:sig w:usb0="800002BF" w:usb1="38CF7CFA" w:usb2="00000016" w:usb3="00000000" w:csb0="00040001" w:csb1="00000000"/>
    <w:embedRegular r:id="rId6" w:fontKey="{9F14C489-6F27-4C88-B752-82B36AADAD9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1MGUzMGNlMTExZmVmODY0ZGY4ZmY2ZTg0OTViM2MifQ=="/>
  </w:docVars>
  <w:rsids>
    <w:rsidRoot w:val="1C3357A9"/>
    <w:rsid w:val="020A5B57"/>
    <w:rsid w:val="02B7449E"/>
    <w:rsid w:val="02C941D1"/>
    <w:rsid w:val="08321EA4"/>
    <w:rsid w:val="0C57284E"/>
    <w:rsid w:val="0D4B23B2"/>
    <w:rsid w:val="0F8C3BC1"/>
    <w:rsid w:val="10213392"/>
    <w:rsid w:val="10673860"/>
    <w:rsid w:val="198C1D89"/>
    <w:rsid w:val="1A381F10"/>
    <w:rsid w:val="1C3357A9"/>
    <w:rsid w:val="2409047A"/>
    <w:rsid w:val="26C012C4"/>
    <w:rsid w:val="28333D17"/>
    <w:rsid w:val="29143B49"/>
    <w:rsid w:val="2B2362C5"/>
    <w:rsid w:val="2B65243A"/>
    <w:rsid w:val="2CD97455"/>
    <w:rsid w:val="2D377E06"/>
    <w:rsid w:val="2E5D1AEE"/>
    <w:rsid w:val="3436379F"/>
    <w:rsid w:val="34FF38FF"/>
    <w:rsid w:val="393F251C"/>
    <w:rsid w:val="3F8E5FAB"/>
    <w:rsid w:val="41F145CF"/>
    <w:rsid w:val="43217136"/>
    <w:rsid w:val="433F4300"/>
    <w:rsid w:val="44D97CC8"/>
    <w:rsid w:val="475B69B1"/>
    <w:rsid w:val="478F28C0"/>
    <w:rsid w:val="4A3239D7"/>
    <w:rsid w:val="4B685902"/>
    <w:rsid w:val="4BBA0128"/>
    <w:rsid w:val="4C7A2A2A"/>
    <w:rsid w:val="4D1D271C"/>
    <w:rsid w:val="4E796078"/>
    <w:rsid w:val="52E857E3"/>
    <w:rsid w:val="54E4731C"/>
    <w:rsid w:val="55365FFD"/>
    <w:rsid w:val="596516D3"/>
    <w:rsid w:val="5EDD7F5D"/>
    <w:rsid w:val="5FB52C88"/>
    <w:rsid w:val="5FB707AE"/>
    <w:rsid w:val="5FF4555F"/>
    <w:rsid w:val="61202383"/>
    <w:rsid w:val="61D05B58"/>
    <w:rsid w:val="62394D2F"/>
    <w:rsid w:val="631D4DCC"/>
    <w:rsid w:val="63DF2082"/>
    <w:rsid w:val="68CD6E3C"/>
    <w:rsid w:val="6AC344AB"/>
    <w:rsid w:val="75F220E9"/>
    <w:rsid w:val="760342F6"/>
    <w:rsid w:val="78D855C6"/>
    <w:rsid w:val="7C3F770A"/>
    <w:rsid w:val="7D8538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2319</Words>
  <Characters>2606</Characters>
  <Lines>0</Lines>
  <Paragraphs>0</Paragraphs>
  <TotalTime>252</TotalTime>
  <ScaleCrop>false</ScaleCrop>
  <LinksUpToDate>false</LinksUpToDate>
  <CharactersWithSpaces>2651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2024-08-30T08:05:00Z</dcterms:created>
  <dc:creator>不吃切丝土豆</dc:creator>
  <cp:lastModifiedBy>张新田</cp:lastModifiedBy>
  <dcterms:modified xsi:type="dcterms:W3CDTF">2026-08-19T07:32:45Z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3E33398CD87544B2B1C9A22FBD04990C_13</vt:lpwstr>
  </property>
  <property fmtid="{D5CDD505-2E9C-101B-9397-08002B2CF9AE}" pid="4" name="KSOTemplateDocerSaveRecord">
    <vt:lpwstr>eyJoZGlkIjoiMDlhYzRmMzlhMTQ0NWM1MTViNDUwYjg1MmZlZTdjZjYiLCJ1c2VySWQiOiIyMDg4MDEzMzAifQ==</vt:lpwstr>
  </property>
</Properties>
</file>