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079EC">
      <w:pPr>
        <w:pStyle w:val="2"/>
        <w:spacing w:before="0" w:beforeAutospacing="0" w:after="0" w:afterAutospacing="0" w:line="540" w:lineRule="exact"/>
        <w:jc w:val="left"/>
        <w:rPr>
          <w:rFonts w:hint="default" w:ascii="方正小标宋简体" w:hAnsi="宋体" w:eastAsia="方正小标宋简体" w:cs="宋体"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简体" w:hAnsi="宋体" w:eastAsia="方正小标宋简体" w:cs="宋体"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5CAE0E6C">
      <w:pPr>
        <w:pStyle w:val="2"/>
        <w:spacing w:before="0" w:beforeAutospacing="0" w:after="0" w:afterAutospacing="0" w:line="540" w:lineRule="exact"/>
        <w:jc w:val="center"/>
        <w:rPr>
          <w:rFonts w:ascii="方正小标宋简体" w:hAnsi="宋体" w:eastAsia="方正小标宋简体" w:cs="宋体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2021年政务公开工作存在问题清单</w:t>
      </w:r>
    </w:p>
    <w:p w14:paraId="2A2C8667">
      <w:pPr>
        <w:pStyle w:val="2"/>
        <w:spacing w:before="0" w:beforeAutospacing="0" w:after="0" w:afterAutospacing="0" w:line="540" w:lineRule="exact"/>
        <w:jc w:val="center"/>
        <w:rPr>
          <w:rFonts w:ascii="宋体" w:hAnsi="宋体" w:cs="宋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2DE4DB"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一是“法定主动公开”栏目中各镇、各部门虽然通过“预决算公开”栏目集中公开了本单位的预决算、相关报表等信息，但上传信息、PDF中错字、别字、错误表述较多。</w:t>
      </w:r>
    </w:p>
    <w:p w14:paraId="21CD92D7"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各单位以政府、政府办名义印发的文件，政策性文件与解读材料不能保证同步组织、同步审签，</w:t>
      </w: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未按时限要求上报相关文件政策解读，效性较差。</w:t>
      </w:r>
    </w:p>
    <w:p w14:paraId="28CAC6B1"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三是发改局、住建局未在“重点领域信息公开”—“批准和实施信息”栏目公开重大建设项目的批准服务、批准结果、招标投标、征收土地、重大设计变更、施工、质量安全监督、资金管理、竣工等有关信息。</w:t>
      </w:r>
    </w:p>
    <w:p w14:paraId="5E6684AA"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四是卫健局未在“防控新型冠状病毒肺炎陇县在行动”栏目公开公开本级政府突发公共卫生事件应急预案。</w:t>
      </w:r>
    </w:p>
    <w:p w14:paraId="1F3510AF"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五是住建局未在“重点领域信息公开”—“公共资源配置”—“住房保障”栏目公开城镇保障性安居工程规划建设方案、年度建设计划、农村危房改造等相关信息。</w:t>
      </w:r>
    </w:p>
    <w:p w14:paraId="6391C469"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六是民政局未在“重点领域信息公开”—“社会公益事业建设领域政府信息”—“社会救助和社会福利”栏目公开特困人员供养、受灾人员救助、教育救助、医疗救助、住房救助、孤儿高等教育生活保障等相关信息。</w:t>
      </w:r>
    </w:p>
    <w:p w14:paraId="382088E9"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七是卫健局未在“重点领域信息公开”—“社会公益事业建设领域政府信息”—“灾害事故救援及预警信息”栏目公开医疗救护与卫生防疫等相关信息。</w:t>
      </w:r>
    </w:p>
    <w:p w14:paraId="1BB3050A"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八是文旅局、教体局未在“重点领域信息公开”—“社会公益事业建设领域政府信息”—“公共文化体育”栏目公开公共文化体育的服务保障政策、服务体系建设、财政资金投入和使用、设施建设和使用、政府购买公共文化体育服务的目录、绩效评价结果；公开文化遗产保护、公共文化体育设施名录等相关信息。</w:t>
      </w:r>
    </w:p>
    <w:p w14:paraId="22007C64"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九是乡村振兴局未在“重点领域信息公开”—“三大攻坚战信息”—乡村振兴栏目公开巩固拓展脱贫攻坚成果、推进特色现代农业和乡村建设等重点工作相关政策、工作进展等相关信息。</w:t>
      </w:r>
    </w:p>
    <w:p w14:paraId="32A38B01"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十是农业农村局未在“重点领域信息公开”—“三大攻坚战信息”—乡村振兴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栏目公开保障粮食和重要农产品生产供给等相关信息。</w:t>
      </w:r>
    </w:p>
    <w:p w14:paraId="00D0E446"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十一是生态环境局未在“重点领域信息公开”—“三大攻坚战信息”—“生态环境”栏目公开绿色低碳发展、黄河流域生态保护和高质量发展、秦岭整治成果巩固、污染防治攻坚等重点工作的环境管理、监督检查情况，本年度重点排污单位监督监测信息，本级政府环境统计年度报告等相关信息。</w:t>
      </w:r>
    </w:p>
    <w:p w14:paraId="6B8EF841"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十二是教体局未在“重点领域信息公开”—“基本民生保障信息”—“教育信息”栏目公开相关教育政策、发展规划、经费投入和使用、家庭经济困难学生资助实施、义务教育控辍保学、县域义务教育均衡发展、民办学校办学资质、办学质量、招生范围和收费、职业教育学校招生专业和资助管理、义务教育学生最新优待政策等相关信息。</w:t>
      </w:r>
    </w:p>
    <w:p w14:paraId="03D4C161"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十三是卫生健康局未在“重点领域信息公开”—“基本民生保障信息”—“基本医疗卫生”栏目公开公开重大疾病预防控制、国家免疫规划、突发公共卫生事件、传染病疫情及防控、健康防治、疾病应急救助等相关信息。</w:t>
      </w:r>
    </w:p>
    <w:p w14:paraId="172793AF"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十四是医疗保障局未在“重点领域信息公开”—“基本民生保障信息”—“医疗保障信息”栏目公开中、省、市、县医疗保障政策、通知公告、慢性病报销标准比例及程序、医保缴费通知、异地就医结算程序、医保定点报销医院等相关信息。</w:t>
      </w:r>
    </w:p>
    <w:p w14:paraId="6B91A10F"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十五是市场监管局未在“重点领域信息公开”—“基本民生保障信息”—“食品药品安全”栏目公开食品安全行政许可、监督检查、食品药品抽检、行政处罚、信用评级、风险评级、企业“黑名单”、食品生产经营场所监督检查等相关信息。</w:t>
      </w:r>
    </w:p>
    <w:p w14:paraId="5CB503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8E95D1F-09C2-4B42-8784-96040B5DF40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D49A907-08B3-43D4-AE31-438143FF78A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881CC0F-9E63-45AB-B708-546AC0BC79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2ExNDIwMjUxN2VhNDZlMWE5NDJkZDk5NWM1OGIifQ=="/>
  </w:docVars>
  <w:rsids>
    <w:rsidRoot w:val="1B4909C4"/>
    <w:rsid w:val="1B4909C4"/>
    <w:rsid w:val="38C2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1400</Words>
  <Characters>1405</Characters>
  <Lines>0</Lines>
  <Paragraphs>0</Paragraphs>
  <TotalTime>0</TotalTime>
  <ScaleCrop>false</ScaleCrop>
  <LinksUpToDate>false</LinksUpToDate>
  <CharactersWithSpaces>1405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2022-08-02T09:14:00Z</dcterms:created>
  <dc:creator>Administrator</dc:creator>
  <cp:lastModifiedBy>WPS_1528040536</cp:lastModifiedBy>
  <dcterms:modified xsi:type="dcterms:W3CDTF">2025-01-07T07:52:20Z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5C0F5673585E4FC485F534031F25022E</vt:lpwstr>
  </property>
  <property fmtid="{D5CDD505-2E9C-101B-9397-08002B2CF9AE}" pid="4" name="KSOTemplateDocerSaveRecord">
    <vt:lpwstr>eyJoZGlkIjoiMjJlMjVjZDlmZDBhNzhlYjZjNGZhM2I1MGZjNTc5NjciLCJ1c2VySWQiOiIzNzU4MDE5OTkifQ==</vt:lpwstr>
  </property>
</Properties>
</file>